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Chainmaille Designer – Architecture</w:t>
      </w:r>
    </w:p>
    <w:p>
      <w:r>
        <w:t>Version: v0.9-bom-foundation</w:t>
      </w:r>
    </w:p>
    <w:p>
      <w:r>
        <w:t>Status: Production-stable core with BOM foundation</w:t>
      </w:r>
    </w:p>
    <w:p>
      <w:pPr>
        <w:pStyle w:val="Heading2"/>
      </w:pPr>
      <w:r>
        <w:t>1. Purpose</w:t>
      </w:r>
    </w:p>
    <w:p>
      <w:r>
        <w:t>This document describes the technical architecture of the Chainmaille Designer application. It defines module boundaries, data flow, and extension strategies to ensure safe evolution without destabilizing the creative workflow.</w:t>
      </w:r>
    </w:p>
    <w:p>
      <w:pPr>
        <w:pStyle w:val="Heading2"/>
      </w:pPr>
      <w:r>
        <w:t>2. Architectural Principles</w:t>
      </w:r>
    </w:p>
    <w:p>
      <w:r>
        <w:t>- Rendering is isolated and never depends on BOM or business logic.</w:t>
        <w:br/>
        <w:t>- BOM logic is read-only and pure.</w:t>
        <w:br/>
        <w:t>- Pages expose adapters instead of embedding logic.</w:t>
        <w:br/>
        <w:t>- Offline-first operation.</w:t>
        <w:br/>
        <w:t>- Business tooling is separated from design tooling.</w:t>
      </w:r>
    </w:p>
    <w:p>
      <w:pPr>
        <w:pStyle w:val="Heading2"/>
      </w:pPr>
      <w:r>
        <w:t>3. System Overview</w:t>
      </w:r>
    </w:p>
    <w:p>
      <w:r>
        <w:t>The application is structured around a central App.tsx router that orchestrates design pages, rendering, and BOM aggregation. Rendering is handled by RingRenderer using Three.js, while BOM logic is implemented as a pure calculation module.</w:t>
      </w:r>
    </w:p>
    <w:p>
      <w:pPr>
        <w:pStyle w:val="Heading2"/>
      </w:pPr>
      <w:r>
        <w:t>4. Core Modules</w:t>
      </w:r>
    </w:p>
    <w:p>
      <w:r>
        <w:t>• RingRenderer: Handles 3D rendering, painting, overlays, and camera control.</w:t>
        <w:br/>
        <w:t>• Designer / Freeform / Erin2D Pages: Own design state and expose getBOMRings().</w:t>
        <w:br/>
        <w:t>• bomCalculator: Aggregates normalized ring data into material summaries.</w:t>
        <w:br/>
        <w:t>• App.tsx: Routing, authentication, and BOM panel orchestration.</w:t>
      </w:r>
    </w:p>
    <w:p>
      <w:pPr>
        <w:pStyle w:val="Heading2"/>
      </w:pPr>
      <w:r>
        <w:t>5. Data Contracts</w:t>
      </w:r>
    </w:p>
    <w:p>
      <w:r>
        <w:t>The canonical BOMRing interface defines the normalized data exchanged between design pages and BOM logic. This interface is versioned and treated as stable.</w:t>
      </w:r>
    </w:p>
    <w:p>
      <w:pPr>
        <w:pStyle w:val="Heading2"/>
      </w:pPr>
      <w:r>
        <w:t>6. Extension Strategy</w:t>
      </w:r>
    </w:p>
    <w:p>
      <w:r>
        <w:t>Future extensions such as supplier pricing, inventory management, labor modeling, and AI-assisted estimation must consume BOM outputs rather than design internals.</w:t>
      </w:r>
    </w:p>
    <w:p>
      <w:pPr>
        <w:pStyle w:val="Heading2"/>
      </w:pPr>
      <w:r>
        <w:t>7. Security and IP Protection</w:t>
      </w:r>
    </w:p>
    <w:p>
      <w:r>
        <w:t>Design tools remain offline-capable. Business intelligence layers can be gated, licensed, or deployed separately to protect artisan intellectual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