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Chainmaille Designer – Software Requirements Specification (SRS)</w:t>
      </w:r>
    </w:p>
    <w:p>
      <w:pPr>
        <w:pStyle w:val="Heading2"/>
      </w:pPr>
      <w:r>
        <w:t>1. Introduction</w:t>
      </w:r>
    </w:p>
    <w:p>
      <w:r>
        <w:t>The Chainmaille Designer is a web-based application for designing, visualizing, and planning chainmaille creations. This SRS defines functional and non-functional requirements for current and planned capabilities.</w:t>
      </w:r>
    </w:p>
    <w:p>
      <w:pPr>
        <w:pStyle w:val="Heading2"/>
      </w:pPr>
      <w:r>
        <w:t>2. System Scope</w:t>
      </w:r>
    </w:p>
    <w:p>
      <w:r>
        <w:t>The system supports 3D and 2D design workflows, painting and overlays, bill of materials generation, and export for production planning.</w:t>
      </w:r>
    </w:p>
    <w:p>
      <w:pPr>
        <w:pStyle w:val="Heading2"/>
      </w:pPr>
      <w:r>
        <w:t>3. User Classes</w:t>
      </w:r>
    </w:p>
    <w:p>
      <w:r>
        <w:t>• Artist/Designer</w:t>
        <w:br/>
        <w:t>• Business Owner</w:t>
        <w:br/>
        <w:t>• Internal Administrator</w:t>
      </w:r>
    </w:p>
    <w:p>
      <w:pPr>
        <w:pStyle w:val="Heading2"/>
      </w:pPr>
      <w:r>
        <w:t>4. Functional Requirements</w:t>
      </w:r>
    </w:p>
    <w:p>
      <w:r>
        <w:t>FR-1: The system shall allow users to design chainmaille patterns in 3D.</w:t>
        <w:br/>
        <w:t>FR-2: The system shall support per-ring color painting and erasing.</w:t>
        <w:br/>
        <w:t>FR-3: The system shall generate a Bill of Materials from any design.</w:t>
        <w:br/>
        <w:t>FR-4: The BOM shall reflect painted ring colors accurately.</w:t>
        <w:br/>
        <w:t>FR-5: The system shall allow saving and recalling designs (planned).</w:t>
        <w:br/>
        <w:t>FR-6: The system shall support supplier and pack-based material planning (planned).</w:t>
      </w:r>
    </w:p>
    <w:p>
      <w:pPr>
        <w:pStyle w:val="Heading2"/>
      </w:pPr>
      <w:r>
        <w:t>5. Non-Functional Requirements</w:t>
      </w:r>
    </w:p>
    <w:p>
      <w:r>
        <w:t>NFR-1: The system shall operate offline for core design features.</w:t>
        <w:br/>
        <w:t>NFR-2: Rendering performance shall remain interactive for large grids.</w:t>
        <w:br/>
        <w:t>NFR-3: BOM calculations shall be deterministic and reproducible.</w:t>
        <w:br/>
        <w:t>NFR-4: The system shall protect artisan intellectual property.</w:t>
      </w:r>
    </w:p>
    <w:p>
      <w:pPr>
        <w:pStyle w:val="Heading2"/>
      </w:pPr>
      <w:r>
        <w:t>6. Future Enhancements</w:t>
      </w:r>
    </w:p>
    <w:p>
      <w:r>
        <w:t>Planned enhancements include AI-assisted cost estimation, craft show cost analysis, supplier price checks, inventory management, and customer pricing forecasts.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