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jc w:val="center"/>
      </w:pPr>
      <w:r>
        <w:t xml:space="preserve">Задание №11. Инкапсуляция и модификаторы доступа</w:t>
      </w:r>
    </w:p>
    <w:p>
      <w:pPr>
        <w:pStyle w:val="Heading2"/>
        <w:keepNext/>
        <w:jc w:val="left"/>
      </w:pPr>
      <w:r>
        <w:t xml:space="preserve">Вопрос 1. Какую проблему решает инкапсуляция</w:t>
      </w:r>
    </w:p>
    <w:p>
      <w:pPr>
        <w:spacing w:after="80"/>
        <w:ind w:firstLine="709"/>
        <w:jc w:val="both"/>
      </w:pPr>
      <w:r>
        <w:t xml:space="preserve">Без инкапсуляции любой внешний код может напрямую изменить поля объекта и привести его в некорректное состояние: здоровье станет −50, баланс уйдёт в минус. Кроме того, внешний код начинает зависеть от внутреннего устройства класса. Инкапсуляция скрывает данные (</w:t>
      </w:r>
      <w:r>
        <w:rPr>
          <w:rFonts w:ascii="Courier New" w:cs="Courier New" w:eastAsia="Courier New" w:hAnsi="Courier New"/>
          <w:sz w:val="24"/>
          <w:szCs w:val="24"/>
        </w:rPr>
        <w:t xml:space="preserve">private</w:t>
      </w:r>
      <w:r>
        <w:t xml:space="preserve">) и открывает только методы, через которые с ними можно работать.</w:t>
      </w:r>
    </w:p>
    <w:p>
      <w:pPr>
        <w:spacing w:after="80"/>
        <w:ind w:firstLine="709"/>
        <w:jc w:val="both"/>
      </w:pPr>
      <w:r>
        <w:t xml:space="preserve">Два ключевых преимущества для разработчика класса: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b/>
          <w:bCs/>
        </w:rPr>
        <w:t xml:space="preserve">Контроль над данными.</w:t>
      </w:r>
      <w:r>
        <w:t xml:space="preserve"> Все изменения проходят через методы (сеттеры) с проверками, поэтому объект всегда в допустимом состоянии.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b/>
          <w:bCs/>
        </w:rPr>
        <w:t xml:space="preserve">Свобода менять реализацию.</w:t>
      </w:r>
      <w:r>
        <w:t xml:space="preserve"> Внутреннее устройство класса можно переписать: переименовать поля или изменить алгоритм. Пока публичные методы остаются прежними, код, который пользуется классом, не сломается.</w:t>
      </w:r>
    </w:p>
    <w:p>
      <w:pPr>
        <w:pStyle w:val="Heading2"/>
        <w:keepNext/>
        <w:jc w:val="left"/>
      </w:pPr>
      <w:r>
        <w:t xml:space="preserve">Вопрос 2. protected и доступ по умолчанию (default)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0"/>
        <w:gridCol w:w="1870"/>
        <w:gridCol w:w="1870"/>
        <w:gridCol w:w="1870"/>
        <w:gridCol w:w="1874"/>
      </w:tblGrid>
      <w:tr>
        <w:trPr>
          <w:tblHeader/>
        </w:trPr>
        <w:tc>
          <w:tcPr>
            <w:tcW w:type="dxa" w:w="18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b/>
                <w:bCs/>
                <w:sz w:val="24"/>
                <w:szCs w:val="24"/>
              </w:rPr>
              <w:t xml:space="preserve">Модификатор</w:t>
            </w:r>
          </w:p>
        </w:tc>
        <w:tc>
          <w:tcPr>
            <w:tcW w:type="dxa" w:w="18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b/>
                <w:bCs/>
                <w:sz w:val="24"/>
                <w:szCs w:val="24"/>
              </w:rPr>
              <w:t xml:space="preserve">Тот же класс</w:t>
            </w:r>
          </w:p>
        </w:tc>
        <w:tc>
          <w:tcPr>
            <w:tcW w:type="dxa" w:w="18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b/>
                <w:bCs/>
                <w:sz w:val="24"/>
                <w:szCs w:val="24"/>
              </w:rPr>
              <w:t xml:space="preserve">Тот же пакет</w:t>
            </w:r>
          </w:p>
        </w:tc>
        <w:tc>
          <w:tcPr>
            <w:tcW w:type="dxa" w:w="18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b/>
                <w:bCs/>
                <w:sz w:val="24"/>
                <w:szCs w:val="24"/>
              </w:rPr>
              <w:t xml:space="preserve">Подкласс в другом пакете</w:t>
            </w:r>
          </w:p>
        </w:tc>
        <w:tc>
          <w:tcPr>
            <w:tcW w:type="dxa" w:w="187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b/>
                <w:bCs/>
                <w:sz w:val="24"/>
                <w:szCs w:val="24"/>
              </w:rPr>
              <w:t xml:space="preserve">Остальные</w:t>
            </w:r>
          </w:p>
        </w:tc>
      </w:tr>
      <w:tr>
        <w:trPr>
          <w:tblHeader w:val="false"/>
        </w:trPr>
        <w:tc>
          <w:tcPr>
            <w:tcW w:type="dxa" w:w="18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public</w:t>
            </w:r>
          </w:p>
        </w:tc>
        <w:tc>
          <w:tcPr>
            <w:tcW w:type="dxa" w:w="18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4"/>
                <w:szCs w:val="24"/>
              </w:rPr>
              <w:t xml:space="preserve">да</w:t>
            </w:r>
          </w:p>
        </w:tc>
        <w:tc>
          <w:tcPr>
            <w:tcW w:type="dxa" w:w="18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4"/>
                <w:szCs w:val="24"/>
              </w:rPr>
              <w:t xml:space="preserve">да</w:t>
            </w:r>
          </w:p>
        </w:tc>
        <w:tc>
          <w:tcPr>
            <w:tcW w:type="dxa" w:w="18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4"/>
                <w:szCs w:val="24"/>
              </w:rPr>
              <w:t xml:space="preserve">да</w:t>
            </w:r>
          </w:p>
        </w:tc>
        <w:tc>
          <w:tcPr>
            <w:tcW w:type="dxa" w:w="187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4"/>
                <w:szCs w:val="24"/>
              </w:rPr>
              <w:t xml:space="preserve">да</w:t>
            </w:r>
          </w:p>
        </w:tc>
      </w:tr>
      <w:tr>
        <w:trPr>
          <w:tblHeader w:val="false"/>
        </w:trPr>
        <w:tc>
          <w:tcPr>
            <w:tcW w:type="dxa" w:w="18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protected</w:t>
            </w:r>
          </w:p>
        </w:tc>
        <w:tc>
          <w:tcPr>
            <w:tcW w:type="dxa" w:w="18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4"/>
                <w:szCs w:val="24"/>
              </w:rPr>
              <w:t xml:space="preserve">да</w:t>
            </w:r>
          </w:p>
        </w:tc>
        <w:tc>
          <w:tcPr>
            <w:tcW w:type="dxa" w:w="18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4"/>
                <w:szCs w:val="24"/>
              </w:rPr>
              <w:t xml:space="preserve">да</w:t>
            </w:r>
          </w:p>
        </w:tc>
        <w:tc>
          <w:tcPr>
            <w:tcW w:type="dxa" w:w="18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b/>
                <w:bCs/>
                <w:sz w:val="24"/>
                <w:szCs w:val="24"/>
              </w:rPr>
              <w:t xml:space="preserve">да</w:t>
            </w:r>
          </w:p>
        </w:tc>
        <w:tc>
          <w:tcPr>
            <w:tcW w:type="dxa" w:w="187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4"/>
                <w:szCs w:val="24"/>
              </w:rPr>
              <w:t xml:space="preserve">нет</w:t>
            </w:r>
          </w:p>
        </w:tc>
      </w:tr>
      <w:tr>
        <w:trPr>
          <w:tblHeader w:val="false"/>
        </w:trPr>
        <w:tc>
          <w:tcPr>
            <w:tcW w:type="dxa" w:w="18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4"/>
                <w:szCs w:val="24"/>
              </w:rPr>
              <w:t xml:space="preserve">default (без модификатора)</w:t>
            </w:r>
          </w:p>
        </w:tc>
        <w:tc>
          <w:tcPr>
            <w:tcW w:type="dxa" w:w="18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4"/>
                <w:szCs w:val="24"/>
              </w:rPr>
              <w:t xml:space="preserve">да</w:t>
            </w:r>
          </w:p>
        </w:tc>
        <w:tc>
          <w:tcPr>
            <w:tcW w:type="dxa" w:w="18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4"/>
                <w:szCs w:val="24"/>
              </w:rPr>
              <w:t xml:space="preserve">да</w:t>
            </w:r>
          </w:p>
        </w:tc>
        <w:tc>
          <w:tcPr>
            <w:tcW w:type="dxa" w:w="18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b/>
                <w:bCs/>
                <w:sz w:val="24"/>
                <w:szCs w:val="24"/>
              </w:rPr>
              <w:t xml:space="preserve">нет</w:t>
            </w:r>
          </w:p>
        </w:tc>
        <w:tc>
          <w:tcPr>
            <w:tcW w:type="dxa" w:w="187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4"/>
                <w:szCs w:val="24"/>
              </w:rPr>
              <w:t xml:space="preserve">нет</w:t>
            </w:r>
          </w:p>
        </w:tc>
      </w:tr>
      <w:tr>
        <w:trPr>
          <w:tblHeader w:val="false"/>
        </w:trPr>
        <w:tc>
          <w:tcPr>
            <w:tcW w:type="dxa" w:w="18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private</w:t>
            </w:r>
          </w:p>
        </w:tc>
        <w:tc>
          <w:tcPr>
            <w:tcW w:type="dxa" w:w="18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4"/>
                <w:szCs w:val="24"/>
              </w:rPr>
              <w:t xml:space="preserve">да</w:t>
            </w:r>
          </w:p>
        </w:tc>
        <w:tc>
          <w:tcPr>
            <w:tcW w:type="dxa" w:w="18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4"/>
                <w:szCs w:val="24"/>
              </w:rPr>
              <w:t xml:space="preserve">нет</w:t>
            </w:r>
          </w:p>
        </w:tc>
        <w:tc>
          <w:tcPr>
            <w:tcW w:type="dxa" w:w="18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4"/>
                <w:szCs w:val="24"/>
              </w:rPr>
              <w:t xml:space="preserve">нет</w:t>
            </w:r>
          </w:p>
        </w:tc>
        <w:tc>
          <w:tcPr>
            <w:tcW w:type="dxa" w:w="187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4"/>
                <w:szCs w:val="24"/>
              </w:rPr>
              <w:t xml:space="preserve">нет</w:t>
            </w:r>
          </w:p>
        </w:tc>
      </w:tr>
    </w:tbl>
    <w:p>
      <w:pPr>
        <w:spacing w:after="80"/>
      </w:pPr>
    </w:p>
    <w:p>
      <w:pPr>
        <w:spacing w:after="80"/>
        <w:ind w:firstLine="709"/>
        <w:jc w:val="both"/>
      </w:pPr>
      <w:r>
        <w:t xml:space="preserve">Принципиальная разница проявляется при наследовании. </w:t>
      </w:r>
      <w:r>
        <w:rPr>
          <w:rFonts w:ascii="Courier New" w:cs="Courier New" w:eastAsia="Courier New" w:hAnsi="Courier New"/>
          <w:sz w:val="24"/>
          <w:szCs w:val="24"/>
        </w:rPr>
        <w:t xml:space="preserve">protected</w:t>
      </w:r>
      <w:r>
        <w:t xml:space="preserve">-члены доступны подклассу (</w:t>
      </w:r>
      <w:r>
        <w:rPr>
          <w:rFonts w:ascii="Courier New" w:cs="Courier New" w:eastAsia="Courier New" w:hAnsi="Courier New"/>
          <w:sz w:val="24"/>
          <w:szCs w:val="24"/>
        </w:rPr>
        <w:t xml:space="preserve">extends</w:t>
      </w:r>
      <w:r>
        <w:t xml:space="preserve">), даже если он находится в </w:t>
      </w:r>
      <w:r>
        <w:rPr>
          <w:b/>
          <w:bCs/>
        </w:rPr>
        <w:t xml:space="preserve">другом пакете</w:t>
      </w:r>
      <w:r>
        <w:t xml:space="preserve">. Default-члены видны только внутри своего пакета: подкласс из другого пакета их не унаследует как доступные. В пределах одного пакета оба модификатора ведут себя одинаково.</w:t>
      </w:r>
    </w:p>
    <w:p>
      <w:pPr>
        <w:pStyle w:val="Heading2"/>
        <w:keepNext/>
        <w:jc w:val="left"/>
      </w:pPr>
      <w:r>
        <w:t xml:space="preserve">Вопрос 3. Почему private ещё не гарантирует скрытость</w:t>
      </w:r>
    </w:p>
    <w:p>
      <w:pPr>
        <w:spacing w:after="80"/>
        <w:ind w:firstLine="709"/>
        <w:jc w:val="both"/>
      </w:pPr>
      <w:r>
        <w:t xml:space="preserve">Видимость члена класса ограничена видимостью </w:t>
      </w:r>
      <w:r>
        <w:rPr>
          <w:b/>
          <w:bCs/>
        </w:rPr>
        <w:t xml:space="preserve">самого класса</w:t>
      </w:r>
      <w:r>
        <w:t xml:space="preserve">. Модификатор доступа класса — более высокий уровень. Если класс объявлен без </w:t>
      </w:r>
      <w:r>
        <w:rPr>
          <w:rFonts w:ascii="Courier New" w:cs="Courier New" w:eastAsia="Courier New" w:hAnsi="Courier New"/>
          <w:sz w:val="24"/>
          <w:szCs w:val="24"/>
        </w:rPr>
        <w:t xml:space="preserve">public</w:t>
      </w:r>
      <w:r>
        <w:t xml:space="preserve"> (default), другие пакеты не видят его вовсе, а значит и его методы, даже </w:t>
      </w:r>
      <w:r>
        <w:rPr>
          <w:rFonts w:ascii="Courier New" w:cs="Courier New" w:eastAsia="Courier New" w:hAnsi="Courier New"/>
          <w:sz w:val="24"/>
          <w:szCs w:val="24"/>
        </w:rPr>
        <w:t xml:space="preserve">public</w:t>
      </w:r>
      <w:r>
        <w:t xml:space="preserve">. И наоборот: </w:t>
      </w:r>
      <w:r>
        <w:rPr>
          <w:rFonts w:ascii="Courier New" w:cs="Courier New" w:eastAsia="Courier New" w:hAnsi="Courier New"/>
          <w:sz w:val="24"/>
          <w:szCs w:val="24"/>
        </w:rPr>
        <w:t xml:space="preserve">private</w:t>
      </w:r>
      <w:r>
        <w:t xml:space="preserve"> скрывает поле, но если класс </w:t>
      </w:r>
      <w:r>
        <w:rPr>
          <w:rFonts w:ascii="Courier New" w:cs="Courier New" w:eastAsia="Courier New" w:hAnsi="Courier New"/>
          <w:sz w:val="24"/>
          <w:szCs w:val="24"/>
        </w:rPr>
        <w:t xml:space="preserve">public</w:t>
      </w:r>
      <w:r>
        <w:t xml:space="preserve"> и у него есть </w:t>
      </w:r>
      <w:r>
        <w:rPr>
          <w:rFonts w:ascii="Courier New" w:cs="Courier New" w:eastAsia="Courier New" w:hAnsi="Courier New"/>
          <w:sz w:val="24"/>
          <w:szCs w:val="24"/>
        </w:rPr>
        <w:t xml:space="preserve">public</w:t>
      </w:r>
      <w:r>
        <w:t xml:space="preserve">-геттер и сеттер без проверок, поле фактически открыто. Итог: доступ определяется сочетанием модификатора класса (и пакета, в котором он лежит) и модификаторов его членов.</w:t>
      </w:r>
    </w:p>
    <w:p>
      <w:pPr>
        <w:pStyle w:val="Heading2"/>
        <w:keepNext/>
        <w:jc w:val="left"/>
      </w:pPr>
      <w:r>
        <w:t xml:space="preserve">Вопрос 4. Как выбирать модификаторы для методов</w:t>
      </w:r>
    </w:p>
    <w:p>
      <w:pPr>
        <w:spacing w:after="80"/>
        <w:ind w:firstLine="709"/>
        <w:jc w:val="both"/>
      </w:pPr>
      <w:r>
        <w:t xml:space="preserve">Принцип — </w:t>
      </w:r>
      <w:r>
        <w:rPr>
          <w:b/>
          <w:bCs/>
        </w:rPr>
        <w:t xml:space="preserve">минимальные необходимые права</w:t>
      </w:r>
      <w:r>
        <w:t xml:space="preserve"> (давать как можно меньше доступа). По умолчанию метод стоит делать </w:t>
      </w:r>
      <w:r>
        <w:rPr>
          <w:rFonts w:ascii="Courier New" w:cs="Courier New" w:eastAsia="Courier New" w:hAnsi="Courier New"/>
          <w:sz w:val="24"/>
          <w:szCs w:val="24"/>
        </w:rPr>
        <w:t xml:space="preserve">private</w:t>
      </w:r>
      <w:r>
        <w:t xml:space="preserve"> и открывать его только тогда, когда он действительно нужен снаружи.</w:t>
      </w:r>
    </w:p>
    <w:p>
      <w:pPr>
        <w:pStyle w:val="ListParagraph"/>
        <w:numPr>
          <w:ilvl w:val="0"/>
          <w:numId w:val="3"/>
        </w:numPr>
        <w:spacing w:after="40"/>
        <w:jc w:val="both"/>
      </w:pPr>
      <w:r>
        <w:t xml:space="preserve">Методы, которые составляют «услуги» класса для внешнего мира, — </w:t>
      </w: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public</w:t>
      </w:r>
      <w:r>
        <w:t xml:space="preserve"> (как </w:t>
      </w:r>
      <w:r>
        <w:rPr>
          <w:rFonts w:ascii="Courier New" w:cs="Courier New" w:eastAsia="Courier New" w:hAnsi="Courier New"/>
          <w:sz w:val="24"/>
          <w:szCs w:val="24"/>
        </w:rPr>
        <w:t xml:space="preserve">useMeEverybody</w:t>
      </w:r>
      <w:r>
        <w:t xml:space="preserve">). Это контракт класса: его стоит менять как можно реже.</w:t>
      </w:r>
    </w:p>
    <w:p>
      <w:pPr>
        <w:pStyle w:val="ListParagraph"/>
        <w:numPr>
          <w:ilvl w:val="0"/>
          <w:numId w:val="3"/>
        </w:numPr>
        <w:spacing w:after="40"/>
        <w:jc w:val="both"/>
      </w:pPr>
      <w:r>
        <w:t xml:space="preserve">Вспомогательные методы, детали реализации — </w:t>
      </w: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private</w:t>
      </w:r>
      <w:r>
        <w:t xml:space="preserve"> (как </w:t>
      </w:r>
      <w:r>
        <w:rPr>
          <w:rFonts w:ascii="Courier New" w:cs="Courier New" w:eastAsia="Courier New" w:hAnsi="Courier New"/>
          <w:sz w:val="24"/>
          <w:szCs w:val="24"/>
        </w:rPr>
        <w:t xml:space="preserve">secretInternalTask</w:t>
      </w:r>
      <w:r>
        <w:t xml:space="preserve">). Их можно свободно переписывать, никто снаружи от них не зависит.</w:t>
      </w:r>
    </w:p>
    <w:p>
      <w:pPr>
        <w:pStyle w:val="ListParagraph"/>
        <w:numPr>
          <w:ilvl w:val="0"/>
          <w:numId w:val="3"/>
        </w:numPr>
        <w:spacing w:after="40"/>
        <w:jc w:val="both"/>
      </w:pPr>
      <w:r>
        <w:rPr>
          <w:rFonts w:ascii="Courier New" w:cs="Courier New" w:eastAsia="Courier New" w:hAnsi="Courier New"/>
          <w:sz w:val="24"/>
          <w:szCs w:val="24"/>
        </w:rPr>
        <w:t xml:space="preserve">protected</w:t>
      </w:r>
      <w:r>
        <w:t xml:space="preserve"> — для того, что должны переопределять или использовать наследники, но не все остальные.</w:t>
      </w:r>
    </w:p>
    <w:p>
      <w:pPr>
        <w:spacing w:after="80"/>
        <w:ind w:firstLine="709"/>
        <w:jc w:val="both"/>
      </w:pPr>
      <w:r>
        <w:t xml:space="preserve">Публичные методы обычно сами вызывают приватные: снаружи виден простой интерфейс, а внутренняя кухня скрыта.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6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public class Robot {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public void useMeEverybody() {      // открыто всем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secretInternalTask();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void secretInternalTask() { // деталь реализации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// ...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16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sectPr>
      <w:footerReference w:type="default" r:id="rId7"/>
      <w:pgSz w:w="11906" w:h="16838" w:orient="portrait"/>
      <w:pgMar w:top="1134" w:right="851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09" w:hanging="284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09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>
      <w:pPr>
        <w:spacing w:line="276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0"/>
      <w:outlineLvl w:val="0"/>
    </w:pPr>
    <w:rPr>
      <w:rFonts w:ascii="Times New Roman" w:cs="Times New Roman" w:eastAsia="Times New Roman" w:hAnsi="Times New Roman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Times New Roman" w:cs="Times New Roman" w:eastAsia="Times New Roman" w:hAnsi="Times New Roman"/>
      <w:b/>
      <w:bCs/>
      <w:i/>
      <w:iCs/>
      <w:color w:val="0000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2026-10-01T12:29:50.336Z</dcterms:created>
  <dcterms:modified xsi:type="dcterms:W3CDTF">2026-10-01T12:29:50.336Z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