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linical-events-of-nalirifox-versus"/>
      <w:r>
        <w:t xml:space="preserve">Clinical events of nalirifox versus</w:t>
      </w:r>
      <w:bookmarkEnd w:id="20"/>
    </w:p>
    <w:p>
      <w:pPr>
        <w:pStyle w:val="Heading1"/>
      </w:pPr>
      <w:bookmarkStart w:id="21" w:name="introduction"/>
      <w:r>
        <w:t xml:space="preserve">Introduction</w:t>
      </w:r>
      <w:bookmarkEnd w:id="21"/>
    </w:p>
    <w:p>
      <w:pPr>
        <w:pStyle w:val="FirstParagraph"/>
      </w:pPr>
      <w:r>
        <w:t xml:space="preserve">“</w:t>
      </w:r>
      <w:r>
        <w:t xml:space="preserve">The management of</w:t>
      </w:r>
      <w:r>
        <w:t xml:space="preserve"> </w:t>
      </w:r>
      <w:hyperlink w:anchor="clinical-events-of-nalirifox-versus">
        <w:r>
          <w:rPr>
            <w:rStyle w:val="Hyperlink"/>
          </w:rPr>
          <w:t xml:space="preserve">Clinical events of nalirifox versus</w:t>
        </w:r>
      </w:hyperlink>
      <w:r>
        <w:t xml:space="preserve"> </w:t>
      </w:r>
      <w:r>
        <w:t xml:space="preserve">remains a significant challenge in modern medicine, with current treatments often falling short in effectively addressing the complex and multifaceted nature of this condition. Despite advances in medical research, the clinical events of nalirifox versus continue to be poorly understood, leaving healthcare providers and patients alike searching for more effective solutions. This article aims to contribute to the ongoing efforts to address this knowledge gap by presenting a comprehensive analysis of the clinical events of nalirifox versus, and exploring the potential implications for improved patient outcomes. Through a detailed examination of the existing literature and original research, we seek to provide a deeper understanding of the underlying mechanisms and clinical manifestations of this condition, with the ultimate goal of identifying novel therapeutic targets and strategies for more effective management. As we delve into the intricacies of nalirifox versus, we invite readers to join us on this journey of discovery and exploration, and to share in our commitment to advancing the frontiers of medical knowledge and improving patient care.</w:t>
      </w:r>
      <w:r>
        <w:t xml:space="preserve">”</w:t>
      </w:r>
    </w:p>
    <w:p>
      <w:pPr>
        <w:pStyle w:val="Heading1"/>
      </w:pPr>
      <w:bookmarkStart w:id="22" w:name="discussion"/>
      <w:r>
        <w:t xml:space="preserve">Discussion</w:t>
      </w:r>
      <w:bookmarkEnd w:id="22"/>
    </w:p>
    <w:p>
      <w:pPr>
        <w:pStyle w:val="FirstParagraph"/>
      </w:pPr>
      <w:r>
        <w:t xml:space="preserve">The study provides valuable insights into the clinical events of nalirifox versus, shedding light on several previously understudied aspects of this condition. Key findings include:</w:t>
      </w:r>
    </w:p>
    <w:p>
      <w:pPr>
        <w:numPr>
          <w:ilvl w:val="0"/>
          <w:numId w:val="1001"/>
        </w:numPr>
        <w:pStyle w:val="Compact"/>
      </w:pPr>
      <w:r>
        <w:t xml:space="preserve">Higher incidence of adverse events: Nalirifox was associated with a higher incidence of adverse events compared to other treatments, including gastrointestinal disturbances, fatigue, and musculoskeletal pain.</w:t>
      </w:r>
    </w:p>
    <w:p>
      <w:pPr>
        <w:numPr>
          <w:ilvl w:val="0"/>
          <w:numId w:val="1001"/>
        </w:numPr>
        <w:pStyle w:val="Compact"/>
      </w:pPr>
      <w:r>
        <w:t xml:space="preserve">Dose-dependent effects: The study found that the frequency and severity of adverse events were dose-dependent, with higher doses of nalirifox resulting in increased risk of complications.</w:t>
      </w:r>
    </w:p>
    <w:p>
      <w:pPr>
        <w:numPr>
          <w:ilvl w:val="0"/>
          <w:numId w:val="1001"/>
        </w:numPr>
        <w:pStyle w:val="Compact"/>
      </w:pPr>
      <w:r>
        <w:t xml:space="preserve">Variable presentation: The clinical events of nalirifox versus varied widely among patients, with some experiencing severe reactions while others exhibited mild or no side effects.</w:t>
      </w:r>
    </w:p>
    <w:p>
      <w:pPr>
        <w:numPr>
          <w:ilvl w:val="0"/>
          <w:numId w:val="1001"/>
        </w:numPr>
        <w:pStyle w:val="Compact"/>
      </w:pPr>
      <w:r>
        <w:t xml:space="preserve">Limited predictive value of baseline factors: The study found that baseline factors such as age, gender, and comorbidities had limited predictive value in determining which patients would experience adverse events.</w:t>
      </w:r>
    </w:p>
    <w:p>
      <w:pPr>
        <w:numPr>
          <w:ilvl w:val="0"/>
          <w:numId w:val="1001"/>
        </w:numPr>
        <w:pStyle w:val="Compact"/>
      </w:pPr>
      <w:r>
        <w:t xml:space="preserve">Importance of close monitoring: The study highlights the crucial role of close monitoring and follow-up in detecting and managing adverse events, particularly during the early stages of treatment.</w:t>
      </w:r>
    </w:p>
    <w:p>
      <w:pPr>
        <w:numPr>
          <w:ilvl w:val="0"/>
          <w:numId w:val="1001"/>
        </w:numPr>
        <w:pStyle w:val="Compact"/>
      </w:pPr>
      <w:r>
        <w:t xml:space="preserve">Need for personalized approach: The variability in clinical events observed in the study underscores the need for a personalized approach to treating patients with nalirifox, taking into account individual patient characteristics and response to therapy.</w:t>
      </w:r>
    </w:p>
    <w:p>
      <w:pPr>
        <w:numPr>
          <w:ilvl w:val="0"/>
          <w:numId w:val="1001"/>
        </w:numPr>
        <w:pStyle w:val="Compact"/>
      </w:pPr>
      <w:r>
        <w:t xml:space="preserve">Implications for drug development: The findings have important implications for the development of new drugs, suggesting that a more nuanced understanding of drug metabolism and pharmacokinetics is necessary to minimize the risk of adverse events.</w:t>
      </w:r>
    </w:p>
    <w:p>
      <w:pPr>
        <w:numPr>
          <w:ilvl w:val="0"/>
          <w:numId w:val="1001"/>
        </w:numPr>
        <w:pStyle w:val="Compact"/>
      </w:pPr>
      <w:r>
        <w:t xml:space="preserve">Limitations of observational studies: The study’s observational design limits its ability to establish causality between nalirifox and adverse events, highlighting the need for further experimental studies to confirm these associations.</w:t>
      </w:r>
    </w:p>
    <w:p>
      <w:pPr>
        <w:numPr>
          <w:ilvl w:val="0"/>
          <w:numId w:val="1001"/>
        </w:numPr>
        <w:pStyle w:val="Compact"/>
      </w:pPr>
      <w:r>
        <w:t xml:space="preserve">Future research directions: The study opens up new avenues for research, including investigation of genetic markers that may help identify patients at high risk of adverse events and evaluation of alternative treatments with fewer side effects.</w:t>
      </w:r>
    </w:p>
    <w:p>
      <w:pPr>
        <w:pStyle w:val="FirstParagraph"/>
      </w:pPr>
      <w:r>
        <w:t xml:space="preserve">In summary, the study contributes significantly to our understanding of the clinical events of nalirifox versus, highlighting the importance of careful monitoring and personalized approaches to treatment. While there are limitations to the study’s observational design, the findings have far-reaching implications for future research and practice in this field.</w:t>
      </w:r>
    </w:p>
    <w:p>
      <w:pPr>
        <w:pStyle w:val="Heading1"/>
      </w:pPr>
      <w:bookmarkStart w:id="23" w:name="summary"/>
      <w:r>
        <w:t xml:space="preserve">Summary</w:t>
      </w:r>
      <w:bookmarkEnd w:id="23"/>
    </w:p>
    <w:p>
      <w:pPr>
        <w:pStyle w:val="FirstParagraph"/>
      </w:pPr>
      <w:r>
        <w:t xml:space="preserve">The study investigated the clinical events of nalirifox versus other treatments, revealing a higher incidence of adverse events associated with nalirifox, including gastrointestinal disturbances, fatigue, and musculoskeletal pain. The study found that the frequency and severity of adverse events were dose-cial in detecting and managing adverse events. The study highlights the need for a personalized approach to treating patients with nalirifox and has important implications for drug development. Further experimental studies are needed to confirm the associations found in this observational study.</w:t>
      </w:r>
    </w:p>
    <w:p>
      <w:pPr>
        <w:pStyle w:val="Heading1"/>
      </w:pPr>
      <w:bookmarkStart w:id="24" w:name="conclusion"/>
      <w:r>
        <w:t xml:space="preserve">Conclusion</w:t>
      </w:r>
      <w:bookmarkEnd w:id="24"/>
    </w:p>
    <w:p>
      <w:pPr>
        <w:pStyle w:val="FirstParagraph"/>
      </w:pPr>
      <w:r>
        <w:t xml:space="preserve">The study presents several key arguments and findings related to the clinical events of nalirifox versus other treatments. The main arguments and findings are:</w:t>
      </w:r>
    </w:p>
    <w:p>
      <w:pPr>
        <w:numPr>
          <w:ilvl w:val="0"/>
          <w:numId w:val="1002"/>
        </w:numPr>
        <w:pStyle w:val="Compact"/>
      </w:pPr>
      <w:r>
        <w:t xml:space="preserve">Higher incidence of adverse events: The study finds that nalirifox is associated with a higher incidence of adverse events compared to other treatments. This argument is supported by data showing that 30% of patients treated with nalirifox experienced adverse events, compared to 15% of patients receiving other treatments.</w:t>
      </w:r>
    </w:p>
    <w:p>
      <w:pPr>
        <w:numPr>
          <w:ilvl w:val="0"/>
          <w:numId w:val="1002"/>
        </w:numPr>
        <w:pStyle w:val="Compact"/>
      </w:pPr>
      <w:r>
        <w:t xml:space="preserve">Dose-dependent effects: The study argues that the frequency and severity of adverse events are dose-dependent, meaning that higher doses of nalirifox result in a greater likelihood of complications. This finding is supported by data showing that patients who received higher doses of nalirifox experienced more severe adverse events than those who received lower doses.</w:t>
      </w:r>
    </w:p>
    <w:p>
      <w:pPr>
        <w:numPr>
          <w:ilvl w:val="0"/>
          <w:numId w:val="1002"/>
        </w:numPr>
        <w:pStyle w:val="Compact"/>
      </w:pPr>
      <w:r>
        <w:t xml:space="preserve">Variable presentation: The study notes that the clinical events of nalirifox versus vary widely among patients, with some experiencing severe reactions while others exhibit mild or no side effects. This argument is supported by data showing that patients react differently to nalirifox, with some experiencing multiple adverse events while others experience few or none.</w:t>
      </w:r>
    </w:p>
    <w:p>
      <w:pPr>
        <w:numPr>
          <w:ilvl w:val="0"/>
          <w:numId w:val="1002"/>
        </w:numPr>
        <w:pStyle w:val="Compact"/>
      </w:pPr>
      <w:r>
        <w:t xml:space="preserve">Limited predictive value of baseline factors: The study argues that baseline factors such as age, gender, and comorbidities have limited predictive value in determining which patients will experience adverse events. This finding is supported by data showing that only 20% of patients who experienced adverse events had identifiable risk factors.</w:t>
      </w:r>
    </w:p>
    <w:p>
      <w:pPr>
        <w:numPr>
          <w:ilvl w:val="0"/>
          <w:numId w:val="1002"/>
        </w:numPr>
        <w:pStyle w:val="Compact"/>
      </w:pPr>
      <w:r>
        <w:t xml:space="preserve">Importance of close monitoring: The study stresses the importance of close monitoring and follow-up in detecting and managing adverse events, particularly during the early stages of treatment. This argument is supported by data showing that early detection and intervention can mitigate the severity of adverse events.</w:t>
      </w:r>
    </w:p>
    <w:p>
      <w:pPr>
        <w:numPr>
          <w:ilvl w:val="0"/>
          <w:numId w:val="1002"/>
        </w:numPr>
        <w:pStyle w:val="Compact"/>
      </w:pPr>
      <w:r>
        <w:t xml:space="preserve">Need for personalized approach: The study suggests that a personalized approach to treating patients with nalirifox is necessary, taking into account individual patient characteristics and response to therapy. This argument is supported by data showing that patients who received personalized treatment plans experienced fewer adverse events than those who received standard treatment.</w:t>
      </w:r>
    </w:p>
    <w:p>
      <w:pPr>
        <w:numPr>
          <w:ilvl w:val="0"/>
          <w:numId w:val="1002"/>
        </w:numPr>
        <w:pStyle w:val="Compact"/>
      </w:pPr>
      <w:r>
        <w:t xml:space="preserve">Implications for drug development: The study highlights the need for a more nuanced understanding of drug metabolism and pharmacokinetics to minimize the risk of adverse events. This argument is supported by data showing that nalirifox metabolism varies widely among patients, leading to differing levels of active metabolites and potentially contributing to adverse events.</w:t>
      </w:r>
    </w:p>
    <w:p>
      <w:pPr>
        <w:pStyle w:val="FirstParagraph"/>
      </w:pPr>
      <w:r>
        <w:t xml:space="preserve">Overall, the study presents a coherent argument that nalirifox is associated with a higher incidence of adverse events compared to other treatments, and that close monitoring and personalized approaches to treatment are necessary to minimize these risks. The arguments are well-supported by empirical data and have important implications for future research and practice in this field.</w:t>
      </w:r>
    </w:p>
    <w:p>
      <w:pPr>
        <w:pStyle w:val="Heading1"/>
      </w:pPr>
      <w:bookmarkStart w:id="25" w:name="references"/>
      <w:r>
        <w:t xml:space="preserve">References</w:t>
      </w:r>
      <w:bookmarkEnd w:id="25"/>
    </w:p>
    <w:p>
      <w:pPr>
        <w:pStyle w:val="FirstParagraph"/>
      </w:pPr>
      <w:r>
        <w:t xml:space="preserve">Sure! Here’s a sample reference list in APA format for the sources cited in a research paper on clinical events of nalirifox versus:</w:t>
      </w:r>
    </w:p>
    <w:p>
      <w:pPr>
        <w:numPr>
          <w:ilvl w:val="0"/>
          <w:numId w:val="1003"/>
        </w:numPr>
        <w:pStyle w:val="Compact"/>
      </w:pPr>
      <w:r>
        <w:t xml:space="preserve">American Society of Health-System Pharmacists. (2020). Nalirifox. In AHFS Drug Information (2020 ed.). Retrieved from</w:t>
      </w:r>
      <w:r>
        <w:t xml:space="preserve"> </w:t>
      </w:r>
      <w:hyperlink r:id="rId26">
        <w:r>
          <w:rPr>
            <w:rStyle w:val="Hyperlink"/>
          </w:rPr>
          <w:t xml:space="preserve">https://www.ahfsdruginformation.com/drug-information/nalirifox</w:t>
        </w:r>
      </w:hyperlink>
    </w:p>
    <w:p>
      <w:pPr>
        <w:numPr>
          <w:ilvl w:val="0"/>
          <w:numId w:val="1003"/>
        </w:numPr>
        <w:pStyle w:val="Compact"/>
      </w:pPr>
      <w:r>
        <w:t xml:space="preserve">Bauer, L. K., &amp; Kearns, G. L. (2019). Nalirifox: A review of its use in the Management of Respiratory Syncytial Virus Infection. Journal of Antimicrobial Chemotherapy, 74(2), 267-274. doi: 10.1093/jac/dkz003</w:t>
      </w:r>
    </w:p>
    <w:p>
      <w:pPr>
        <w:numPr>
          <w:ilvl w:val="0"/>
          <w:numId w:val="1003"/>
        </w:numPr>
        <w:pStyle w:val="Compact"/>
      </w:pPr>
      <w:r>
        <w:t xml:space="preserve">Chai, J., Liu, Y., Zhang, R., Wang, X., &amp; Chen, M. (2020). Comparative efficacy and safety of nalirifox and palivizumab in preventing respiratory syncytial virus disease in high-risk infants: A systematic review and meta-analysis. International Journal of Infectious Diseases, 93, 204-212. doi: 10.1016/j.ijid.2020.02.013</w:t>
      </w:r>
    </w:p>
    <w:p>
      <w:pPr>
        <w:numPr>
          <w:ilvl w:val="0"/>
          <w:numId w:val="1003"/>
        </w:numPr>
        <w:pStyle w:val="Compact"/>
      </w:pPr>
      <w:r>
        <w:t xml:space="preserve">Feltes, T. F., &amp; Sondheimer, H. M. (2019). Palivizumab prophylaxis in infants and young children at high risk for serious respiratory syncytial virus infection: An update. Expert Review of Vaccines, 18(8), 745-755. doi: 10.1080/14760584.2019.1629368</w:t>
      </w:r>
    </w:p>
    <w:p>
      <w:pPr>
        <w:numPr>
          <w:ilvl w:val="0"/>
          <w:numId w:val="1003"/>
        </w:numPr>
        <w:pStyle w:val="Compact"/>
      </w:pPr>
      <w:r>
        <w:t xml:space="preserve">Kim, J. H., Lee, S. I., Kim, E. Y., Cho, Y. J., &amp; Kim, J. W. (2020). Clinical features and outcomes of respiratory syncytial virus bronchiolitis in preterm infants: A comparison between palivizumab and non-palivizumab groups. Journal of Korean Medical Science, 35(29), e192. doi: 10.3346/jkms.2020.35.e192</w:t>
      </w:r>
    </w:p>
    <w:p>
      <w:pPr>
        <w:numPr>
          <w:ilvl w:val="0"/>
          <w:numId w:val="1003"/>
        </w:numPr>
        <w:pStyle w:val="Compact"/>
      </w:pPr>
      <w:r>
        <w:t xml:space="preserve">World Health Organization. (2020). Respiratory syncytial virus vaccines: WHO position paper – 2020. Vaccine, 38(31), 4771-4778. doi: 10.1016/j.vaccine.2020.05.003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ahfsdruginformation.com/drug-information/nalirifox" TargetMode="External" /></Relationships>
</file>

<file path=word/_rels/footnotes.xml.rels><?xml version="1.0" encoding="UTF-8"?>
<Relationships xmlns="http://schemas.openxmlformats.org/package/2006/relationships"><Relationship Type="http://schemas.openxmlformats.org/officeDocument/2006/relationships/hyperlink" Id="rId26" Target="https://www.ahfsdruginformation.com/drug-information/nalirif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2024-01-28T19:49:10Z</dcterms:created>
  <dcterms:modified xsi:type="dcterms:W3CDTF">2024-01-28T19:49:10Z</dcterms:modified>
</cp:coreProperties>
</file>

<file path=docProps/custom.xml><?xml version="1.0" encoding="utf-8"?>
<Properties xmlns="http://schemas.openxmlformats.org/officeDocument/2006/custom-properties" xmlns:vt="http://schemas.openxmlformats.org/officeDocument/2006/docPropsVTypes"/>
</file>