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1738004644279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2025-01-27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