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Garamond" w:cs="Garamond" w:eastAsia="Garamond" w:hAnsi="Garamond"/>
          <w:b/>
          <w:bCs/>
          <w:color w:val="0D1F3C"/>
          <w:sz w:val="56"/>
          <w:szCs w:val="56"/>
        </w:rPr>
        <w:t xml:space="preserve">MICHAEL RUSSO</w:t>
      </w:r>
    </w:p>
    <w:p>
      <w:pPr>
        <w:spacing w:after="40"/>
      </w:pPr>
      <w:r>
        <w:rPr>
          <w:rFonts w:ascii="Garamond" w:cs="Garamond" w:eastAsia="Garamond" w:hAnsi="Garamond"/>
          <w:i/>
          <w:iCs/>
          <w:color w:val="444444"/>
          <w:sz w:val="22"/>
          <w:szCs w:val="22"/>
        </w:rPr>
        <w:t xml:space="preserve">Public Safety Data Analyst &amp; Investigative Research Partner</w:t>
      </w:r>
    </w:p>
    <w:p>
      <w:r>
        <w:rPr>
          <w:rFonts w:ascii="Garamond" w:cs="Garamond" w:eastAsia="Garamond" w:hAnsi="Garamond"/>
          <w:color w:val="777777"/>
          <w:sz w:val="18"/>
          <w:szCs w:val="18"/>
        </w:rPr>
        <w:t xml:space="preserve">Troy, MI  (Remote)   |   michael@policytorque.com   |   PolicyTorque.com   |   github.com/mfr1003</w:t>
      </w:r>
    </w:p>
    <w:p>
      <w:pPr>
        <w:pBdr>
          <w:bottom w:val="single" w:color="0D1F3C" w:sz="12" w:space="2"/>
        </w:pBdr>
        <w:spacing w:after="160" w:before="100"/>
      </w:pPr>
    </w:p>
    <w:p>
      <w:pPr>
        <w:spacing w:after="60" w:before="60"/>
      </w:pPr>
      <w:r>
        <w:rPr>
          <w:rFonts w:ascii="Garamond" w:cs="Garamond" w:eastAsia="Garamond" w:hAnsi="Garamond"/>
          <w:b w:val="false"/>
          <w:bCs w:val="false"/>
          <w:i w:val="false"/>
          <w:iCs w:val="false"/>
          <w:color w:val="1A1A1A"/>
          <w:sz w:val="20"/>
          <w:szCs w:val="20"/>
        </w:rPr>
        <w:t xml:space="preserve">Chicago-raised (UIC, '00s), metro Detroit-based policy analyst and engineer with active public safety data investigations underway in Chicago. Founder of PolicyTorque LLC, an independent policy research platform. Ten years of Tier 1 and OEM automotive engineering experience providing the technical foundation for data-driven accountability work. Available for newsroom data tools partnerships and retainer research engagements on a remote basis, with scheduled Chicago presence built into retainer arrangements.</w:t>
      </w:r>
    </w:p>
    <w:p>
      <w:pPr>
        <w:pBdr>
          <w:bottom w:val="single" w:color="B8972A" w:sz="4" w:space="2"/>
        </w:pBdr>
        <w:spacing w:before="120"/>
      </w:pPr>
    </w:p>
    <w:p>
      <w:pPr>
        <w:spacing w:after="80" w:before="220"/>
      </w:pPr>
      <w:r>
        <w:rPr>
          <w:rFonts w:ascii="Arial" w:cs="Arial" w:eastAsia="Arial" w:hAnsi="Arial"/>
          <w:b/>
          <w:bCs/>
          <w:caps/>
          <w:color w:val="0D1F3C"/>
          <w:sz w:val="22"/>
          <w:szCs w:val="22"/>
        </w:rPr>
        <w:t xml:space="preserve">Active Chicago Public Safety Investigation</w:t>
      </w:r>
    </w:p>
    <w:p>
      <w:pPr>
        <w:spacing w:after="60" w:before="60"/>
      </w:pPr>
      <w:r>
        <w:rPr>
          <w:rFonts w:ascii="Garamond" w:cs="Garamond" w:eastAsia="Garamond" w:hAnsi="Garamond"/>
          <w:b/>
          <w:bCs/>
          <w:i w:val="false"/>
          <w:iCs w:val="false"/>
          <w:color w:val="1A1A1A"/>
          <w:sz w:val="20"/>
          <w:szCs w:val="20"/>
        </w:rPr>
        <w:t xml:space="preserve">Does Chicago's CTA fare enforcement apparatus recover more in fines than it costs to operate?</w:t>
      </w:r>
    </w:p>
    <w:p>
      <w:pPr>
        <w:spacing w:before="40"/>
      </w:pPr>
    </w:p>
    <w:p>
      <w:pPr>
        <w:spacing w:after="60" w:before="60"/>
      </w:pPr>
      <w:r>
        <w:rPr>
          <w:rFonts w:ascii="Garamond" w:cs="Garamond" w:eastAsia="Garamond" w:hAnsi="Garamond"/>
          <w:b w:val="false"/>
          <w:bCs w:val="false"/>
          <w:i w:val="false"/>
          <w:iCs w:val="false"/>
          <w:color w:val="1A1A1A"/>
          <w:sz w:val="20"/>
          <w:szCs w:val="20"/>
        </w:rPr>
        <w:t xml:space="preserve">That is a fiscal question with a values answer. If the ROI is negative, or inconsistent year over year, the fiscal justification for an enforcement regime that falls disproportionately on minority riders is empirically false. What remains is a policy choice with authors.</w:t>
      </w:r>
    </w:p>
    <w:p>
      <w:pPr>
        <w:spacing w:before="40"/>
      </w:pPr>
    </w:p>
    <w:p>
      <w:pPr>
        <w:pStyle w:val="ListParagraph"/>
        <w:numPr>
          <w:ilvl w:val="0"/>
          <w:numId w:val="2"/>
        </w:numPr>
        <w:spacing w:after="40" w:before="40"/>
      </w:pPr>
      <w:r>
        <w:rPr>
          <w:rFonts w:ascii="Garamond" w:cs="Garamond" w:eastAsia="Garamond" w:hAnsi="Garamond"/>
          <w:color w:val="1A1A1A"/>
          <w:sz w:val="20"/>
          <w:szCs w:val="20"/>
        </w:rPr>
        <w:t xml:space="preserve">Four FOIA requests filed April 13, 2026: DOAH (collection rates), CPD (activity code breakdown), Cook County Sheriff (contract value), CTA (internal loss estimates). Sheriff reference confirmed: R091132-041326.</w:t>
      </w:r>
    </w:p>
    <w:p>
      <w:pPr>
        <w:pStyle w:val="ListParagraph"/>
        <w:numPr>
          <w:ilvl w:val="0"/>
          <w:numId w:val="2"/>
        </w:numPr>
        <w:spacing w:after="40" w:before="40"/>
      </w:pPr>
      <w:r>
        <w:rPr>
          <w:rFonts w:ascii="Garamond" w:cs="Garamond" w:eastAsia="Garamond" w:hAnsi="Garamond"/>
          <w:color w:val="1A1A1A"/>
          <w:sz w:val="20"/>
          <w:szCs w:val="20"/>
        </w:rPr>
        <w:t xml:space="preserve">Python pipeline pulling CPD ANOV consent decree dataset via Chicago Data Portal Socrata API. Filters transit violations, profiles demographics and dispositions, runs 3x3 ROI sensitivity table.</w:t>
      </w:r>
    </w:p>
    <w:p>
      <w:pPr>
        <w:pStyle w:val="ListParagraph"/>
        <w:numPr>
          <w:ilvl w:val="0"/>
          <w:numId w:val="2"/>
        </w:numPr>
        <w:spacing w:after="40" w:before="40"/>
      </w:pPr>
      <w:r>
        <w:rPr>
          <w:rFonts w:ascii="Garamond" w:cs="Garamond" w:eastAsia="Garamond" w:hAnsi="Garamond"/>
          <w:color w:val="1A1A1A"/>
          <w:sz w:val="20"/>
          <w:szCs w:val="20"/>
        </w:rPr>
        <w:t xml:space="preserve">Methodology documented before results known. Three pre-defined outcomes, each with a different story. Cost allocation problem explicitly addressed via activity code FOIA. Sensitivity table includes assumptions favorable to enforcement.</w:t>
      </w:r>
    </w:p>
    <w:p>
      <w:pPr>
        <w:pStyle w:val="ListParagraph"/>
        <w:numPr>
          <w:ilvl w:val="0"/>
          <w:numId w:val="2"/>
        </w:numPr>
        <w:spacing w:after="40" w:before="40"/>
      </w:pPr>
      <w:r>
        <w:rPr>
          <w:rFonts w:ascii="Garamond" w:cs="Garamond" w:eastAsia="Garamond" w:hAnsi="Garamond"/>
          <w:color w:val="1A1A1A"/>
          <w:sz w:val="20"/>
          <w:szCs w:val="20"/>
        </w:rPr>
        <w:t xml:space="preserve">Live public GitHub repo: github.com/mfr1003/Chicago-Public-Safety-Data-and-Tools</w:t>
      </w:r>
    </w:p>
    <w:p>
      <w:pPr>
        <w:pBdr>
          <w:bottom w:val="single" w:color="B8972A" w:sz="4" w:space="2"/>
        </w:pBdr>
        <w:spacing w:before="120"/>
      </w:pPr>
    </w:p>
    <w:p>
      <w:pPr>
        <w:spacing w:after="80" w:before="220"/>
      </w:pPr>
      <w:r>
        <w:rPr>
          <w:rFonts w:ascii="Arial" w:cs="Arial" w:eastAsia="Arial" w:hAnsi="Arial"/>
          <w:b/>
          <w:bCs/>
          <w:caps/>
          <w:color w:val="0D1F3C"/>
          <w:sz w:val="22"/>
          <w:szCs w:val="22"/>
        </w:rPr>
        <w:t xml:space="preserve">Data &amp; Technical Capabilities</w:t>
      </w:r>
    </w:p>
    <w:p>
      <w:pPr>
        <w:pStyle w:val="ListParagraph"/>
        <w:numPr>
          <w:ilvl w:val="0"/>
          <w:numId w:val="2"/>
        </w:numPr>
        <w:spacing w:after="40" w:before="40"/>
      </w:pPr>
      <w:r>
        <w:rPr>
          <w:rFonts w:ascii="Garamond" w:cs="Garamond" w:eastAsia="Garamond" w:hAnsi="Garamond"/>
          <w:color w:val="1A1A1A"/>
          <w:sz w:val="20"/>
          <w:szCs w:val="20"/>
        </w:rPr>
        <w:t xml:space="preserve">Python, Node.js, JavaScript, SQL. Open government data via Socrata API.</w:t>
      </w:r>
    </w:p>
    <w:p>
      <w:pPr>
        <w:pStyle w:val="ListParagraph"/>
        <w:numPr>
          <w:ilvl w:val="0"/>
          <w:numId w:val="2"/>
        </w:numPr>
        <w:spacing w:after="40" w:before="40"/>
      </w:pPr>
      <w:r>
        <w:rPr>
          <w:rFonts w:ascii="Garamond" w:cs="Garamond" w:eastAsia="Garamond" w:hAnsi="Garamond"/>
          <w:color w:val="1A1A1A"/>
          <w:sz w:val="20"/>
          <w:szCs w:val="20"/>
        </w:rPr>
        <w:t xml:space="preserve">FOIA strategy, filing, and pipeline management across multiple simultaneous requests.</w:t>
      </w:r>
    </w:p>
    <w:p>
      <w:pPr>
        <w:pStyle w:val="ListParagraph"/>
        <w:numPr>
          <w:ilvl w:val="0"/>
          <w:numId w:val="2"/>
        </w:numPr>
        <w:spacing w:after="40" w:before="40"/>
      </w:pPr>
      <w:r>
        <w:rPr>
          <w:rFonts w:ascii="Garamond" w:cs="Garamond" w:eastAsia="Garamond" w:hAnsi="Garamond"/>
          <w:color w:val="1A1A1A"/>
          <w:sz w:val="20"/>
          <w:szCs w:val="20"/>
        </w:rPr>
        <w:t xml:space="preserve">ROI frameworks, sensitivity tables, methodology-first research design built to withstand editorial and legal scrutiny.</w:t>
      </w:r>
    </w:p>
    <w:p>
      <w:pPr>
        <w:pStyle w:val="ListParagraph"/>
        <w:numPr>
          <w:ilvl w:val="0"/>
          <w:numId w:val="2"/>
        </w:numPr>
        <w:spacing w:after="40" w:before="40"/>
      </w:pPr>
      <w:r>
        <w:rPr>
          <w:rFonts w:ascii="Garamond" w:cs="Garamond" w:eastAsia="Garamond" w:hAnsi="Garamond"/>
          <w:color w:val="1A1A1A"/>
          <w:sz w:val="20"/>
          <w:szCs w:val="20"/>
        </w:rPr>
        <w:t xml:space="preserve">GitHub repository management and public data infrastructure.</w:t>
      </w:r>
    </w:p>
    <w:p>
      <w:pPr>
        <w:pStyle w:val="ListParagraph"/>
        <w:numPr>
          <w:ilvl w:val="0"/>
          <w:numId w:val="2"/>
        </w:numPr>
        <w:spacing w:after="40" w:before="40"/>
      </w:pPr>
      <w:r>
        <w:rPr>
          <w:rFonts w:ascii="Garamond" w:cs="Garamond" w:eastAsia="Garamond" w:hAnsi="Garamond"/>
          <w:color w:val="1A1A1A"/>
          <w:sz w:val="20"/>
          <w:szCs w:val="20"/>
        </w:rPr>
        <w:t xml:space="preserve">Live data tools: Market Sentinel desktop app (Electron + React + Flask) with real-time options flow monitoring.</w:t>
      </w:r>
    </w:p>
    <w:p>
      <w:pPr>
        <w:pStyle w:val="ListParagraph"/>
        <w:numPr>
          <w:ilvl w:val="0"/>
          <w:numId w:val="2"/>
        </w:numPr>
        <w:spacing w:after="40" w:before="40"/>
      </w:pPr>
      <w:r>
        <w:rPr>
          <w:rFonts w:ascii="Garamond" w:cs="Garamond" w:eastAsia="Garamond" w:hAnsi="Garamond"/>
          <w:color w:val="1A1A1A"/>
          <w:sz w:val="20"/>
          <w:szCs w:val="20"/>
        </w:rPr>
        <w:t xml:space="preserve">Familiar with Flourish, Datawrapper, and Knight Lab storytelling tools.</w:t>
      </w:r>
    </w:p>
    <w:p>
      <w:pPr>
        <w:pBdr>
          <w:bottom w:val="single" w:color="B8972A" w:sz="4" w:space="2"/>
        </w:pBdr>
        <w:spacing w:before="120"/>
      </w:pPr>
    </w:p>
    <w:p>
      <w:pPr>
        <w:spacing w:after="80" w:before="220"/>
      </w:pPr>
      <w:r>
        <w:rPr>
          <w:rFonts w:ascii="Arial" w:cs="Arial" w:eastAsia="Arial" w:hAnsi="Arial"/>
          <w:b/>
          <w:bCs/>
          <w:caps/>
          <w:color w:val="0D1F3C"/>
          <w:sz w:val="22"/>
          <w:szCs w:val="22"/>
        </w:rPr>
        <w:t xml:space="preserve">Additional Research &amp; Publication</w:t>
      </w:r>
    </w:p>
    <w:p>
      <w:pPr>
        <w:pStyle w:val="ListParagraph"/>
        <w:numPr>
          <w:ilvl w:val="0"/>
          <w:numId w:val="2"/>
        </w:numPr>
        <w:spacing w:after="40" w:before="40"/>
      </w:pPr>
      <w:r>
        <w:rPr>
          <w:rFonts w:ascii="Garamond" w:cs="Garamond" w:eastAsia="Garamond" w:hAnsi="Garamond"/>
          <w:b/>
          <w:bCs/>
          <w:color w:val="1A1A1A"/>
          <w:sz w:val="20"/>
          <w:szCs w:val="20"/>
        </w:rPr>
        <w:t xml:space="preserve">The Quiet Acquisition: </w:t>
      </w:r>
      <w:r>
        <w:rPr>
          <w:rFonts w:ascii="Garamond" w:cs="Garamond" w:eastAsia="Garamond" w:hAnsi="Garamond"/>
          <w:color w:val="1A1A1A"/>
          <w:sz w:val="20"/>
          <w:szCs w:val="20"/>
        </w:rPr>
        <w:t xml:space="preserve">6-part investigative series on foreign acquisition of domestic technology through CFIUS and export control gaps. Distributed to Edward Wong (NYT), John Hudson (WaPo), and ProPublica, March 2026.</w:t>
      </w:r>
    </w:p>
    <w:p>
      <w:pPr>
        <w:pStyle w:val="ListParagraph"/>
        <w:numPr>
          <w:ilvl w:val="0"/>
          <w:numId w:val="2"/>
        </w:numPr>
        <w:spacing w:after="40" w:before="40"/>
      </w:pPr>
      <w:r>
        <w:rPr>
          <w:rFonts w:ascii="Garamond" w:cs="Garamond" w:eastAsia="Garamond" w:hAnsi="Garamond"/>
          <w:b/>
          <w:bCs/>
          <w:color w:val="1A1A1A"/>
          <w:sz w:val="20"/>
          <w:szCs w:val="20"/>
        </w:rPr>
        <w:t xml:space="preserve">The Intelligence Layer: </w:t>
      </w:r>
      <w:r>
        <w:rPr>
          <w:rFonts w:ascii="Garamond" w:cs="Garamond" w:eastAsia="Garamond" w:hAnsi="Garamond"/>
          <w:color w:val="1A1A1A"/>
          <w:sz w:val="20"/>
          <w:szCs w:val="20"/>
        </w:rPr>
        <w:t xml:space="preserve">5-part policy series proposing a BARDA-equivalent program for domestic ASIL-D BMS software integrators. Original OWS-model funding framework with milestone gates and sunset provisions.</w:t>
      </w:r>
    </w:p>
    <w:p>
      <w:pPr>
        <w:pStyle w:val="ListParagraph"/>
        <w:numPr>
          <w:ilvl w:val="0"/>
          <w:numId w:val="2"/>
        </w:numPr>
        <w:spacing w:after="40" w:before="40"/>
      </w:pPr>
      <w:r>
        <w:rPr>
          <w:rFonts w:ascii="Garamond" w:cs="Garamond" w:eastAsia="Garamond" w:hAnsi="Garamond"/>
          <w:b/>
          <w:bCs/>
          <w:color w:val="1A1A1A"/>
          <w:sz w:val="20"/>
          <w:szCs w:val="20"/>
        </w:rPr>
        <w:t xml:space="preserve">Battery Supply Chain Series: </w:t>
      </w:r>
      <w:r>
        <w:rPr>
          <w:rFonts w:ascii="Garamond" w:cs="Garamond" w:eastAsia="Garamond" w:hAnsi="Garamond"/>
          <w:color w:val="1A1A1A"/>
          <w:sz w:val="20"/>
          <w:szCs w:val="20"/>
        </w:rPr>
        <w:t xml:space="preserve">10-part technical-policy analysis of U.S. battery material sourcing, processing gaps, and FEOC compliance. Source-confirmed with Universal Matter COO, March 2026.</w:t>
      </w:r>
    </w:p>
    <w:p>
      <w:pPr>
        <w:pStyle w:val="ListParagraph"/>
        <w:numPr>
          <w:ilvl w:val="0"/>
          <w:numId w:val="2"/>
        </w:numPr>
        <w:spacing w:after="40" w:before="40"/>
      </w:pPr>
      <w:r>
        <w:rPr>
          <w:rFonts w:ascii="Garamond" w:cs="Garamond" w:eastAsia="Garamond" w:hAnsi="Garamond"/>
          <w:b/>
          <w:bCs/>
          <w:color w:val="1A1A1A"/>
          <w:sz w:val="20"/>
          <w:szCs w:val="20"/>
        </w:rPr>
        <w:t xml:space="preserve">Market Sentinel Series: </w:t>
      </w:r>
      <w:r>
        <w:rPr>
          <w:rFonts w:ascii="Garamond" w:cs="Garamond" w:eastAsia="Garamond" w:hAnsi="Garamond"/>
          <w:color w:val="1A1A1A"/>
          <w:sz w:val="20"/>
          <w:szCs w:val="20"/>
        </w:rPr>
        <w:t xml:space="preserve">Quantitative options flow analysis correlated with congressional activity. C/P ratio anomaly April 7, 2025. Partial dataset submitted to Senate Banking Committee staff.</w:t>
      </w:r>
    </w:p>
    <w:p>
      <w:pPr>
        <w:pBdr>
          <w:bottom w:val="single" w:color="B8972A" w:sz="4" w:space="2"/>
        </w:pBdr>
        <w:spacing w:before="120"/>
      </w:pPr>
    </w:p>
    <w:p>
      <w:pPr>
        <w:spacing w:after="80" w:before="220"/>
      </w:pPr>
      <w:r>
        <w:rPr>
          <w:rFonts w:ascii="Arial" w:cs="Arial" w:eastAsia="Arial" w:hAnsi="Arial"/>
          <w:b/>
          <w:bCs/>
          <w:caps/>
          <w:color w:val="0D1F3C"/>
          <w:sz w:val="22"/>
          <w:szCs w:val="22"/>
        </w:rPr>
        <w:t xml:space="preserve">Available Engagements</w:t>
      </w:r>
    </w:p>
    <w:p>
      <w:pPr>
        <w:spacing w:after="60" w:before="60"/>
      </w:pPr>
      <w:r>
        <w:rPr>
          <w:rFonts w:ascii="Garamond" w:cs="Garamond" w:eastAsia="Garamond" w:hAnsi="Garamond"/>
          <w:b w:val="false"/>
          <w:bCs w:val="false"/>
          <w:i w:val="false"/>
          <w:iCs w:val="false"/>
          <w:color w:val="444444"/>
          <w:sz w:val="20"/>
          <w:szCs w:val="20"/>
        </w:rPr>
        <w:t xml:space="preserve">Newsroom Data Tools Partnership (1099 retainer)  |  Per-Deliverable Investigation Support  |  FOIA Strategy &amp; Filing  |  Data Pipeline Development  |  Methodology Review  |  Expert Advisory on Energy, Supply Chain &amp; Industrial Policy</w:t>
      </w:r>
    </w:p>
    <w:p>
      <w:pPr>
        <w:pBdr>
          <w:bottom w:val="single" w:color="B8972A" w:sz="4" w:space="2"/>
        </w:pBdr>
        <w:spacing w:before="120"/>
      </w:pPr>
    </w:p>
    <w:p>
      <w:pPr>
        <w:spacing w:after="80" w:before="220"/>
      </w:pPr>
      <w:r>
        <w:rPr>
          <w:rFonts w:ascii="Arial" w:cs="Arial" w:eastAsia="Arial" w:hAnsi="Arial"/>
          <w:b/>
          <w:bCs/>
          <w:caps/>
          <w:color w:val="0D1F3C"/>
          <w:sz w:val="22"/>
          <w:szCs w:val="22"/>
        </w:rPr>
        <w:t xml:space="preserve">Credentials</w:t>
      </w:r>
    </w:p>
    <w:p>
      <w:pPr>
        <w:spacing w:after="20" w:before="80"/>
      </w:pPr>
      <w:r>
        <w:rPr>
          <w:rFonts w:ascii="Arial" w:cs="Arial" w:eastAsia="Arial" w:hAnsi="Arial"/>
          <w:b/>
          <w:bCs/>
          <w:color w:val="0D1F3C"/>
          <w:sz w:val="20"/>
          <w:szCs w:val="20"/>
        </w:rPr>
        <w:t xml:space="preserve">Advanced Development Engineer</w:t>
      </w:r>
      <w:r>
        <w:rPr>
          <w:rFonts w:ascii="Garamond" w:cs="Garamond" w:eastAsia="Garamond" w:hAnsi="Garamond"/>
          <w:color w:val="444444"/>
          <w:sz w:val="20"/>
          <w:szCs w:val="20"/>
        </w:rPr>
        <w:t xml:space="preserve">   Inteva Products, Troy MI</w:t>
      </w:r>
      <w:r>
        <w:rPr>
          <w:rFonts w:ascii="Garamond" w:cs="Garamond" w:eastAsia="Garamond" w:hAnsi="Garamond"/>
          <w:i/>
          <w:iCs/>
          <w:color w:val="777777"/>
          <w:sz w:val="20"/>
          <w:szCs w:val="20"/>
        </w:rPr>
        <w:t xml:space="preserve">   2026 - Present</w:t>
      </w:r>
    </w:p>
    <w:p>
      <w:pPr>
        <w:spacing w:after="20" w:before="80"/>
      </w:pPr>
      <w:r>
        <w:rPr>
          <w:rFonts w:ascii="Arial" w:cs="Arial" w:eastAsia="Arial" w:hAnsi="Arial"/>
          <w:b/>
          <w:bCs/>
          <w:color w:val="0D1F3C"/>
          <w:sz w:val="20"/>
          <w:szCs w:val="20"/>
        </w:rPr>
        <w:t xml:space="preserve">Tier 1 / OEM Engineering</w:t>
      </w:r>
      <w:r>
        <w:rPr>
          <w:rFonts w:ascii="Garamond" w:cs="Garamond" w:eastAsia="Garamond" w:hAnsi="Garamond"/>
          <w:color w:val="444444"/>
          <w:sz w:val="20"/>
          <w:szCs w:val="20"/>
        </w:rPr>
        <w:t xml:space="preserve">   Ford, GM, Stellantis Supply Base</w:t>
      </w:r>
      <w:r>
        <w:rPr>
          <w:rFonts w:ascii="Garamond" w:cs="Garamond" w:eastAsia="Garamond" w:hAnsi="Garamond"/>
          <w:i/>
          <w:iCs/>
          <w:color w:val="777777"/>
          <w:sz w:val="20"/>
          <w:szCs w:val="20"/>
        </w:rPr>
        <w:t xml:space="preserve">   2015 - 2025</w:t>
      </w:r>
    </w:p>
    <w:p>
      <w:pPr>
        <w:spacing w:after="20" w:before="80"/>
      </w:pPr>
      <w:r>
        <w:rPr>
          <w:rFonts w:ascii="Arial" w:cs="Arial" w:eastAsia="Arial" w:hAnsi="Arial"/>
          <w:b/>
          <w:bCs/>
          <w:color w:val="0D1F3C"/>
          <w:sz w:val="20"/>
          <w:szCs w:val="20"/>
        </w:rPr>
        <w:t xml:space="preserve">Founder, Policy Analyst</w:t>
      </w:r>
      <w:r>
        <w:rPr>
          <w:rFonts w:ascii="Garamond" w:cs="Garamond" w:eastAsia="Garamond" w:hAnsi="Garamond"/>
          <w:color w:val="444444"/>
          <w:sz w:val="20"/>
          <w:szCs w:val="20"/>
        </w:rPr>
        <w:t xml:space="preserve">   PolicyTorque LLC</w:t>
      </w:r>
      <w:r>
        <w:rPr>
          <w:rFonts w:ascii="Garamond" w:cs="Garamond" w:eastAsia="Garamond" w:hAnsi="Garamond"/>
          <w:i/>
          <w:iCs/>
          <w:color w:val="777777"/>
          <w:sz w:val="20"/>
          <w:szCs w:val="20"/>
        </w:rPr>
        <w:t xml:space="preserve">   2025 - Present</w:t>
      </w:r>
    </w:p>
    <w:p>
      <w:pPr>
        <w:spacing w:after="20" w:before="80"/>
      </w:pPr>
      <w:r>
        <w:rPr>
          <w:rFonts w:ascii="Arial" w:cs="Arial" w:eastAsia="Arial" w:hAnsi="Arial"/>
          <w:b/>
          <w:bCs/>
          <w:color w:val="0D1F3C"/>
          <w:sz w:val="20"/>
          <w:szCs w:val="20"/>
        </w:rPr>
        <w:t xml:space="preserve">B.S. Mechanical Engineering</w:t>
      </w:r>
      <w:r>
        <w:rPr>
          <w:rFonts w:ascii="Garamond" w:cs="Garamond" w:eastAsia="Garamond" w:hAnsi="Garamond"/>
          <w:color w:val="444444"/>
          <w:sz w:val="20"/>
          <w:szCs w:val="20"/>
        </w:rPr>
        <w:t xml:space="preserve">   University of Illinois at Chicago, 2014</w:t>
      </w:r>
      <w:r>
        <w:rPr>
          <w:rFonts w:ascii="Garamond" w:cs="Garamond" w:eastAsia="Garamond" w:hAnsi="Garamond"/>
          <w:i/>
          <w:iCs/>
          <w:color w:val="777777"/>
          <w:sz w:val="20"/>
          <w:szCs w:val="20"/>
        </w:rPr>
        <w:t xml:space="preserve">   </w:t>
      </w:r>
    </w:p>
    <w:p>
      <w:pPr>
        <w:spacing w:after="20" w:before="80"/>
      </w:pPr>
      <w:r>
        <w:rPr>
          <w:rFonts w:ascii="Arial" w:cs="Arial" w:eastAsia="Arial" w:hAnsi="Arial"/>
          <w:b/>
          <w:bCs/>
          <w:color w:val="0D1F3C"/>
          <w:sz w:val="20"/>
          <w:szCs w:val="20"/>
        </w:rPr>
        <w:t xml:space="preserve">Alternative Energy &amp; Fuel Cell Technology</w:t>
      </w:r>
      <w:r>
        <w:rPr>
          <w:rFonts w:ascii="Garamond" w:cs="Garamond" w:eastAsia="Garamond" w:hAnsi="Garamond"/>
          <w:color w:val="444444"/>
          <w:sz w:val="20"/>
          <w:szCs w:val="20"/>
        </w:rPr>
        <w:t xml:space="preserve">   Hocking College</w:t>
      </w:r>
      <w:r>
        <w:rPr>
          <w:rFonts w:ascii="Garamond" w:cs="Garamond" w:eastAsia="Garamond" w:hAnsi="Garamond"/>
          <w:i/>
          <w:iCs/>
          <w:color w:val="777777"/>
          <w:sz w:val="20"/>
          <w:szCs w:val="20"/>
        </w:rPr>
        <w:t xml:space="preserve">   </w:t>
      </w:r>
    </w:p>
    <w:p>
      <w:pPr>
        <w:spacing w:before="6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2026-04-13T17:16:05.722Z</dcterms:created>
  <dcterms:modified xsi:type="dcterms:W3CDTF">2026-04-13T17:16:05.722Z</dcterms:modified>
</cp:coreProperties>
</file>

<file path=docProps/custom.xml><?xml version="1.0" encoding="utf-8"?>
<Properties xmlns="http://schemas.openxmlformats.org/officeDocument/2006/custom-properties" xmlns:vt="http://schemas.openxmlformats.org/officeDocument/2006/docPropsVTypes"/>
</file>