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20" w:before="0"/>
        <w:jc w:val="center"/>
      </w:pPr>
      <w:r>
        <w:rPr>
          <w:rFonts w:ascii="Arial" w:cs="Arial" w:eastAsia="Arial" w:hAnsi="Arial"/>
          <w:b/>
          <w:bCs/>
          <w:color w:val="1B3A5C"/>
          <w:sz w:val="56"/>
          <w:szCs w:val="56"/>
        </w:rPr>
        <w:t xml:space="preserve">CRE INTELLIGENCE PLATFORM</w:t>
      </w:r>
    </w:p>
    <w:p>
      <w:pPr>
        <w:spacing w:after="80" w:before="0"/>
        <w:jc w:val="center"/>
      </w:pPr>
      <w:r>
        <w:rPr>
          <w:rFonts w:ascii="Arial" w:cs="Arial" w:eastAsia="Arial" w:hAnsi="Arial"/>
          <w:color w:val="2E6DA4"/>
          <w:sz w:val="32"/>
          <w:szCs w:val="32"/>
        </w:rPr>
        <w:t xml:space="preserve">Product Architecture &amp; Build Specification</w:t>
      </w:r>
    </w:p>
    <w:p>
      <w:pPr>
        <w:spacing w:after="600" w:before="0"/>
        <w:jc w:val="center"/>
      </w:pPr>
      <w:r>
        <w:rPr>
          <w:rFonts w:ascii="Arial" w:cs="Arial" w:eastAsia="Arial" w:hAnsi="Arial"/>
          <w:color w:val="888888"/>
          <w:sz w:val="22"/>
          <w:szCs w:val="22"/>
        </w:rPr>
        <w:t xml:space="preserve">MVP: Chicago Multifamily Market  |  March 2026</w:t>
      </w:r>
    </w:p>
    <w:p>
      <w:pPr>
        <w:pBdr>
          <w:bottom w:val="single" w:color="2E6DA4" w:sz="6" w:space="1"/>
        </w:pBdr>
        <w:spacing w:after="200"/>
      </w:pPr>
    </w:p>
    <w:p>
      <w:pPr>
        <w:spacing w:after="0" w:before="200"/>
      </w:pPr>
      <w:r>
        <w:t xml:space="preserve"/>
      </w:r>
    </w:p>
    <w:p>
      <w:pPr>
        <w:spacing w:after="100" w:before="0"/>
      </w:pPr>
      <w:r>
        <w:rPr>
          <w:rFonts w:ascii="Arial" w:cs="Arial" w:eastAsia="Arial" w:hAnsi="Arial"/>
          <w:b/>
          <w:bCs/>
          <w:color w:val="2E6DA4"/>
          <w:sz w:val="18"/>
          <w:szCs w:val="18"/>
        </w:rPr>
        <w:t xml:space="preserve">CONFIDENTIAL WORKING DOCUMENT</w:t>
      </w:r>
    </w:p>
    <w:p>
      <w:pPr>
        <w:spacing w:after="100" w:before="80"/>
      </w:pPr>
      <w:r>
        <w:rPr>
          <w:rFonts w:ascii="Arial" w:cs="Arial" w:eastAsia="Arial" w:hAnsi="Arial"/>
          <w:color w:val="1A1A1A"/>
          <w:sz w:val="22"/>
          <w:szCs w:val="22"/>
        </w:rPr>
        <w:t xml:space="preserve">This document defines the full product architecture, agent structure, data sourcing strategy, implication scoring model, UI framework, and build roadmap for the CRE Intelligence Platform MVP. It is intended as the internal specification and pitch foundation.</w:t>
      </w:r>
    </w:p>
    <w:p>
      <w:pPr>
        <w:spacing w:after="0" w:before="400"/>
      </w:pPr>
      <w:r>
        <w:t xml:space="preserve"/>
      </w:r>
    </w:p>
    <w:p>
      <w:pPr>
        <w:pStyle w:val="Heading1"/>
        <w:spacing w:after="120" w:before="400"/>
      </w:pPr>
      <w:r>
        <w:rPr>
          <w:rFonts w:ascii="Arial" w:cs="Arial" w:eastAsia="Arial" w:hAnsi="Arial"/>
          <w:b/>
          <w:bCs/>
          <w:color w:val="1B3A5C"/>
          <w:sz w:val="36"/>
          <w:szCs w:val="36"/>
        </w:rPr>
        <w:t xml:space="preserve">01  Product Vision</w:t>
      </w:r>
    </w:p>
    <w:p>
      <w:pPr>
        <w:pBdr>
          <w:bottom w:val="single" w:color="2E6DA4" w:sz="6" w:space="1"/>
        </w:pBdr>
        <w:spacing w:after="200"/>
      </w:pPr>
    </w:p>
    <w:p>
      <w:pPr>
        <w:spacing w:after="100" w:before="80"/>
      </w:pPr>
      <w:r>
        <w:rPr>
          <w:rFonts w:ascii="Arial" w:cs="Arial" w:eastAsia="Arial" w:hAnsi="Arial"/>
          <w:color w:val="1A1A1A"/>
          <w:sz w:val="22"/>
          <w:szCs w:val="22"/>
        </w:rPr>
        <w:t xml:space="preserve">The commercial real estate industry has a fundamental tool problem. Brokers working in the field carry mobile apps built on consumer browsing frameworks, optimized for passive discovery rather than active deal-making. The result is a workflow mismatch: professionals who need to evaluate multiple properties simultaneously, cross-reference distress signals, assess regulatory exposure, and form a negotiating posture are forced into serial, drill-down navigation designed for someone shopping for a house.</w:t>
      </w:r>
    </w:p>
    <w:p>
      <w:pPr>
        <w:spacing w:after="0" w:before="80"/>
      </w:pPr>
      <w:r>
        <w:t xml:space="preserve"/>
      </w:r>
    </w:p>
    <w:p>
      <w:pPr>
        <w:spacing w:after="100" w:before="80"/>
      </w:pPr>
      <w:r>
        <w:rPr>
          <w:rFonts w:ascii="Arial" w:cs="Arial" w:eastAsia="Arial" w:hAnsi="Arial"/>
          <w:color w:val="1A1A1A"/>
          <w:sz w:val="22"/>
          <w:szCs w:val="22"/>
        </w:rPr>
        <w:t xml:space="preserve">This platform is not a better version of Crexi. It is a different category of tool.</w:t>
      </w:r>
    </w:p>
    <w:p>
      <w:pPr>
        <w:spacing w:after="0" w:before="80"/>
      </w:pPr>
      <w:r>
        <w:t xml:space="preserve"/>
      </w:r>
    </w:p>
    <w:p>
      <w:pPr>
        <w:spacing w:after="100" w:before="80"/>
      </w:pPr>
      <w:r>
        <w:rPr>
          <w:rFonts w:ascii="Arial" w:cs="Arial" w:eastAsia="Arial" w:hAnsi="Arial"/>
          <w:color w:val="1A1A1A"/>
          <w:sz w:val="22"/>
          <w:szCs w:val="22"/>
        </w:rPr>
        <w:t xml:space="preserve">Where existing platforms deliver data, this platform delivers judgment. Every data point is captured by a specialized AI agent, passed to an orchestrating intelligence, and surfaced to the broker as an interpreted deal thesis with a negotiation posture recommendation. The broker sees the conclusion first. The evidence is one tap behind it. The methodology is one more tap behind that.</w:t>
      </w:r>
    </w:p>
    <w:p>
      <w:pPr>
        <w:spacing w:after="0" w:before="80"/>
      </w:pPr>
      <w:r>
        <w:t xml:space="preserve"/>
      </w:r>
    </w:p>
    <w:p>
      <w:pPr>
        <w:spacing w:after="100" w:before="80"/>
      </w:pPr>
      <w:r>
        <w:rPr>
          <w:rFonts w:ascii="Arial" w:cs="Arial" w:eastAsia="Arial" w:hAnsi="Arial"/>
          <w:color w:val="1A1A1A"/>
          <w:sz w:val="22"/>
          <w:szCs w:val="22"/>
        </w:rPr>
        <w:t xml:space="preserve">The experience should feel like having an entire research team in your pocket, not a calculator.</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pPr>
              <w:spacing w:after="60" w:before="0"/>
            </w:pPr>
            <w:r>
              <w:rPr>
                <w:rFonts w:ascii="Arial" w:cs="Arial" w:eastAsia="Arial" w:hAnsi="Arial"/>
                <w:b/>
                <w:bCs/>
                <w:color w:val="2E6DA4"/>
                <w:sz w:val="20"/>
                <w:szCs w:val="20"/>
              </w:rPr>
              <w:t xml:space="preserve">Core Design Principle</w:t>
            </w:r>
          </w:p>
          <w:p>
            <w:pPr>
              <w:spacing w:after="0" w:before="0"/>
            </w:pPr>
            <w:r>
              <w:rPr>
                <w:rFonts w:ascii="Arial" w:cs="Arial" w:eastAsia="Arial" w:hAnsi="Arial"/>
                <w:color w:val="1A1A1A"/>
                <w:sz w:val="20"/>
                <w:szCs w:val="20"/>
              </w:rPr>
              <w:t xml:space="preserve">Raw data is never subject to interpretation by the agents that retrieve it. Only the Orchestrator interprets. This separation keeps the system auditable, improvable, and trustworthy.</w:t>
            </w:r>
          </w:p>
        </w:tc>
      </w:tr>
    </w:tbl>
    <w:p>
      <w:pPr>
        <w:spacing w:after="0" w:before="200"/>
      </w:pPr>
      <w:r>
        <w:t xml:space="preserve"/>
      </w:r>
    </w:p>
    <w:p>
      <w:pPr>
        <w:pStyle w:val="Heading1"/>
        <w:spacing w:after="120" w:before="400"/>
      </w:pPr>
      <w:r>
        <w:rPr>
          <w:rFonts w:ascii="Arial" w:cs="Arial" w:eastAsia="Arial" w:hAnsi="Arial"/>
          <w:b/>
          <w:bCs/>
          <w:color w:val="1B3A5C"/>
          <w:sz w:val="36"/>
          <w:szCs w:val="36"/>
        </w:rPr>
        <w:t xml:space="preserve">02  The Agent Architecture</w:t>
      </w:r>
    </w:p>
    <w:p>
      <w:pPr>
        <w:pBdr>
          <w:bottom w:val="single" w:color="2E6DA4" w:sz="6" w:space="1"/>
        </w:pBdr>
        <w:spacing w:after="200"/>
      </w:pPr>
    </w:p>
    <w:p>
      <w:pPr>
        <w:spacing w:after="100" w:before="80"/>
      </w:pPr>
      <w:r>
        <w:rPr>
          <w:rFonts w:ascii="Arial" w:cs="Arial" w:eastAsia="Arial" w:hAnsi="Arial"/>
          <w:color w:val="1A1A1A"/>
          <w:sz w:val="22"/>
          <w:szCs w:val="22"/>
        </w:rPr>
        <w:t xml:space="preserve">The system operates as a multi-agent intelligence pipeline. Each agent is a specialized retrieval module with a single responsibility: gather factual, documented data within its domain and pass it upstream without editorializing. No agent renders an opinion. No agent weights its findings against another domain. They report.</w:t>
      </w:r>
    </w:p>
    <w:p>
      <w:pPr>
        <w:spacing w:after="0" w:before="80"/>
      </w:pPr>
      <w:r>
        <w:t xml:space="preserve"/>
      </w:r>
    </w:p>
    <w:p>
      <w:pPr>
        <w:spacing w:after="100" w:before="80"/>
      </w:pPr>
      <w:r>
        <w:rPr>
          <w:rFonts w:ascii="Arial" w:cs="Arial" w:eastAsia="Arial" w:hAnsi="Arial"/>
          <w:color w:val="1A1A1A"/>
          <w:sz w:val="22"/>
          <w:szCs w:val="22"/>
        </w:rPr>
        <w:t xml:space="preserve">The Orchestrator receives the full briefing from all agents simultaneously, exactly as a senior partner would receive a briefing package from a research team, and only then forms a judgment.</w:t>
      </w:r>
    </w:p>
    <w:p>
      <w:pPr>
        <w:spacing w:after="0" w:before="160"/>
      </w:pPr>
      <w:r>
        <w:t xml:space="preserve"/>
      </w:r>
    </w:p>
    <w:p>
      <w:pPr>
        <w:pStyle w:val="Heading2"/>
        <w:spacing w:after="100" w:before="320"/>
      </w:pPr>
      <w:r>
        <w:rPr>
          <w:rFonts w:ascii="Arial" w:cs="Arial" w:eastAsia="Arial" w:hAnsi="Arial"/>
          <w:b/>
          <w:bCs/>
          <w:color w:val="2E6DA4"/>
          <w:sz w:val="28"/>
          <w:szCs w:val="28"/>
        </w:rPr>
        <w:t xml:space="preserve">2.1  The Research Agents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Agent</w:t>
            </w:r>
          </w:p>
        </w:tc>
        <w:tc>
          <w:tcPr>
            <w:tcW w:type="dxa" w:w="3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Data Sources</w:t>
            </w:r>
          </w:p>
        </w:tc>
        <w:tc>
          <w:tcPr>
            <w:tcW w:type="dxa" w:w="38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Output (Raw, No Interpretation)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E6DA4"/>
                <w:sz w:val="20"/>
                <w:szCs w:val="20"/>
              </w:rPr>
              <w:t xml:space="preserve">Financial Agent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30" w:before="30"/>
            </w:pPr>
            <w:r>
              <w:rPr>
                <w:rFonts w:ascii="Arial" w:cs="Arial" w:eastAsia="Arial" w:hAnsi="Arial"/>
                <w:color w:val="1A1A1A"/>
                <w:sz w:val="19"/>
                <w:szCs w:val="19"/>
              </w:rPr>
              <w:t xml:space="preserve">Cook County Assessor</w:t>
            </w:r>
          </w:p>
          <w:p>
            <w:pPr>
              <w:spacing w:after="30" w:before="30"/>
            </w:pPr>
            <w:r>
              <w:rPr>
                <w:rFonts w:ascii="Arial" w:cs="Arial" w:eastAsia="Arial" w:hAnsi="Arial"/>
                <w:color w:val="1A1A1A"/>
                <w:sz w:val="19"/>
                <w:szCs w:val="19"/>
              </w:rPr>
              <w:t xml:space="preserve">MLS comp sales</w:t>
            </w:r>
          </w:p>
          <w:p>
            <w:pPr>
              <w:spacing w:after="30" w:before="30"/>
            </w:pPr>
            <w:r>
              <w:rPr>
                <w:rFonts w:ascii="Arial" w:cs="Arial" w:eastAsia="Arial" w:hAnsi="Arial"/>
                <w:color w:val="1A1A1A"/>
                <w:sz w:val="19"/>
                <w:szCs w:val="19"/>
              </w:rPr>
              <w:t xml:space="preserve">Crexi/LoopNet listing data</w:t>
            </w:r>
          </w:p>
          <w:p>
            <w:pPr>
              <w:spacing w:after="30" w:before="30"/>
            </w:pPr>
            <w:r>
              <w:rPr>
                <w:rFonts w:ascii="Arial" w:cs="Arial" w:eastAsia="Arial" w:hAnsi="Arial"/>
                <w:color w:val="1A1A1A"/>
                <w:sz w:val="19"/>
                <w:szCs w:val="19"/>
              </w:rPr>
              <w:t xml:space="preserve">Price history &amp; reductions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19"/>
                <w:szCs w:val="19"/>
              </w:rPr>
              <w:t xml:space="preserve">NOI, cap rate, cash-on-cash return, DSCR, days on market, price reduction history, comp sale prices within 6 months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E6DA4"/>
                <w:sz w:val="20"/>
                <w:szCs w:val="20"/>
              </w:rPr>
              <w:t xml:space="preserve">Tenant Intelligence 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30" w:before="30"/>
            </w:pPr>
            <w:r>
              <w:rPr>
                <w:rFonts w:ascii="Arial" w:cs="Arial" w:eastAsia="Arial" w:hAnsi="Arial"/>
                <w:color w:val="1A1A1A"/>
                <w:sz w:val="19"/>
                <w:szCs w:val="19"/>
              </w:rPr>
              <w:t xml:space="preserve">USPS NCOA (licensed)</w:t>
            </w:r>
          </w:p>
          <w:p>
            <w:pPr>
              <w:spacing w:after="30" w:before="30"/>
            </w:pPr>
            <w:r>
              <w:rPr>
                <w:rFonts w:ascii="Arial" w:cs="Arial" w:eastAsia="Arial" w:hAnsi="Arial"/>
                <w:color w:val="1A1A1A"/>
                <w:sz w:val="19"/>
                <w:szCs w:val="19"/>
              </w:rPr>
              <w:t xml:space="preserve">Voter registration records</w:t>
            </w:r>
          </w:p>
          <w:p>
            <w:pPr>
              <w:spacing w:after="30" w:before="30"/>
            </w:pPr>
            <w:r>
              <w:rPr>
                <w:rFonts w:ascii="Arial" w:cs="Arial" w:eastAsia="Arial" w:hAnsi="Arial"/>
                <w:color w:val="1A1A1A"/>
                <w:sz w:val="19"/>
                <w:szCs w:val="19"/>
              </w:rPr>
              <w:t xml:space="preserve">Val-Pak / direct mail data</w:t>
            </w:r>
          </w:p>
          <w:p>
            <w:pPr>
              <w:spacing w:after="30" w:before="30"/>
            </w:pPr>
            <w:r>
              <w:rPr>
                <w:rFonts w:ascii="Arial" w:cs="Arial" w:eastAsia="Arial" w:hAnsi="Arial"/>
                <w:color w:val="1A1A1A"/>
                <w:sz w:val="19"/>
                <w:szCs w:val="19"/>
              </w:rPr>
              <w:t xml:space="preserve">Eviction court filings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Inferred length-of-stay distribution by unit, household turnover velocity, eviction filing count and dates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E6DA4"/>
                <w:sz w:val="20"/>
                <w:szCs w:val="20"/>
              </w:rPr>
              <w:t xml:space="preserve">Distress Agent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30" w:before="30"/>
            </w:pPr>
            <w:r>
              <w:rPr>
                <w:rFonts w:ascii="Arial" w:cs="Arial" w:eastAsia="Arial" w:hAnsi="Arial"/>
                <w:color w:val="1A1A1A"/>
                <w:sz w:val="19"/>
                <w:szCs w:val="19"/>
              </w:rPr>
              <w:t xml:space="preserve">Chicago 311 open data API</w:t>
            </w:r>
          </w:p>
          <w:p>
            <w:pPr>
              <w:spacing w:after="30" w:before="30"/>
            </w:pPr>
            <w:r>
              <w:rPr>
                <w:rFonts w:ascii="Arial" w:cs="Arial" w:eastAsia="Arial" w:hAnsi="Arial"/>
                <w:color w:val="1A1A1A"/>
                <w:sz w:val="19"/>
                <w:szCs w:val="19"/>
              </w:rPr>
              <w:t xml:space="preserve">Chicago building code violations</w:t>
            </w:r>
          </w:p>
          <w:p>
            <w:pPr>
              <w:spacing w:after="30" w:before="30"/>
            </w:pPr>
            <w:r>
              <w:rPr>
                <w:rFonts w:ascii="Arial" w:cs="Arial" w:eastAsia="Arial" w:hAnsi="Arial"/>
                <w:color w:val="1A1A1A"/>
                <w:sz w:val="19"/>
                <w:szCs w:val="19"/>
              </w:rPr>
              <w:t xml:space="preserve">CPD incident data (by address)</w:t>
            </w:r>
          </w:p>
          <w:p>
            <w:pPr>
              <w:spacing w:after="30" w:before="30"/>
            </w:pPr>
            <w:r>
              <w:rPr>
                <w:rFonts w:ascii="Arial" w:cs="Arial" w:eastAsia="Arial" w:hAnsi="Arial"/>
                <w:color w:val="1A1A1A"/>
                <w:sz w:val="19"/>
                <w:szCs w:val="19"/>
              </w:rPr>
              <w:t xml:space="preserve">Municipal permit records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19"/>
                <w:szCs w:val="19"/>
              </w:rPr>
              <w:t xml:space="preserve">Complaint count by category, violation history, permit gaps, police incident pattern by unit number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E6DA4"/>
                <w:sz w:val="20"/>
                <w:szCs w:val="20"/>
              </w:rPr>
              <w:t xml:space="preserve">Legislative 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30" w:before="30"/>
            </w:pPr>
            <w:r>
              <w:rPr>
                <w:rFonts w:ascii="Arial" w:cs="Arial" w:eastAsia="Arial" w:hAnsi="Arial"/>
                <w:color w:val="1A1A1A"/>
                <w:sz w:val="19"/>
                <w:szCs w:val="19"/>
              </w:rPr>
              <w:t xml:space="preserve">Congress.gov API</w:t>
            </w:r>
          </w:p>
          <w:p>
            <w:pPr>
              <w:spacing w:after="30" w:before="30"/>
            </w:pPr>
            <w:r>
              <w:rPr>
                <w:rFonts w:ascii="Arial" w:cs="Arial" w:eastAsia="Arial" w:hAnsi="Arial"/>
                <w:color w:val="1A1A1A"/>
                <w:sz w:val="19"/>
                <w:szCs w:val="19"/>
              </w:rPr>
              <w:t xml:space="preserve">Federal Register API (HUD rulemaking)</w:t>
            </w:r>
          </w:p>
          <w:p>
            <w:pPr>
              <w:spacing w:after="30" w:before="30"/>
            </w:pPr>
            <w:r>
              <w:rPr>
                <w:rFonts w:ascii="Arial" w:cs="Arial" w:eastAsia="Arial" w:hAnsi="Arial"/>
                <w:color w:val="1A1A1A"/>
                <w:sz w:val="19"/>
                <w:szCs w:val="19"/>
              </w:rPr>
              <w:t xml:space="preserve">Illinois General Assembly (scraped)</w:t>
            </w:r>
          </w:p>
          <w:p>
            <w:pPr>
              <w:spacing w:after="30" w:before="30"/>
            </w:pPr>
            <w:r>
              <w:rPr>
                <w:rFonts w:ascii="Arial" w:cs="Arial" w:eastAsia="Arial" w:hAnsi="Arial"/>
                <w:color w:val="1A1A1A"/>
                <w:sz w:val="19"/>
                <w:szCs w:val="19"/>
              </w:rPr>
              <w:t xml:space="preserve">Chicago City Council ILIS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Active and pending bills affecting property type, geography, and building class; committee status; hearing dates; ward-level sponsorship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E6DA4"/>
                <w:sz w:val="20"/>
                <w:szCs w:val="20"/>
              </w:rPr>
              <w:t xml:space="preserve">Market Context Agent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pPr>
              <w:spacing w:after="30" w:before="30"/>
            </w:pPr>
            <w:r>
              <w:rPr>
                <w:rFonts w:ascii="Arial" w:cs="Arial" w:eastAsia="Arial" w:hAnsi="Arial"/>
                <w:color w:val="1A1A1A"/>
                <w:sz w:val="19"/>
                <w:szCs w:val="19"/>
              </w:rPr>
              <w:t xml:space="preserve">Submarket vacancy indices</w:t>
            </w:r>
          </w:p>
          <w:p>
            <w:pPr>
              <w:spacing w:after="30" w:before="30"/>
            </w:pPr>
            <w:r>
              <w:rPr>
                <w:rFonts w:ascii="Arial" w:cs="Arial" w:eastAsia="Arial" w:hAnsi="Arial"/>
                <w:color w:val="1A1A1A"/>
                <w:sz w:val="19"/>
                <w:szCs w:val="19"/>
              </w:rPr>
              <w:t xml:space="preserve">Chicago CMAP data</w:t>
            </w:r>
          </w:p>
          <w:p>
            <w:pPr>
              <w:spacing w:after="30" w:before="30"/>
            </w:pPr>
            <w:r>
              <w:rPr>
                <w:rFonts w:ascii="Arial" w:cs="Arial" w:eastAsia="Arial" w:hAnsi="Arial"/>
                <w:color w:val="1A1A1A"/>
                <w:sz w:val="19"/>
                <w:szCs w:val="19"/>
              </w:rPr>
              <w:t xml:space="preserve">Rent growth trends by ZIP</w:t>
            </w:r>
          </w:p>
          <w:p>
            <w:pPr>
              <w:spacing w:after="30" w:before="30"/>
            </w:pPr>
            <w:r>
              <w:rPr>
                <w:rFonts w:ascii="Arial" w:cs="Arial" w:eastAsia="Arial" w:hAnsi="Arial"/>
                <w:color w:val="1A1A1A"/>
                <w:sz w:val="19"/>
                <w:szCs w:val="19"/>
              </w:rPr>
              <w:t xml:space="preserve">New supply pipeline (permits)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19"/>
                <w:szCs w:val="19"/>
              </w:rPr>
              <w:t xml:space="preserve">Submarket vacancy rate, rent growth YoY, competing supply under construction, absorption trend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E6DA4"/>
                <w:sz w:val="20"/>
                <w:szCs w:val="20"/>
              </w:rPr>
              <w:t xml:space="preserve">Physical Asset 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30" w:before="30"/>
            </w:pPr>
            <w:r>
              <w:rPr>
                <w:rFonts w:ascii="Arial" w:cs="Arial" w:eastAsia="Arial" w:hAnsi="Arial"/>
                <w:color w:val="1A1A1A"/>
                <w:sz w:val="19"/>
                <w:szCs w:val="19"/>
              </w:rPr>
              <w:t xml:space="preserve">Cook County permit history</w:t>
            </w:r>
          </w:p>
          <w:p>
            <w:pPr>
              <w:spacing w:after="30" w:before="30"/>
            </w:pPr>
            <w:r>
              <w:rPr>
                <w:rFonts w:ascii="Arial" w:cs="Arial" w:eastAsia="Arial" w:hAnsi="Arial"/>
                <w:color w:val="1A1A1A"/>
                <w:sz w:val="19"/>
                <w:szCs w:val="19"/>
              </w:rPr>
              <w:t xml:space="preserve">Certificate of occupancy records</w:t>
            </w:r>
          </w:p>
          <w:p>
            <w:pPr>
              <w:spacing w:after="30" w:before="30"/>
            </w:pPr>
            <w:r>
              <w:rPr>
                <w:rFonts w:ascii="Arial" w:cs="Arial" w:eastAsia="Arial" w:hAnsi="Arial"/>
                <w:color w:val="1A1A1A"/>
                <w:sz w:val="19"/>
                <w:szCs w:val="19"/>
              </w:rPr>
              <w:t xml:space="preserve">Assessor improvement records</w:t>
            </w:r>
          </w:p>
          <w:p>
            <w:pPr>
              <w:spacing w:after="30" w:before="30"/>
            </w:pPr>
            <w:r>
              <w:rPr>
                <w:rFonts w:ascii="Arial" w:cs="Arial" w:eastAsia="Arial" w:hAnsi="Arial"/>
                <w:color w:val="1A1A1A"/>
                <w:sz w:val="19"/>
                <w:szCs w:val="19"/>
              </w:rPr>
              <w:t xml:space="preserve">Environmental flag databases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Roof/HVAC/mechanical age inference from permit dates, improvement history, environmental flags, CO status</w:t>
            </w:r>
          </w:p>
        </w:tc>
      </w:tr>
    </w:tbl>
    <w:p>
      <w:pPr>
        <w:spacing w:after="0" w:before="160"/>
      </w:pPr>
      <w:r>
        <w:t xml:space="preserve"/>
      </w:r>
    </w:p>
    <w:p>
      <w:pPr>
        <w:pStyle w:val="Heading2"/>
        <w:spacing w:after="100" w:before="320"/>
      </w:pPr>
      <w:r>
        <w:rPr>
          <w:rFonts w:ascii="Arial" w:cs="Arial" w:eastAsia="Arial" w:hAnsi="Arial"/>
          <w:b/>
          <w:bCs/>
          <w:color w:val="2E6DA4"/>
          <w:sz w:val="28"/>
          <w:szCs w:val="28"/>
        </w:rPr>
        <w:t xml:space="preserve">2.2  The Orchestrator</w:t>
      </w:r>
    </w:p>
    <w:p>
      <w:pPr>
        <w:spacing w:after="100" w:before="80"/>
      </w:pPr>
      <w:r>
        <w:rPr>
          <w:rFonts w:ascii="Arial" w:cs="Arial" w:eastAsia="Arial" w:hAnsi="Arial"/>
          <w:color w:val="1A1A1A"/>
          <w:sz w:val="22"/>
          <w:szCs w:val="22"/>
        </w:rPr>
        <w:t xml:space="preserve">The Orchestrator is the only component permitted to form opinions. It receives structured output from all six agents and performs the following functions in sequence:</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Signal convergence analysis: Identifies where multiple agents surface reinforcing signals and amplifies their combined weight</w:t>
      </w:r>
    </w:p>
    <w:p>
      <w:pPr>
        <w:pStyle w:val="ListParagraph"/>
        <w:numPr>
          <w:ilvl w:val="0"/>
          <w:numId w:val="2"/>
        </w:numPr>
        <w:spacing w:after="60" w:before="60"/>
      </w:pPr>
      <w:r>
        <w:rPr>
          <w:rFonts w:ascii="Arial" w:cs="Arial" w:eastAsia="Arial" w:hAnsi="Arial"/>
          <w:color w:val="1A1A1A"/>
          <w:sz w:val="22"/>
          <w:szCs w:val="22"/>
        </w:rPr>
        <w:t xml:space="preserve">Signal contradiction analysis: Identifies where agents surface conflicting signals and explicitly names the tension rather than averaging it away</w:t>
      </w:r>
    </w:p>
    <w:p>
      <w:pPr>
        <w:pStyle w:val="ListParagraph"/>
        <w:numPr>
          <w:ilvl w:val="0"/>
          <w:numId w:val="2"/>
        </w:numPr>
        <w:spacing w:after="60" w:before="60"/>
      </w:pPr>
      <w:r>
        <w:rPr>
          <w:rFonts w:ascii="Arial" w:cs="Arial" w:eastAsia="Arial" w:hAnsi="Arial"/>
          <w:color w:val="1A1A1A"/>
          <w:sz w:val="22"/>
          <w:szCs w:val="22"/>
        </w:rPr>
        <w:t xml:space="preserve">Implication scoring: Produces a 1-10 score across each of the six implication dimensions</w:t>
      </w:r>
    </w:p>
    <w:p>
      <w:pPr>
        <w:pStyle w:val="ListParagraph"/>
        <w:numPr>
          <w:ilvl w:val="0"/>
          <w:numId w:val="2"/>
        </w:numPr>
        <w:spacing w:after="60" w:before="60"/>
      </w:pPr>
      <w:r>
        <w:rPr>
          <w:rFonts w:ascii="Arial" w:cs="Arial" w:eastAsia="Arial" w:hAnsi="Arial"/>
          <w:color w:val="1A1A1A"/>
          <w:sz w:val="22"/>
          <w:szCs w:val="22"/>
        </w:rPr>
        <w:t xml:space="preserve">Deal thesis generation: Two to three plain-language sentences describing what this situation actually is</w:t>
      </w:r>
    </w:p>
    <w:p>
      <w:pPr>
        <w:pStyle w:val="ListParagraph"/>
        <w:numPr>
          <w:ilvl w:val="0"/>
          <w:numId w:val="2"/>
        </w:numPr>
        <w:spacing w:after="60" w:before="60"/>
      </w:pPr>
      <w:r>
        <w:rPr>
          <w:rFonts w:ascii="Arial" w:cs="Arial" w:eastAsia="Arial" w:hAnsi="Arial"/>
          <w:color w:val="1A1A1A"/>
          <w:sz w:val="22"/>
          <w:szCs w:val="22"/>
        </w:rPr>
        <w:t xml:space="preserve">Negotiation posture recommendation: Aggressive, Fair, or Generous, with the specific reasoning that drove the recommendation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pPr>
              <w:spacing w:after="60" w:before="0"/>
            </w:pPr>
            <w:r>
              <w:rPr>
                <w:rFonts w:ascii="Arial" w:cs="Arial" w:eastAsia="Arial" w:hAnsi="Arial"/>
                <w:b/>
                <w:bCs/>
                <w:color w:val="2E6DA4"/>
                <w:sz w:val="20"/>
                <w:szCs w:val="20"/>
              </w:rPr>
              <w:t xml:space="preserve">Key Orchestrator Rule</w:t>
            </w:r>
          </w:p>
          <w:p>
            <w:pPr>
              <w:spacing w:after="0" w:before="0"/>
            </w:pPr>
            <w:r>
              <w:rPr>
                <w:rFonts w:ascii="Arial" w:cs="Arial" w:eastAsia="Arial" w:hAnsi="Arial"/>
                <w:color w:val="1A1A1A"/>
                <w:sz w:val="20"/>
                <w:szCs w:val="20"/>
              </w:rPr>
              <w:t xml:space="preserve">When signals contradict, the Orchestrator names the contradiction explicitly and assigns a confidence level to its interpretation. It never silently averages conflicting data into a false consensus. Honest uncertainty builds more trust than false confidence.</w:t>
            </w:r>
          </w:p>
        </w:tc>
      </w:tr>
    </w:tbl>
    <w:p>
      <w:pPr>
        <w:spacing w:after="0" w:before="200"/>
      </w:pPr>
      <w:r>
        <w:t xml:space="preserve"/>
      </w:r>
    </w:p>
    <w:p>
      <w:pPr>
        <w:pStyle w:val="Heading1"/>
        <w:spacing w:after="120" w:before="400"/>
      </w:pPr>
      <w:r>
        <w:rPr>
          <w:rFonts w:ascii="Arial" w:cs="Arial" w:eastAsia="Arial" w:hAnsi="Arial"/>
          <w:b/>
          <w:bCs/>
          <w:color w:val="1B3A5C"/>
          <w:sz w:val="36"/>
          <w:szCs w:val="36"/>
        </w:rPr>
        <w:t xml:space="preserve">03  The Implication Scoring Model</w:t>
      </w:r>
    </w:p>
    <w:p>
      <w:pPr>
        <w:pBdr>
          <w:bottom w:val="single" w:color="2E6DA4" w:sz="6" w:space="1"/>
        </w:pBdr>
        <w:spacing w:after="200"/>
      </w:pPr>
    </w:p>
    <w:p>
      <w:pPr>
        <w:spacing w:after="100" w:before="80"/>
      </w:pPr>
      <w:r>
        <w:rPr>
          <w:rFonts w:ascii="Arial" w:cs="Arial" w:eastAsia="Arial" w:hAnsi="Arial"/>
          <w:color w:val="1A1A1A"/>
          <w:sz w:val="22"/>
          <w:szCs w:val="22"/>
        </w:rPr>
        <w:t xml:space="preserve">The scoring system does not rate categories of data. It rates what the data implies when specific combinations converge. A single pest complaint means little. Pest complaints combined with a permit gap, high days on market, and a price reduction means the landlord mentally checked out. The score rates the implication, not the inputs.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Implication Score</w:t>
            </w:r>
          </w:p>
        </w:tc>
        <w:tc>
          <w:tcPr>
            <w:tcW w:type="dxa" w:w="35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Signal Combinations That Drive It</w:t>
            </w:r>
          </w:p>
        </w:tc>
        <w:tc>
          <w:tcPr>
            <w:tcW w:type="dxa" w:w="33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Negotiation Impact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E6DA4"/>
                <w:sz w:val="20"/>
                <w:szCs w:val="20"/>
              </w:rPr>
              <w:t xml:space="preserve">Seller Motivation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19"/>
                <w:szCs w:val="19"/>
              </w:rPr>
              <w:t xml:space="preserve">High days on market + price reductions + complaint volume spike + permit gap (deferred maintenance) all converging = motivated seller signal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19"/>
                <w:szCs w:val="19"/>
              </w:rPr>
              <w:t xml:space="preserve">Drives offer posture toward aggressive. High score = lean on price and terms.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E6DA4"/>
                <w:sz w:val="20"/>
                <w:szCs w:val="20"/>
              </w:rPr>
              <w:t xml:space="preserve">Income Reliability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Rent roll vs. market rate gap + DSCR + tenant turnover velocity + eviction filing frequency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Low score = buyer must underwrite to own numbers, not seller proforma. Flags for negotiated seller escrow holdback.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E6DA4"/>
                <w:sz w:val="20"/>
                <w:szCs w:val="20"/>
              </w:rPr>
              <w:t xml:space="preserve">Value-Add Potential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19"/>
                <w:szCs w:val="19"/>
              </w:rPr>
              <w:t xml:space="preserve">Below-market rents + high tenant retention (stable base to raise from) + submarket rent growth positive + no rent control exposure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19"/>
                <w:szCs w:val="19"/>
              </w:rPr>
              <w:t xml:space="preserve">High score = justify higher offer price with forced appreciation thesis.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E6DA4"/>
                <w:sz w:val="20"/>
                <w:szCs w:val="20"/>
              </w:rPr>
              <w:t xml:space="preserve">Regulatory Exposure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Active or pending legislation at city/state/federal level + tenant union activity + rent control zone + violation history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High score = reduce offer or add contingencies. Flag to attorney before LOI.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E6DA4"/>
                <w:sz w:val="20"/>
                <w:szCs w:val="20"/>
              </w:rPr>
              <w:t xml:space="preserve">Asset Trajectory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19"/>
                <w:szCs w:val="19"/>
              </w:rPr>
              <w:t xml:space="preserve">Recent permit activity (improvement signals) vs. complaint volume (neglect signals) + neighborhood supply pipeline + assessor improvement history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19"/>
                <w:szCs w:val="19"/>
              </w:rPr>
              <w:t xml:space="preserve">Drives hold vs. flip calculus. High trajectory = pay for future value. Low = price to current state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E6DA4"/>
                <w:sz w:val="20"/>
                <w:szCs w:val="20"/>
              </w:rPr>
              <w:t xml:space="preserve">Negotiating Leverage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Combination of Seller Motivation + Regulatory Exposure + Income Reliability scores. Amplified when multiple distress signals converge simultaneously.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Orchestrator final output. Produces recommended posture: Aggressive, Fair, or Generous, with written rationale.</w:t>
            </w:r>
          </w:p>
        </w:tc>
      </w:tr>
    </w:tbl>
    <w:p>
      <w:pPr>
        <w:spacing w:after="0" w:before="200"/>
      </w:pPr>
      <w:r>
        <w:t xml:space="preserve"/>
      </w:r>
    </w:p>
    <w:p>
      <w:pPr>
        <w:pStyle w:val="Heading1"/>
        <w:spacing w:after="120" w:before="400"/>
      </w:pPr>
      <w:r>
        <w:rPr>
          <w:rFonts w:ascii="Arial" w:cs="Arial" w:eastAsia="Arial" w:hAnsi="Arial"/>
          <w:b/>
          <w:bCs/>
          <w:color w:val="1B3A5C"/>
          <w:sz w:val="36"/>
          <w:szCs w:val="36"/>
        </w:rPr>
        <w:t xml:space="preserve">04  The Legislative Intelligence Layer</w:t>
      </w:r>
    </w:p>
    <w:p>
      <w:pPr>
        <w:pBdr>
          <w:bottom w:val="single" w:color="2E6DA4" w:sz="6" w:space="1"/>
        </w:pBdr>
        <w:spacing w:after="200"/>
      </w:pPr>
    </w:p>
    <w:p>
      <w:pPr>
        <w:spacing w:after="100" w:before="80"/>
      </w:pPr>
      <w:r>
        <w:rPr>
          <w:rFonts w:ascii="Arial" w:cs="Arial" w:eastAsia="Arial" w:hAnsi="Arial"/>
          <w:color w:val="1A1A1A"/>
          <w:sz w:val="22"/>
          <w:szCs w:val="22"/>
        </w:rPr>
        <w:t xml:space="preserve">This is the platform's primary competitive moat and the feature that most clearly separates it from every existing CRE tool. Legislation is treated as a live data layer that automatically flags when a property's risk profile is about to change, before the market prices it in.</w:t>
      </w:r>
    </w:p>
    <w:p>
      <w:pPr>
        <w:spacing w:after="0" w:before="80"/>
      </w:pPr>
      <w:r>
        <w:t xml:space="preserve"/>
      </w:r>
    </w:p>
    <w:p>
      <w:pPr>
        <w:spacing w:after="100" w:before="80"/>
      </w:pPr>
      <w:r>
        <w:rPr>
          <w:rFonts w:ascii="Arial" w:cs="Arial" w:eastAsia="Arial" w:hAnsi="Arial"/>
          <w:color w:val="1A1A1A"/>
          <w:sz w:val="22"/>
          <w:szCs w:val="22"/>
        </w:rPr>
        <w:t xml:space="preserve">A broker looking at a 40-unit building in Pilsen does not need to be a policy analyst. But if a tenant relocation assistance ordinance is sitting in Chicago City Council's Housing Committee with three co-sponsors and a hearing in six weeks, that broker should know before making an offer. The app surfaces it. The seller almost certainly does not know.</w:t>
      </w:r>
    </w:p>
    <w:p>
      <w:pPr>
        <w:spacing w:after="0" w:before="160"/>
      </w:pPr>
      <w:r>
        <w:t xml:space="preserve"/>
      </w:r>
    </w:p>
    <w:p>
      <w:pPr>
        <w:pStyle w:val="Heading2"/>
        <w:spacing w:after="100" w:before="320"/>
      </w:pPr>
      <w:r>
        <w:rPr>
          <w:rFonts w:ascii="Arial" w:cs="Arial" w:eastAsia="Arial" w:hAnsi="Arial"/>
          <w:b/>
          <w:bCs/>
          <w:color w:val="2E6DA4"/>
          <w:sz w:val="28"/>
          <w:szCs w:val="28"/>
        </w:rPr>
        <w:t xml:space="preserve">4.1  Data Sources by Jurisdiction</w:t>
      </w:r>
    </w:p>
    <w:p>
      <w:pPr>
        <w:spacing w:after="0" w:before="8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Congress.gov public API. Every bill, every committee assignment, every hearing date. Filterable by committee, enabling automated monitoring of HUD-adjacent subcommittees: Senate Banking, House Financial Services, and HUD appropriations subcommittees. </w:t>
      </w:r>
      <w:r>
        <w:rPr>
          <w:rFonts w:ascii="Arial" w:cs="Arial" w:eastAsia="Arial" w:hAnsi="Arial"/>
          <w:color w:val="1A1A1A"/>
          <w:sz w:val="22"/>
          <w:szCs w:val="22"/>
        </w:rPr>
        <w:t xml:space="preserve">Federal:</w:t>
      </w:r>
    </w:p>
    <w:p>
      <w:pPr>
        <w:pStyle w:val="ListParagraph"/>
        <w:numPr>
          <w:ilvl w:val="0"/>
          <w:numId w:val="2"/>
        </w:numPr>
        <w:spacing w:after="60" w:before="60"/>
      </w:pPr>
      <w:r>
        <w:rPr>
          <w:rFonts w:ascii="Arial" w:cs="Arial" w:eastAsia="Arial" w:hAnsi="Arial"/>
          <w:b/>
          <w:bCs/>
          <w:color w:val="1A1A1A"/>
          <w:sz w:val="22"/>
          <w:szCs w:val="22"/>
        </w:rPr>
        <w:t xml:space="preserve">Federal Register API. Free and machine-readable. Captures all HUD proposed rulemaking, final rules, and advance notices of proposed rulemaking (ANPRM) in real time. </w:t>
      </w:r>
      <w:r>
        <w:rPr>
          <w:rFonts w:ascii="Arial" w:cs="Arial" w:eastAsia="Arial" w:hAnsi="Arial"/>
          <w:color w:val="1A1A1A"/>
          <w:sz w:val="22"/>
          <w:szCs w:val="22"/>
        </w:rPr>
        <w:t xml:space="preserve">Federal Regulatory:</w:t>
      </w:r>
    </w:p>
    <w:p>
      <w:pPr>
        <w:pStyle w:val="ListParagraph"/>
        <w:numPr>
          <w:ilvl w:val="0"/>
          <w:numId w:val="2"/>
        </w:numPr>
        <w:spacing w:after="60" w:before="60"/>
      </w:pPr>
      <w:r>
        <w:rPr>
          <w:rFonts w:ascii="Arial" w:cs="Arial" w:eastAsia="Arial" w:hAnsi="Arial"/>
          <w:b/>
          <w:bCs/>
          <w:color w:val="1A1A1A"/>
          <w:sz w:val="22"/>
          <w:szCs w:val="22"/>
        </w:rPr>
        <w:t xml:space="preserve">Illinois General Assembly bill status and committee assignment data, scrapable via public legislative information system. Hearing schedules and amendment histories included. </w:t>
      </w:r>
      <w:r>
        <w:rPr>
          <w:rFonts w:ascii="Arial" w:cs="Arial" w:eastAsia="Arial" w:hAnsi="Arial"/>
          <w:color w:val="1A1A1A"/>
          <w:sz w:val="22"/>
          <w:szCs w:val="22"/>
        </w:rPr>
        <w:t xml:space="preserve">State (Illinois):</w:t>
      </w:r>
    </w:p>
    <w:p>
      <w:pPr>
        <w:pStyle w:val="ListParagraph"/>
        <w:numPr>
          <w:ilvl w:val="0"/>
          <w:numId w:val="2"/>
        </w:numPr>
        <w:spacing w:after="60" w:before="60"/>
      </w:pPr>
      <w:r>
        <w:rPr>
          <w:rFonts w:ascii="Arial" w:cs="Arial" w:eastAsia="Arial" w:hAnsi="Arial"/>
          <w:b/>
          <w:bCs/>
          <w:color w:val="1A1A1A"/>
          <w:sz w:val="22"/>
          <w:szCs w:val="22"/>
        </w:rPr>
        <w:t xml:space="preserve">Chicago City Council Legislative Information System (ILIS). Ward-level sponsorship data is critical because Chicago housing policy is hyper-local. An ordinance co-sponsored by the alderman of the ward the property sits in carries different probability weight than one sponsored by a distant alderman. </w:t>
      </w:r>
      <w:r>
        <w:rPr>
          <w:rFonts w:ascii="Arial" w:cs="Arial" w:eastAsia="Arial" w:hAnsi="Arial"/>
          <w:color w:val="1A1A1A"/>
          <w:sz w:val="22"/>
          <w:szCs w:val="22"/>
        </w:rPr>
        <w:t xml:space="preserve">City (Chicago):</w:t>
      </w:r>
    </w:p>
    <w:p>
      <w:pPr>
        <w:spacing w:after="0" w:before="160"/>
      </w:pPr>
      <w:r>
        <w:t xml:space="preserve"/>
      </w:r>
    </w:p>
    <w:p>
      <w:pPr>
        <w:pStyle w:val="Heading2"/>
        <w:spacing w:after="100" w:before="320"/>
      </w:pPr>
      <w:r>
        <w:rPr>
          <w:rFonts w:ascii="Arial" w:cs="Arial" w:eastAsia="Arial" w:hAnsi="Arial"/>
          <w:b/>
          <w:bCs/>
          <w:color w:val="2E6DA4"/>
          <w:sz w:val="28"/>
          <w:szCs w:val="28"/>
        </w:rPr>
        <w:t xml:space="preserve">4.2  How It Plugs Into The Implication Engine</w:t>
      </w:r>
    </w:p>
    <w:p>
      <w:pPr>
        <w:spacing w:after="100" w:before="80"/>
      </w:pPr>
      <w:r>
        <w:rPr>
          <w:rFonts w:ascii="Arial" w:cs="Arial" w:eastAsia="Arial" w:hAnsi="Arial"/>
          <w:color w:val="1A1A1A"/>
          <w:sz w:val="22"/>
          <w:szCs w:val="22"/>
        </w:rPr>
        <w:t xml:space="preserve">Legislative flags are not siloed into a single implication score. A single bill may simultaneously affect multiple dimensions:</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A rent control expansion touches Income Reliability and Value-Add Potential simultaneously</w:t>
      </w:r>
    </w:p>
    <w:p>
      <w:pPr>
        <w:pStyle w:val="ListParagraph"/>
        <w:numPr>
          <w:ilvl w:val="0"/>
          <w:numId w:val="2"/>
        </w:numPr>
        <w:spacing w:after="60" w:before="60"/>
      </w:pPr>
      <w:r>
        <w:rPr>
          <w:rFonts w:ascii="Arial" w:cs="Arial" w:eastAsia="Arial" w:hAnsi="Arial"/>
          <w:color w:val="1A1A1A"/>
          <w:sz w:val="22"/>
          <w:szCs w:val="22"/>
        </w:rPr>
        <w:t xml:space="preserve">A tenant relocation assistance ordinance raises Regulatory Exposure and Negotiating Leverage</w:t>
      </w:r>
    </w:p>
    <w:p>
      <w:pPr>
        <w:pStyle w:val="ListParagraph"/>
        <w:numPr>
          <w:ilvl w:val="0"/>
          <w:numId w:val="2"/>
        </w:numPr>
        <w:spacing w:after="60" w:before="60"/>
      </w:pPr>
      <w:r>
        <w:rPr>
          <w:rFonts w:ascii="Arial" w:cs="Arial" w:eastAsia="Arial" w:hAnsi="Arial"/>
          <w:color w:val="1A1A1A"/>
          <w:sz w:val="22"/>
          <w:szCs w:val="22"/>
        </w:rPr>
        <w:t xml:space="preserve">A Good Samaritan environmental remediation bill near an industrial corridor affects Asset Trajectory</w:t>
      </w:r>
    </w:p>
    <w:p>
      <w:pPr>
        <w:pStyle w:val="ListParagraph"/>
        <w:numPr>
          <w:ilvl w:val="0"/>
          <w:numId w:val="2"/>
        </w:numPr>
        <w:spacing w:after="60" w:before="60"/>
      </w:pPr>
      <w:r>
        <w:rPr>
          <w:rFonts w:ascii="Arial" w:cs="Arial" w:eastAsia="Arial" w:hAnsi="Arial"/>
          <w:color w:val="1A1A1A"/>
          <w:sz w:val="22"/>
          <w:szCs w:val="22"/>
        </w:rPr>
        <w:t xml:space="preserve">A federal HUD affordability mandate constraining rent increases affects Value-Add Potential directly</w:t>
      </w:r>
    </w:p>
    <w:p>
      <w:pPr>
        <w:spacing w:after="0" w:before="80"/>
      </w:pPr>
      <w:r>
        <w:t xml:space="preserve"/>
      </w:r>
    </w:p>
    <w:p>
      <w:pPr>
        <w:spacing w:after="100" w:before="80"/>
      </w:pPr>
      <w:r>
        <w:rPr>
          <w:rFonts w:ascii="Arial" w:cs="Arial" w:eastAsia="Arial" w:hAnsi="Arial"/>
          <w:color w:val="1A1A1A"/>
          <w:sz w:val="22"/>
          <w:szCs w:val="22"/>
        </w:rPr>
        <w:t xml:space="preserve">The Legislative Agent extracts the property types, geographies, and building classes each bill targets, maps them to matching properties in the database, and flags relevance. The Orchestrator determines how each relevant bill affects the implication scores.</w:t>
      </w:r>
    </w:p>
    <w:p>
      <w:pPr>
        <w:spacing w:after="0" w:before="160"/>
      </w:pPr>
      <w:r>
        <w:t xml:space="preserve"/>
      </w:r>
    </w:p>
    <w:p>
      <w:pPr>
        <w:pStyle w:val="Heading2"/>
        <w:spacing w:after="100" w:before="320"/>
      </w:pPr>
      <w:r>
        <w:rPr>
          <w:rFonts w:ascii="Arial" w:cs="Arial" w:eastAsia="Arial" w:hAnsi="Arial"/>
          <w:b/>
          <w:bCs/>
          <w:color w:val="2E6DA4"/>
          <w:sz w:val="28"/>
          <w:szCs w:val="28"/>
        </w:rPr>
        <w:t xml:space="preserve">4.3  Presentation to the Broker</w:t>
      </w:r>
    </w:p>
    <w:p>
      <w:pPr>
        <w:spacing w:after="100" w:before="80"/>
      </w:pPr>
      <w:r>
        <w:rPr>
          <w:rFonts w:ascii="Arial" w:cs="Arial" w:eastAsia="Arial" w:hAnsi="Arial"/>
          <w:color w:val="1A1A1A"/>
          <w:sz w:val="22"/>
          <w:szCs w:val="22"/>
        </w:rPr>
        <w:t xml:space="preserve">The broker sees a small legislative flag on the property card indicating how many active or pending items are relevant. One tap opens a plain-language summary of each item: what it is, where it is in the legislative process, what it would change, and the AI's confidence in its relevance to this specific property. A second tap surfaces the actual bill text and committee status for brokers who want to go deeper.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pPr>
              <w:spacing w:after="60" w:before="0"/>
            </w:pPr>
            <w:r>
              <w:rPr>
                <w:rFonts w:ascii="Arial" w:cs="Arial" w:eastAsia="Arial" w:hAnsi="Arial"/>
                <w:b/>
                <w:bCs/>
                <w:color w:val="2E6DA4"/>
                <w:sz w:val="20"/>
                <w:szCs w:val="20"/>
              </w:rPr>
              <w:t xml:space="preserve">Confidence Discipline</w:t>
            </w:r>
          </w:p>
          <w:p>
            <w:pPr>
              <w:spacing w:after="0" w:before="0"/>
            </w:pPr>
            <w:r>
              <w:rPr>
                <w:rFonts w:ascii="Arial" w:cs="Arial" w:eastAsia="Arial" w:hAnsi="Arial"/>
                <w:color w:val="1A1A1A"/>
                <w:sz w:val="20"/>
                <w:szCs w:val="20"/>
              </w:rPr>
              <w:t xml:space="preserve">Bill language interpretation carries inherent ambiguity. A bill that sounds like it affects all multifamily may apply only to specific building classes or construction dates. Every legislative flag carries an explicit confidence level. The system surfaces uncertainty rather than overstating relevance. A false positive that wastes a broker's time erodes trust faster than missing a flag.</w:t>
            </w:r>
          </w:p>
        </w:tc>
      </w:tr>
    </w:tbl>
    <w:p>
      <w:pPr>
        <w:spacing w:after="0" w:before="200"/>
      </w:pPr>
      <w:r>
        <w:t xml:space="preserve"/>
      </w:r>
    </w:p>
    <w:p>
      <w:pPr>
        <w:pStyle w:val="Heading1"/>
        <w:spacing w:after="120" w:before="400"/>
      </w:pPr>
      <w:r>
        <w:rPr>
          <w:rFonts w:ascii="Arial" w:cs="Arial" w:eastAsia="Arial" w:hAnsi="Arial"/>
          <w:b/>
          <w:bCs/>
          <w:color w:val="1B3A5C"/>
          <w:sz w:val="36"/>
          <w:szCs w:val="36"/>
        </w:rPr>
        <w:t xml:space="preserve">05  UI Architecture</w:t>
      </w:r>
    </w:p>
    <w:p>
      <w:pPr>
        <w:pBdr>
          <w:bottom w:val="single" w:color="2E6DA4" w:sz="6" w:space="1"/>
        </w:pBdr>
        <w:spacing w:after="200"/>
      </w:pPr>
    </w:p>
    <w:p>
      <w:pPr>
        <w:spacing w:after="100" w:before="80"/>
      </w:pPr>
      <w:r>
        <w:rPr>
          <w:rFonts w:ascii="Arial" w:cs="Arial" w:eastAsia="Arial" w:hAnsi="Arial"/>
          <w:color w:val="1A1A1A"/>
          <w:sz w:val="22"/>
          <w:szCs w:val="22"/>
        </w:rPr>
        <w:t xml:space="preserve">The central design failure in every existing CRE mobile application is the adoption of a consumer browsing framework for a professional workflow. Zillow's drill-down navigation was designed for someone daydreaming about a house. Brokers are not browsing. They are working. The Zillow pattern forces a serial workflow on a profession that thinks in parallel.</w:t>
      </w:r>
    </w:p>
    <w:p>
      <w:pPr>
        <w:spacing w:after="0" w:before="80"/>
      </w:pPr>
      <w:r>
        <w:t xml:space="preserve"/>
      </w:r>
    </w:p>
    <w:p>
      <w:pPr>
        <w:spacing w:after="100" w:before="80"/>
      </w:pPr>
      <w:r>
        <w:rPr>
          <w:rFonts w:ascii="Arial" w:cs="Arial" w:eastAsia="Arial" w:hAnsi="Arial"/>
          <w:color w:val="1A1A1A"/>
          <w:sz w:val="22"/>
          <w:szCs w:val="22"/>
        </w:rPr>
        <w:t xml:space="preserve">This platform is designed around information density and progressive disclosure, not page-to-page navigation. The broker sees what they need to make a decision. Everything else is one gesture away, not one navigation stack away.</w:t>
      </w:r>
    </w:p>
    <w:p>
      <w:pPr>
        <w:spacing w:after="0" w:before="160"/>
      </w:pPr>
      <w:r>
        <w:t xml:space="preserve"/>
      </w:r>
    </w:p>
    <w:p>
      <w:pPr>
        <w:pStyle w:val="Heading2"/>
        <w:spacing w:after="100" w:before="320"/>
      </w:pPr>
      <w:r>
        <w:rPr>
          <w:rFonts w:ascii="Arial" w:cs="Arial" w:eastAsia="Arial" w:hAnsi="Arial"/>
          <w:b/>
          <w:bCs/>
          <w:color w:val="2E6DA4"/>
          <w:sz w:val="28"/>
          <w:szCs w:val="28"/>
        </w:rPr>
        <w:t xml:space="preserve">5.1  The Progressive Disclosure Stack</w:t>
      </w:r>
    </w:p>
    <w:p>
      <w:pPr>
        <w:spacing w:after="0" w:before="80"/>
      </w:pPr>
      <w:r>
        <w:t xml:space="preserve"/>
      </w:r>
    </w:p>
    <w:p>
      <w:pPr>
        <w:spacing w:after="80" w:before="240"/>
      </w:pPr>
      <w:r>
        <w:rPr>
          <w:rFonts w:ascii="Arial" w:cs="Arial" w:eastAsia="Arial" w:hAnsi="Arial"/>
          <w:b/>
          <w:bCs/>
          <w:color w:val="1A1A1A"/>
          <w:sz w:val="24"/>
          <w:szCs w:val="24"/>
        </w:rPr>
        <w:t xml:space="preserve">Layer 0: The Property Card</w:t>
      </w:r>
    </w:p>
    <w:p>
      <w:pPr>
        <w:spacing w:after="100" w:before="80"/>
      </w:pPr>
      <w:r>
        <w:rPr>
          <w:rFonts w:ascii="Arial" w:cs="Arial" w:eastAsia="Arial" w:hAnsi="Arial"/>
          <w:color w:val="1A1A1A"/>
          <w:sz w:val="22"/>
          <w:szCs w:val="22"/>
        </w:rPr>
        <w:t xml:space="preserve">What the broker sees without tapping anything. Designed for scan-and-decide workflow.</w:t>
      </w:r>
    </w:p>
    <w:p>
      <w:pPr>
        <w:pStyle w:val="ListParagraph"/>
        <w:numPr>
          <w:ilvl w:val="0"/>
          <w:numId w:val="2"/>
        </w:numPr>
        <w:spacing w:after="60" w:before="60"/>
      </w:pPr>
      <w:r>
        <w:rPr>
          <w:rFonts w:ascii="Arial" w:cs="Arial" w:eastAsia="Arial" w:hAnsi="Arial"/>
          <w:color w:val="1A1A1A"/>
          <w:sz w:val="22"/>
          <w:szCs w:val="22"/>
        </w:rPr>
        <w:t xml:space="preserve">Property address, unit count, asset class</w:t>
      </w:r>
    </w:p>
    <w:p>
      <w:pPr>
        <w:pStyle w:val="ListParagraph"/>
        <w:numPr>
          <w:ilvl w:val="0"/>
          <w:numId w:val="2"/>
        </w:numPr>
        <w:spacing w:after="60" w:before="60"/>
      </w:pPr>
      <w:r>
        <w:rPr>
          <w:rFonts w:ascii="Arial" w:cs="Arial" w:eastAsia="Arial" w:hAnsi="Arial"/>
          <w:color w:val="1A1A1A"/>
          <w:sz w:val="22"/>
          <w:szCs w:val="22"/>
        </w:rPr>
        <w:t xml:space="preserve">Orchestrator deal thesis (2-3 sentences)</w:t>
      </w:r>
    </w:p>
    <w:p>
      <w:pPr>
        <w:pStyle w:val="ListParagraph"/>
        <w:numPr>
          <w:ilvl w:val="0"/>
          <w:numId w:val="2"/>
        </w:numPr>
        <w:spacing w:after="60" w:before="60"/>
      </w:pPr>
      <w:r>
        <w:rPr>
          <w:rFonts w:ascii="Arial" w:cs="Arial" w:eastAsia="Arial" w:hAnsi="Arial"/>
          <w:color w:val="1A1A1A"/>
          <w:sz w:val="22"/>
          <w:szCs w:val="22"/>
        </w:rPr>
        <w:t xml:space="preserve">Six implication scores as a visual bar or ring display (1-10 each)</w:t>
      </w:r>
    </w:p>
    <w:p>
      <w:pPr>
        <w:pStyle w:val="ListParagraph"/>
        <w:numPr>
          <w:ilvl w:val="0"/>
          <w:numId w:val="2"/>
        </w:numPr>
        <w:spacing w:after="60" w:before="60"/>
      </w:pPr>
      <w:r>
        <w:rPr>
          <w:rFonts w:ascii="Arial" w:cs="Arial" w:eastAsia="Arial" w:hAnsi="Arial"/>
          <w:color w:val="1A1A1A"/>
          <w:sz w:val="22"/>
          <w:szCs w:val="22"/>
        </w:rPr>
        <w:t xml:space="preserve">Negotiation posture badge: AGGRESSIVE, FAIR, or GENEROUS</w:t>
      </w:r>
    </w:p>
    <w:p>
      <w:pPr>
        <w:pStyle w:val="ListParagraph"/>
        <w:numPr>
          <w:ilvl w:val="0"/>
          <w:numId w:val="2"/>
        </w:numPr>
        <w:spacing w:after="60" w:before="60"/>
      </w:pPr>
      <w:r>
        <w:rPr>
          <w:rFonts w:ascii="Arial" w:cs="Arial" w:eastAsia="Arial" w:hAnsi="Arial"/>
          <w:color w:val="1A1A1A"/>
          <w:sz w:val="22"/>
          <w:szCs w:val="22"/>
        </w:rPr>
        <w:t xml:space="preserve">Legislative flag count (if any active items)</w:t>
      </w:r>
    </w:p>
    <w:p>
      <w:pPr>
        <w:pStyle w:val="ListParagraph"/>
        <w:numPr>
          <w:ilvl w:val="0"/>
          <w:numId w:val="2"/>
        </w:numPr>
        <w:spacing w:after="60" w:before="60"/>
      </w:pPr>
      <w:r>
        <w:rPr>
          <w:rFonts w:ascii="Arial" w:cs="Arial" w:eastAsia="Arial" w:hAnsi="Arial"/>
          <w:color w:val="1A1A1A"/>
          <w:sz w:val="22"/>
          <w:szCs w:val="22"/>
        </w:rPr>
        <w:t xml:space="preserve">Days on market and last price change</w:t>
      </w:r>
    </w:p>
    <w:p>
      <w:pPr>
        <w:spacing w:after="0" w:before="80"/>
      </w:pPr>
      <w:r>
        <w:t xml:space="preserve"/>
      </w:r>
    </w:p>
    <w:p>
      <w:pPr>
        <w:spacing w:after="80" w:before="240"/>
      </w:pPr>
      <w:r>
        <w:rPr>
          <w:rFonts w:ascii="Arial" w:cs="Arial" w:eastAsia="Arial" w:hAnsi="Arial"/>
          <w:b/>
          <w:bCs/>
          <w:color w:val="1A1A1A"/>
          <w:sz w:val="24"/>
          <w:szCs w:val="24"/>
        </w:rPr>
        <w:t xml:space="preserve">Layer 1: Implication Detail (One Tap)</w:t>
      </w:r>
    </w:p>
    <w:p>
      <w:pPr>
        <w:spacing w:after="100" w:before="80"/>
      </w:pPr>
      <w:r>
        <w:rPr>
          <w:rFonts w:ascii="Arial" w:cs="Arial" w:eastAsia="Arial" w:hAnsi="Arial"/>
          <w:color w:val="1A1A1A"/>
          <w:sz w:val="22"/>
          <w:szCs w:val="22"/>
        </w:rPr>
        <w:t xml:space="preserve">The broker taps any implication score to see which signal combinations drove it and the Orchestrator's plain-language reasoning for that specific dimension.</w:t>
      </w:r>
    </w:p>
    <w:p>
      <w:pPr>
        <w:spacing w:after="0" w:before="80"/>
      </w:pPr>
      <w:r>
        <w:t xml:space="preserve"/>
      </w:r>
    </w:p>
    <w:p>
      <w:pPr>
        <w:spacing w:after="80" w:before="240"/>
      </w:pPr>
      <w:r>
        <w:rPr>
          <w:rFonts w:ascii="Arial" w:cs="Arial" w:eastAsia="Arial" w:hAnsi="Arial"/>
          <w:b/>
          <w:bCs/>
          <w:color w:val="1A1A1A"/>
          <w:sz w:val="24"/>
          <w:szCs w:val="24"/>
        </w:rPr>
        <w:t xml:space="preserve">Layer 2: Agent Briefings (One More Tap)</w:t>
      </w:r>
    </w:p>
    <w:p>
      <w:pPr>
        <w:spacing w:after="100" w:before="80"/>
      </w:pPr>
      <w:r>
        <w:rPr>
          <w:rFonts w:ascii="Arial" w:cs="Arial" w:eastAsia="Arial" w:hAnsi="Arial"/>
          <w:color w:val="1A1A1A"/>
          <w:sz w:val="22"/>
          <w:szCs w:val="22"/>
        </w:rPr>
        <w:t xml:space="preserve">Behind each implication score sits the raw output of the agents that contributed to it. Documented facts only. No editorializing. The broker can cross-examine the system.</w:t>
      </w:r>
    </w:p>
    <w:p>
      <w:pPr>
        <w:spacing w:after="0" w:before="80"/>
      </w:pPr>
      <w:r>
        <w:t xml:space="preserve"/>
      </w:r>
    </w:p>
    <w:p>
      <w:pPr>
        <w:spacing w:after="80" w:before="240"/>
      </w:pPr>
      <w:r>
        <w:rPr>
          <w:rFonts w:ascii="Arial" w:cs="Arial" w:eastAsia="Arial" w:hAnsi="Arial"/>
          <w:b/>
          <w:bCs/>
          <w:color w:val="1A1A1A"/>
          <w:sz w:val="24"/>
          <w:szCs w:val="24"/>
        </w:rPr>
        <w:t xml:space="preserve">Layer 3: Source Documents (Final Tap)</w:t>
      </w:r>
    </w:p>
    <w:p>
      <w:pPr>
        <w:spacing w:after="100" w:before="80"/>
      </w:pPr>
      <w:r>
        <w:rPr>
          <w:rFonts w:ascii="Arial" w:cs="Arial" w:eastAsia="Arial" w:hAnsi="Arial"/>
          <w:color w:val="1A1A1A"/>
          <w:sz w:val="22"/>
          <w:szCs w:val="22"/>
        </w:rPr>
        <w:t xml:space="preserve">Direct links to the underlying public records: the 311 complaint, the permit filing, the committee hearing page, the eviction court record. Full auditability.</w:t>
      </w:r>
    </w:p>
    <w:p>
      <w:pPr>
        <w:spacing w:after="0" w:before="160"/>
      </w:pPr>
      <w:r>
        <w:t xml:space="preserve"/>
      </w:r>
    </w:p>
    <w:p>
      <w:pPr>
        <w:pStyle w:val="Heading2"/>
        <w:spacing w:after="100" w:before="320"/>
      </w:pPr>
      <w:r>
        <w:rPr>
          <w:rFonts w:ascii="Arial" w:cs="Arial" w:eastAsia="Arial" w:hAnsi="Arial"/>
          <w:b/>
          <w:bCs/>
          <w:color w:val="2E6DA4"/>
          <w:sz w:val="28"/>
          <w:szCs w:val="28"/>
        </w:rPr>
        <w:t xml:space="preserve">5.2  Build Format: Mobile-First Web App</w:t>
      </w:r>
    </w:p>
    <w:p>
      <w:pPr>
        <w:spacing w:after="100" w:before="80"/>
      </w:pPr>
      <w:r>
        <w:rPr>
          <w:rFonts w:ascii="Arial" w:cs="Arial" w:eastAsia="Arial" w:hAnsi="Arial"/>
          <w:color w:val="1A1A1A"/>
          <w:sz w:val="22"/>
          <w:szCs w:val="22"/>
        </w:rPr>
        <w:t xml:space="preserve">The MVP will be built as a mobile-first progressive web application (PWA) in React. This is sufficient for the pitch. Crexi is not buying the App Store listing. They are buying the thinking and the proof that it works better. A React PWA running clean on iOS and Android Safari makes the case.</w:t>
      </w:r>
    </w:p>
    <w:p>
      <w:pPr>
        <w:spacing w:after="0" w:before="80"/>
      </w:pPr>
      <w:r>
        <w:t xml:space="preserve"/>
      </w:r>
    </w:p>
    <w:p>
      <w:pPr>
        <w:spacing w:after="100" w:before="80"/>
      </w:pPr>
      <w:r>
        <w:rPr>
          <w:rFonts w:ascii="Arial" w:cs="Arial" w:eastAsia="Arial" w:hAnsi="Arial"/>
          <w:color w:val="1A1A1A"/>
          <w:sz w:val="22"/>
          <w:szCs w:val="22"/>
        </w:rPr>
        <w:t xml:space="preserve">Native app development follows acquisition or a second funding event. The PWA ensures the core experience is demonstrable immediately on any device the Crexi product team picks up.</w:t>
      </w:r>
    </w:p>
    <w:p>
      <w:pPr>
        <w:spacing w:after="0" w:before="200"/>
      </w:pPr>
      <w:r>
        <w:t xml:space="preserve"/>
      </w:r>
    </w:p>
    <w:p>
      <w:pPr>
        <w:pStyle w:val="Heading1"/>
        <w:spacing w:after="120" w:before="400"/>
      </w:pPr>
      <w:r>
        <w:rPr>
          <w:rFonts w:ascii="Arial" w:cs="Arial" w:eastAsia="Arial" w:hAnsi="Arial"/>
          <w:b/>
          <w:bCs/>
          <w:color w:val="1B3A5C"/>
          <w:sz w:val="36"/>
          <w:szCs w:val="36"/>
        </w:rPr>
        <w:t xml:space="preserve">06  Data Strategy</w:t>
      </w:r>
    </w:p>
    <w:p>
      <w:pPr>
        <w:pBdr>
          <w:bottom w:val="single" w:color="2E6DA4" w:sz="6" w:space="1"/>
        </w:pBdr>
        <w:spacing w:after="200"/>
      </w:pPr>
    </w:p>
    <w:p>
      <w:pPr>
        <w:pStyle w:val="Heading2"/>
        <w:spacing w:after="100" w:before="320"/>
      </w:pPr>
      <w:r>
        <w:rPr>
          <w:rFonts w:ascii="Arial" w:cs="Arial" w:eastAsia="Arial" w:hAnsi="Arial"/>
          <w:b/>
          <w:bCs/>
          <w:color w:val="2E6DA4"/>
          <w:sz w:val="28"/>
          <w:szCs w:val="28"/>
        </w:rPr>
        <w:t xml:space="preserve">6.1  Free and Public Sources (No Licensing Required)</w:t>
      </w:r>
    </w:p>
    <w:p>
      <w:pPr>
        <w:pStyle w:val="ListParagraph"/>
        <w:numPr>
          <w:ilvl w:val="0"/>
          <w:numId w:val="2"/>
        </w:numPr>
        <w:spacing w:after="60" w:before="60"/>
      </w:pPr>
      <w:r>
        <w:rPr>
          <w:rFonts w:ascii="Arial" w:cs="Arial" w:eastAsia="Arial" w:hAnsi="Arial"/>
          <w:color w:val="1A1A1A"/>
          <w:sz w:val="22"/>
          <w:szCs w:val="22"/>
        </w:rPr>
        <w:t xml:space="preserve">Chicago 311 Open Data API: Robust, well-documented, free</w:t>
      </w:r>
    </w:p>
    <w:p>
      <w:pPr>
        <w:pStyle w:val="ListParagraph"/>
        <w:numPr>
          <w:ilvl w:val="0"/>
          <w:numId w:val="2"/>
        </w:numPr>
        <w:spacing w:after="60" w:before="60"/>
      </w:pPr>
      <w:r>
        <w:rPr>
          <w:rFonts w:ascii="Arial" w:cs="Arial" w:eastAsia="Arial" w:hAnsi="Arial"/>
          <w:color w:val="1A1A1A"/>
          <w:sz w:val="22"/>
          <w:szCs w:val="22"/>
        </w:rPr>
        <w:t xml:space="preserve">Cook County Assessor public records</w:t>
      </w:r>
    </w:p>
    <w:p>
      <w:pPr>
        <w:pStyle w:val="ListParagraph"/>
        <w:numPr>
          <w:ilvl w:val="0"/>
          <w:numId w:val="2"/>
        </w:numPr>
        <w:spacing w:after="60" w:before="60"/>
      </w:pPr>
      <w:r>
        <w:rPr>
          <w:rFonts w:ascii="Arial" w:cs="Arial" w:eastAsia="Arial" w:hAnsi="Arial"/>
          <w:color w:val="1A1A1A"/>
          <w:sz w:val="22"/>
          <w:szCs w:val="22"/>
        </w:rPr>
        <w:t xml:space="preserve">Chicago building permit and code violation database</w:t>
      </w:r>
    </w:p>
    <w:p>
      <w:pPr>
        <w:pStyle w:val="ListParagraph"/>
        <w:numPr>
          <w:ilvl w:val="0"/>
          <w:numId w:val="2"/>
        </w:numPr>
        <w:spacing w:after="60" w:before="60"/>
      </w:pPr>
      <w:r>
        <w:rPr>
          <w:rFonts w:ascii="Arial" w:cs="Arial" w:eastAsia="Arial" w:hAnsi="Arial"/>
          <w:color w:val="1A1A1A"/>
          <w:sz w:val="22"/>
          <w:szCs w:val="22"/>
        </w:rPr>
        <w:t xml:space="preserve">Chicago CPD incident data (address-level)</w:t>
      </w:r>
    </w:p>
    <w:p>
      <w:pPr>
        <w:pStyle w:val="ListParagraph"/>
        <w:numPr>
          <w:ilvl w:val="0"/>
          <w:numId w:val="2"/>
        </w:numPr>
        <w:spacing w:after="60" w:before="60"/>
      </w:pPr>
      <w:r>
        <w:rPr>
          <w:rFonts w:ascii="Arial" w:cs="Arial" w:eastAsia="Arial" w:hAnsi="Arial"/>
          <w:color w:val="1A1A1A"/>
          <w:sz w:val="22"/>
          <w:szCs w:val="22"/>
        </w:rPr>
        <w:t xml:space="preserve">Chicago City Council ILIS (legislative)</w:t>
      </w:r>
    </w:p>
    <w:p>
      <w:pPr>
        <w:pStyle w:val="ListParagraph"/>
        <w:numPr>
          <w:ilvl w:val="0"/>
          <w:numId w:val="2"/>
        </w:numPr>
        <w:spacing w:after="60" w:before="60"/>
      </w:pPr>
      <w:r>
        <w:rPr>
          <w:rFonts w:ascii="Arial" w:cs="Arial" w:eastAsia="Arial" w:hAnsi="Arial"/>
          <w:color w:val="1A1A1A"/>
          <w:sz w:val="22"/>
          <w:szCs w:val="22"/>
        </w:rPr>
        <w:t xml:space="preserve">Illinois General Assembly bill database</w:t>
      </w:r>
    </w:p>
    <w:p>
      <w:pPr>
        <w:pStyle w:val="ListParagraph"/>
        <w:numPr>
          <w:ilvl w:val="0"/>
          <w:numId w:val="2"/>
        </w:numPr>
        <w:spacing w:after="60" w:before="60"/>
      </w:pPr>
      <w:r>
        <w:rPr>
          <w:rFonts w:ascii="Arial" w:cs="Arial" w:eastAsia="Arial" w:hAnsi="Arial"/>
          <w:color w:val="1A1A1A"/>
          <w:sz w:val="22"/>
          <w:szCs w:val="22"/>
        </w:rPr>
        <w:t xml:space="preserve">Congress.gov API</w:t>
      </w:r>
    </w:p>
    <w:p>
      <w:pPr>
        <w:pStyle w:val="ListParagraph"/>
        <w:numPr>
          <w:ilvl w:val="0"/>
          <w:numId w:val="2"/>
        </w:numPr>
        <w:spacing w:after="60" w:before="60"/>
      </w:pPr>
      <w:r>
        <w:rPr>
          <w:rFonts w:ascii="Arial" w:cs="Arial" w:eastAsia="Arial" w:hAnsi="Arial"/>
          <w:color w:val="1A1A1A"/>
          <w:sz w:val="22"/>
          <w:szCs w:val="22"/>
        </w:rPr>
        <w:t xml:space="preserve">Federal Register API</w:t>
      </w:r>
    </w:p>
    <w:p>
      <w:pPr>
        <w:pStyle w:val="ListParagraph"/>
        <w:numPr>
          <w:ilvl w:val="0"/>
          <w:numId w:val="2"/>
        </w:numPr>
        <w:spacing w:after="60" w:before="60"/>
      </w:pPr>
      <w:r>
        <w:rPr>
          <w:rFonts w:ascii="Arial" w:cs="Arial" w:eastAsia="Arial" w:hAnsi="Arial"/>
          <w:color w:val="1A1A1A"/>
          <w:sz w:val="22"/>
          <w:szCs w:val="22"/>
        </w:rPr>
        <w:t xml:space="preserve">Voter registration change data (public, varies by county)</w:t>
      </w:r>
    </w:p>
    <w:p>
      <w:pPr>
        <w:pStyle w:val="ListParagraph"/>
        <w:numPr>
          <w:ilvl w:val="0"/>
          <w:numId w:val="2"/>
        </w:numPr>
        <w:spacing w:after="60" w:before="60"/>
      </w:pPr>
      <w:r>
        <w:rPr>
          <w:rFonts w:ascii="Arial" w:cs="Arial" w:eastAsia="Arial" w:hAnsi="Arial"/>
          <w:color w:val="1A1A1A"/>
          <w:sz w:val="22"/>
          <w:szCs w:val="22"/>
        </w:rPr>
        <w:t xml:space="preserve">Eviction court filings (Cook County Circuit Court, partially accessible)</w:t>
      </w:r>
    </w:p>
    <w:p>
      <w:pPr>
        <w:spacing w:after="0" w:before="160"/>
      </w:pPr>
      <w:r>
        <w:t xml:space="preserve"/>
      </w:r>
    </w:p>
    <w:p>
      <w:pPr>
        <w:pStyle w:val="Heading2"/>
        <w:spacing w:after="100" w:before="320"/>
      </w:pPr>
      <w:r>
        <w:rPr>
          <w:rFonts w:ascii="Arial" w:cs="Arial" w:eastAsia="Arial" w:hAnsi="Arial"/>
          <w:b/>
          <w:bCs/>
          <w:color w:val="2E6DA4"/>
          <w:sz w:val="28"/>
          <w:szCs w:val="28"/>
        </w:rPr>
        <w:t xml:space="preserve">6.2  Licensed Data Sources (Acquisition Required)</w:t>
      </w:r>
    </w:p>
    <w:p>
      <w:pPr>
        <w:pStyle w:val="ListParagraph"/>
        <w:numPr>
          <w:ilvl w:val="0"/>
          <w:numId w:val="2"/>
        </w:numPr>
        <w:spacing w:after="60" w:before="60"/>
      </w:pPr>
      <w:r>
        <w:rPr>
          <w:rFonts w:ascii="Arial" w:cs="Arial" w:eastAsia="Arial" w:hAnsi="Arial"/>
          <w:color w:val="1A1A1A"/>
          <w:sz w:val="22"/>
          <w:szCs w:val="22"/>
        </w:rPr>
        <w:t xml:space="preserve">USPS NCOA via data broker (LexisNexis or Acxiom): Household turnover and length-of-stay inference. Primary signal for tenant retention scoring.</w:t>
      </w:r>
    </w:p>
    <w:p>
      <w:pPr>
        <w:pStyle w:val="ListParagraph"/>
        <w:numPr>
          <w:ilvl w:val="0"/>
          <w:numId w:val="2"/>
        </w:numPr>
        <w:spacing w:after="60" w:before="60"/>
      </w:pPr>
      <w:r>
        <w:rPr>
          <w:rFonts w:ascii="Arial" w:cs="Arial" w:eastAsia="Arial" w:hAnsi="Arial"/>
          <w:color w:val="1A1A1A"/>
          <w:sz w:val="22"/>
          <w:szCs w:val="22"/>
        </w:rPr>
        <w:t xml:space="preserve">Val-Pak / direct mail household data: Address-level demographic and turnover data. Underrated and affordable.</w:t>
      </w:r>
    </w:p>
    <w:p>
      <w:pPr>
        <w:pStyle w:val="ListParagraph"/>
        <w:numPr>
          <w:ilvl w:val="0"/>
          <w:numId w:val="2"/>
        </w:numPr>
        <w:spacing w:after="60" w:before="60"/>
      </w:pPr>
      <w:r>
        <w:rPr>
          <w:rFonts w:ascii="Arial" w:cs="Arial" w:eastAsia="Arial" w:hAnsi="Arial"/>
          <w:color w:val="1A1A1A"/>
          <w:sz w:val="22"/>
          <w:szCs w:val="22"/>
        </w:rPr>
        <w:t xml:space="preserve">ATTOM Data or PropStream: Aggregated property records, comp sales, and ownership history at scale. Core financial data layer.</w:t>
      </w:r>
    </w:p>
    <w:p>
      <w:pPr>
        <w:spacing w:after="0" w:before="160"/>
      </w:pPr>
      <w:r>
        <w:t xml:space="preserve"/>
      </w:r>
    </w:p>
    <w:p>
      <w:pPr>
        <w:pStyle w:val="Heading2"/>
        <w:spacing w:after="100" w:before="320"/>
      </w:pPr>
      <w:r>
        <w:rPr>
          <w:rFonts w:ascii="Arial" w:cs="Arial" w:eastAsia="Arial" w:hAnsi="Arial"/>
          <w:b/>
          <w:bCs/>
          <w:color w:val="2E6DA4"/>
          <w:sz w:val="28"/>
          <w:szCs w:val="28"/>
        </w:rPr>
        <w:t xml:space="preserve">6.3  Inference Transparency</w:t>
      </w:r>
    </w:p>
    <w:p>
      <w:pPr>
        <w:spacing w:after="100" w:before="80"/>
      </w:pPr>
      <w:r>
        <w:rPr>
          <w:rFonts w:ascii="Arial" w:cs="Arial" w:eastAsia="Arial" w:hAnsi="Arial"/>
          <w:color w:val="1A1A1A"/>
          <w:sz w:val="22"/>
          <w:szCs w:val="22"/>
        </w:rPr>
        <w:t xml:space="preserve">Two data categories require inference rather than direct access. The system must communicate this distinction clearly to the broker at all times.</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Rent roll data: Current tenant rents by unit are not public. The system infers market rent ranges from comp data and assessor records. This is an estimate, not a fact, and is labeled as such.</w:t>
      </w:r>
    </w:p>
    <w:p>
      <w:pPr>
        <w:pStyle w:val="ListParagraph"/>
        <w:numPr>
          <w:ilvl w:val="0"/>
          <w:numId w:val="2"/>
        </w:numPr>
        <w:spacing w:after="60" w:before="60"/>
      </w:pPr>
      <w:r>
        <w:rPr>
          <w:rFonts w:ascii="Arial" w:cs="Arial" w:eastAsia="Arial" w:hAnsi="Arial"/>
          <w:color w:val="1A1A1A"/>
          <w:sz w:val="22"/>
          <w:szCs w:val="22"/>
        </w:rPr>
        <w:t xml:space="preserve">Tenant length of stay: Produced by triangulating NCOA data, voter registration changes, and utility transfer events. Presented as a probabilistic inference with a stated confidence level, not a verified number.</w:t>
      </w:r>
    </w:p>
    <w:p>
      <w:pPr>
        <w:spacing w:after="0" w:before="200"/>
      </w:pPr>
      <w:r>
        <w:t xml:space="preserve"/>
      </w:r>
    </w:p>
    <w:p>
      <w:pPr>
        <w:pStyle w:val="Heading1"/>
        <w:spacing w:after="120" w:before="400"/>
      </w:pPr>
      <w:r>
        <w:rPr>
          <w:rFonts w:ascii="Arial" w:cs="Arial" w:eastAsia="Arial" w:hAnsi="Arial"/>
          <w:b/>
          <w:bCs/>
          <w:color w:val="1B3A5C"/>
          <w:sz w:val="36"/>
          <w:szCs w:val="36"/>
        </w:rPr>
        <w:t xml:space="preserve">07  Defensible IP</w:t>
      </w:r>
    </w:p>
    <w:p>
      <w:pPr>
        <w:pBdr>
          <w:bottom w:val="single" w:color="2E6DA4" w:sz="6" w:space="1"/>
        </w:pBdr>
        <w:spacing w:after="200"/>
      </w:pPr>
    </w:p>
    <w:p>
      <w:pPr>
        <w:spacing w:after="100" w:before="80"/>
      </w:pPr>
      <w:r>
        <w:rPr>
          <w:rFonts w:ascii="Arial" w:cs="Arial" w:eastAsia="Arial" w:hAnsi="Arial"/>
          <w:color w:val="1A1A1A"/>
          <w:sz w:val="22"/>
          <w:szCs w:val="22"/>
        </w:rPr>
        <w:t xml:space="preserve">The platform's intellectual property is not the data. Individual data sources are licensable by any competitor. The IP exists in three layers:</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The agent architecture: The specific division of retrieval responsibilities, the data sources each agent is wired to, and the structured output schema each agent produces</w:t>
      </w:r>
    </w:p>
    <w:p>
      <w:pPr>
        <w:pStyle w:val="ListParagraph"/>
        <w:numPr>
          <w:ilvl w:val="0"/>
          <w:numId w:val="2"/>
        </w:numPr>
        <w:spacing w:after="60" w:before="60"/>
      </w:pPr>
      <w:r>
        <w:rPr>
          <w:rFonts w:ascii="Arial" w:cs="Arial" w:eastAsia="Arial" w:hAnsi="Arial"/>
          <w:color w:val="1A1A1A"/>
          <w:sz w:val="22"/>
          <w:szCs w:val="22"/>
        </w:rPr>
        <w:t xml:space="preserve">The Orchestrator's interpretive logic: The signal convergence and contradiction rules, the implication scoring weights, and the conditions under which the system changes negotiation posture recommendations</w:t>
      </w:r>
    </w:p>
    <w:p>
      <w:pPr>
        <w:pStyle w:val="ListParagraph"/>
        <w:numPr>
          <w:ilvl w:val="0"/>
          <w:numId w:val="2"/>
        </w:numPr>
        <w:spacing w:after="60" w:before="60"/>
      </w:pPr>
      <w:r>
        <w:rPr>
          <w:rFonts w:ascii="Arial" w:cs="Arial" w:eastAsia="Arial" w:hAnsi="Arial"/>
          <w:color w:val="1A1A1A"/>
          <w:sz w:val="22"/>
          <w:szCs w:val="22"/>
        </w:rPr>
        <w:t xml:space="preserve">The legislative mapping layer: The logic connecting bill language to property-level relevance across federal, state, and municipal jurisdictions simultaneously</w:t>
      </w:r>
    </w:p>
    <w:p>
      <w:pPr>
        <w:spacing w:after="0" w:before="80"/>
      </w:pPr>
      <w:r>
        <w:t xml:space="preserve"/>
      </w:r>
    </w:p>
    <w:p>
      <w:pPr>
        <w:spacing w:after="100" w:before="80"/>
      </w:pPr>
      <w:r>
        <w:rPr>
          <w:rFonts w:ascii="Arial" w:cs="Arial" w:eastAsia="Arial" w:hAnsi="Arial"/>
          <w:color w:val="1A1A1A"/>
          <w:sz w:val="22"/>
          <w:szCs w:val="22"/>
        </w:rPr>
        <w:t xml:space="preserve">This combination is the acquisition target. Crexi could rebuild any individual component. Rebuilding the integrated system, with the calibration that comes from real broker usage, is what makes the platform worth acquiring rather than replicating.</w:t>
      </w:r>
    </w:p>
    <w:p>
      <w:pPr>
        <w:spacing w:after="0" w:before="200"/>
      </w:pPr>
      <w:r>
        <w:t xml:space="preserve"/>
      </w:r>
    </w:p>
    <w:p>
      <w:pPr>
        <w:pStyle w:val="Heading1"/>
        <w:spacing w:after="120" w:before="400"/>
      </w:pPr>
      <w:r>
        <w:rPr>
          <w:rFonts w:ascii="Arial" w:cs="Arial" w:eastAsia="Arial" w:hAnsi="Arial"/>
          <w:b/>
          <w:bCs/>
          <w:color w:val="1B3A5C"/>
          <w:sz w:val="36"/>
          <w:szCs w:val="36"/>
        </w:rPr>
        <w:t xml:space="preserve">08  MVP Build Roadmap</w:t>
      </w:r>
    </w:p>
    <w:p>
      <w:pPr>
        <w:pBdr>
          <w:bottom w:val="single" w:color="2E6DA4" w:sz="6" w:space="1"/>
        </w:pBdr>
        <w:spacing w:after="200"/>
      </w:pPr>
    </w:p>
    <w:p>
      <w:pPr>
        <w:spacing w:after="100" w:before="80"/>
      </w:pPr>
      <w:r>
        <w:rPr>
          <w:rFonts w:ascii="Arial" w:cs="Arial" w:eastAsia="Arial" w:hAnsi="Arial"/>
          <w:color w:val="1A1A1A"/>
          <w:sz w:val="22"/>
          <w:szCs w:val="22"/>
        </w:rPr>
        <w:t xml:space="preserve">Scope: Chicago multifamily market. One asset class. Enough properties to feel real, clean enough data to feel trustworthy, demonstrably superior mobile experience to Crexi.</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Timeline</w:t>
            </w:r>
          </w:p>
        </w:tc>
        <w:tc>
          <w:tcPr>
            <w:tcW w:type="dxa" w:w="55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Deliverables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E6DA4"/>
                <w:sz w:val="20"/>
                <w:szCs w:val="20"/>
              </w:rPr>
              <w:t xml:space="preserve">Phase 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19"/>
                <w:szCs w:val="19"/>
              </w:rPr>
              <w:t xml:space="preserve">Month 1</w:t>
            </w:r>
          </w:p>
        </w:tc>
        <w:tc>
          <w:tcPr>
            <w:tcW w:type="dxa" w:w="5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19"/>
                <w:szCs w:val="19"/>
              </w:rPr>
              <w:t xml:space="preserve">Data pipeline architecture locked. All free public sources connected and returning clean structured output. Licensed data sources identified and procurement initiated. Agent output schemas defined.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E6DA4"/>
                <w:sz w:val="20"/>
                <w:szCs w:val="20"/>
              </w:rPr>
              <w:t xml:space="preserve">Phase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Month 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Agent modules built and tested independently. Orchestrator logic v1 built and tested against sample properties. Core UI scaffolded in React with Layer 0 property card rendering correctly on mobile.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b/>
                <w:bCs/>
                <w:color w:val="2E6DA4"/>
                <w:sz w:val="20"/>
                <w:szCs w:val="20"/>
              </w:rPr>
              <w:t xml:space="preserve">Phase 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19"/>
                <w:szCs w:val="19"/>
              </w:rPr>
              <w:t xml:space="preserve">Month 3</w:t>
            </w:r>
          </w:p>
        </w:tc>
        <w:tc>
          <w:tcPr>
            <w:tcW w:type="dxa" w:w="5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19"/>
                <w:szCs w:val="19"/>
              </w:rPr>
              <w:t xml:space="preserve">Full progressive disclosure stack implemented (all four layers). Legislative intelligence layer connected and returning relevant flags on test properties. Real broker hands on the product. Feedback loop initiated.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E6DA4"/>
                <w:sz w:val="20"/>
                <w:szCs w:val="20"/>
              </w:rPr>
              <w:t xml:space="preserve">Phase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Month 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Calibration and cleanup based on broker feedback. Orchestrator posture recommendations stress-tested against real deal outcomes. Pitch deck built. Crexi approach initiated.</w:t>
            </w:r>
          </w:p>
        </w:tc>
      </w:tr>
    </w:tbl>
    <w:p>
      <w:pPr>
        <w:spacing w:after="0" w:before="200"/>
      </w:pPr>
      <w:r>
        <w:t xml:space="preserve"/>
      </w:r>
    </w:p>
    <w:p>
      <w:pPr>
        <w:pStyle w:val="Heading1"/>
        <w:spacing w:after="120" w:before="400"/>
      </w:pPr>
      <w:r>
        <w:rPr>
          <w:rFonts w:ascii="Arial" w:cs="Arial" w:eastAsia="Arial" w:hAnsi="Arial"/>
          <w:b/>
          <w:bCs/>
          <w:color w:val="1B3A5C"/>
          <w:sz w:val="36"/>
          <w:szCs w:val="36"/>
        </w:rPr>
        <w:t xml:space="preserve">09  The Acquisition Pitch</w:t>
      </w:r>
    </w:p>
    <w:p>
      <w:pPr>
        <w:pBdr>
          <w:bottom w:val="single" w:color="2E6DA4" w:sz="6" w:space="1"/>
        </w:pBdr>
        <w:spacing w:after="200"/>
      </w:pPr>
    </w:p>
    <w:p>
      <w:pPr>
        <w:spacing w:after="100" w:before="80"/>
      </w:pPr>
      <w:r>
        <w:rPr>
          <w:rFonts w:ascii="Arial" w:cs="Arial" w:eastAsia="Arial" w:hAnsi="Arial"/>
          <w:color w:val="1A1A1A"/>
          <w:sz w:val="22"/>
          <w:szCs w:val="22"/>
        </w:rPr>
        <w:t xml:space="preserve">The pitch to Crexi is not: here is a better mobile app. The pitch is: here is a system that thinks the way an experienced senior broker thinks, built on a fundamentally different product philosophy than anything you currently have or are building.</w:t>
      </w:r>
    </w:p>
    <w:p>
      <w:pPr>
        <w:spacing w:after="0" w:before="80"/>
      </w:pPr>
      <w:r>
        <w:t xml:space="preserve"/>
      </w:r>
    </w:p>
    <w:p>
      <w:pPr>
        <w:spacing w:after="100" w:before="80"/>
      </w:pPr>
      <w:r>
        <w:rPr>
          <w:rFonts w:ascii="Arial" w:cs="Arial" w:eastAsia="Arial" w:hAnsi="Arial"/>
          <w:color w:val="1A1A1A"/>
          <w:sz w:val="22"/>
          <w:szCs w:val="22"/>
        </w:rPr>
        <w:t xml:space="preserve">The deliverable to Crexi is a working product with real broker engagement, measurable usage data, and documented design decisions that explain every architectural choice. They are not buying an app. They are buying the methodology, the data moat, and the calibrated intelligence layer that sits on top of it.</w:t>
      </w:r>
    </w:p>
    <w:p>
      <w:pPr>
        <w:spacing w:after="0" w:before="80"/>
      </w:pPr>
      <w:r>
        <w:t xml:space="preserve"/>
      </w:r>
    </w:p>
    <w:p>
      <w:pPr>
        <w:spacing w:after="100" w:before="80"/>
      </w:pPr>
      <w:r>
        <w:rPr>
          <w:rFonts w:ascii="Arial" w:cs="Arial" w:eastAsia="Arial" w:hAnsi="Arial"/>
          <w:color w:val="1A1A1A"/>
          <w:sz w:val="22"/>
          <w:szCs w:val="22"/>
        </w:rPr>
        <w:t xml:space="preserve">The legislative intelligence layer alone reframes the category. Crexi currently delivers a listing platform. This platform delivers a pre-negotiation intelligence briefing. That is a different product commanding a different valuation.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pPr>
              <w:spacing w:after="60" w:before="0"/>
            </w:pPr>
            <w:r>
              <w:rPr>
                <w:rFonts w:ascii="Arial" w:cs="Arial" w:eastAsia="Arial" w:hAnsi="Arial"/>
                <w:b/>
                <w:bCs/>
                <w:color w:val="2E6DA4"/>
                <w:sz w:val="20"/>
                <w:szCs w:val="20"/>
              </w:rPr>
              <w:t xml:space="preserve">Pitch Positioning</w:t>
            </w:r>
          </w:p>
          <w:p>
            <w:pPr>
              <w:spacing w:after="0" w:before="0"/>
            </w:pPr>
            <w:r>
              <w:rPr>
                <w:rFonts w:ascii="Arial" w:cs="Arial" w:eastAsia="Arial" w:hAnsi="Arial"/>
                <w:color w:val="1A1A1A"/>
                <w:sz w:val="20"/>
                <w:szCs w:val="20"/>
              </w:rPr>
              <w:t xml:space="preserve">Every feature in this platform was designed from the broker's cognitive workflow outward. Competitors built their interfaces around their data structures. This platform was built around how an experienced deal-maker actually thinks. That difference is visible the moment someone picks up the phone.</w:t>
            </w:r>
          </w:p>
        </w:tc>
      </w:tr>
    </w:tbl>
    <w:p>
      <w:pPr>
        <w:spacing w:after="0" w:before="300"/>
      </w:pPr>
      <w:r>
        <w:t xml:space="preserve"/>
      </w:r>
    </w:p>
    <w:p>
      <w:pPr>
        <w:spacing w:after="0" w:before="0"/>
        <w:jc w:val="center"/>
      </w:pPr>
      <w:r>
        <w:rPr>
          <w:rFonts w:ascii="Arial" w:cs="Arial" w:eastAsia="Arial" w:hAnsi="Arial"/>
          <w:b/>
          <w:bCs/>
          <w:color w:val="AAAAAA"/>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tabs>
        <w:tab w:val="right" w:pos="9360"/>
      </w:tabs>
      <w:spacing w:after="0" w:before="160"/>
    </w:pPr>
    <w:r>
      <w:rPr>
        <w:rFonts w:ascii="Arial" w:cs="Arial" w:eastAsia="Arial" w:hAnsi="Arial"/>
        <w:color w:val="888888"/>
        <w:sz w:val="16"/>
        <w:szCs w:val="16"/>
      </w:rPr>
      <w:t xml:space="preserve">Internal Working Document</w:t>
    </w:r>
    <w:r>
      <w:rPr>
        <w:rFonts w:ascii="Arial" w:cs="Arial" w:eastAsia="Arial" w:hAnsi="Arial"/>
        <w:color w:val="888888"/>
        <w:sz w:val="16"/>
        <w:szCs w:val="16"/>
      </w:rPr>
      <w:t xml:space="preserve">	Internal Working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spacing w:after="160" w:before="0"/>
    </w:pPr>
    <w:r>
      <w:rPr>
        <w:rFonts w:ascii="Arial" w:cs="Arial" w:eastAsia="Arial" w:hAnsi="Arial"/>
        <w:b/>
        <w:bCs/>
        <w:color w:val="2E6DA4"/>
        <w:sz w:val="16"/>
        <w:szCs w:val="16"/>
      </w:rPr>
      <w:t xml:space="preserve">CONFIDENTIAL</w:t>
    </w:r>
    <w:r>
      <w:rPr>
        <w:rFonts w:ascii="Arial" w:cs="Arial" w:eastAsia="Arial" w:hAnsi="Arial"/>
        <w:color w:val="888888"/>
        <w:sz w:val="16"/>
        <w:szCs w:val="16"/>
      </w:rPr>
      <w:t xml:space="preserve">   |   CRE Intelligence Platform: Product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2E6DA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2026-03-23T04:17:54.962Z</dcterms:created>
  <dcterms:modified xsi:type="dcterms:W3CDTF">2026-03-23T04:17:54.963Z</dcterms:modified>
</cp:coreProperties>
</file>

<file path=docProps/custom.xml><?xml version="1.0" encoding="utf-8"?>
<Properties xmlns="http://schemas.openxmlformats.org/officeDocument/2006/custom-properties" xmlns:vt="http://schemas.openxmlformats.org/officeDocument/2006/docPropsVTypes"/>
</file>