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Q2 Product Planning Meeting</w:t>
      </w:r>
    </w:p>
    <w:p>
      <w:pPr>
        <w:spacing w:after="100"/>
      </w:pPr>
      <w:r>
        <w:rPr>
          <w:b/>
          <w:bCs/>
        </w:rPr>
        <w:t xml:space="preserve">Date: </w:t>
      </w:r>
      <w:r>
        <w:t xml:space="preserve">September 10, 2024</w:t>
      </w:r>
    </w:p>
    <w:p>
      <w:pPr>
        <w:spacing w:after="100"/>
      </w:pPr>
      <w:r>
        <w:rPr>
          <w:b/>
          <w:bCs/>
        </w:rPr>
        <w:t xml:space="preserve">Attendees: </w:t>
      </w:r>
      <w:r>
        <w:t xml:space="preserve">John Smith, Maria Garcia, Alex Chen, Emma Wilson</w:t>
      </w:r>
    </w:p>
    <w:p>
      <w:pPr>
        <w:spacing w:after="200"/>
      </w:pPr>
      <w:r>
        <w:rPr>
          <w:b/>
          <w:bCs/>
        </w:rPr>
        <w:t xml:space="preserve">Duration: </w:t>
      </w:r>
      <w:r>
        <w:t xml:space="preserve">60 minutes</w:t>
      </w:r>
    </w:p>
    <w:p>
      <w:pPr>
        <w:pBdr>
          <w:bottom w:val="single" w:color="2d5a87" w:sz="6"/>
        </w:pBdr>
        <w:spacing w:after="300"/>
      </w:pPr>
    </w:p>
    <w:p>
      <w:pPr>
        <w:pStyle w:val="Heading1"/>
      </w:pPr>
      <w:r>
        <w:t xml:space="preserve">Executive Summary</w:t>
      </w:r>
    </w:p>
    <w:p>
      <w:pPr>
        <w:spacing w:after="150"/>
      </w:pPr>
      <w:r>
        <w:t xml:space="preserve">The Q2 product planning meeting focused on prioritizing feature development for the upcoming quarter. The team reviewed customer feedback from the recent survey and identified three key areas for improvement: user onboarding, performance optimization, and mobile responsiveness.</w:t>
      </w:r>
    </w:p>
    <w:p>
      <w:pPr>
        <w:spacing w:after="200"/>
      </w:pPr>
      <w:r>
        <w:t xml:space="preserve">After extensive discussion, the team aligned on a phased approach that balances quick wins with longer-term strategic investments. The engineering team confirmed capacity for the proposed roadmap, with some adjustments to timeline for the mobile features.</w:t>
      </w:r>
    </w:p>
    <w:p>
      <w:pPr>
        <w:pStyle w:val="Heading1"/>
      </w:pPr>
      <w:r>
        <w:t xml:space="preserve">Decisions Made</w:t>
      </w:r>
    </w:p>
    <w:p>
      <w:pPr>
        <w:pStyle w:val="ListParagraph"/>
        <w:numPr>
          <w:ilvl w:val="0"/>
          <w:numId w:val="2"/>
        </w:numPr>
      </w:pPr>
      <w:r>
        <w:rPr>
          <w:b/>
          <w:bCs/>
        </w:rPr>
        <w:t xml:space="preserve">Prioritize onboarding improvements</w:t>
      </w:r>
      <w:r>
        <w:t xml:space="preserve"> - The new user onboarding flow will be redesigned and launched by end of October.</w:t>
      </w:r>
    </w:p>
    <w:p>
      <w:pPr>
        <w:pStyle w:val="ListParagraph"/>
        <w:numPr>
          <w:ilvl w:val="0"/>
          <w:numId w:val="2"/>
        </w:numPr>
      </w:pPr>
      <w:r>
        <w:rPr>
          <w:b/>
          <w:bCs/>
        </w:rPr>
        <w:t xml:space="preserve">Defer mobile app v2</w:t>
      </w:r>
      <w:r>
        <w:t xml:space="preserve"> - Mobile app major update pushed to Q3 due to resource constraints.</w:t>
      </w:r>
    </w:p>
    <w:p>
      <w:pPr>
        <w:pStyle w:val="ListParagraph"/>
        <w:numPr>
          <w:ilvl w:val="0"/>
          <w:numId w:val="2"/>
        </w:numPr>
        <w:spacing w:after="200"/>
      </w:pPr>
      <w:r>
        <w:rPr>
          <w:b/>
          <w:bCs/>
        </w:rPr>
        <w:t xml:space="preserve">Hire additional frontend developer</w:t>
      </w:r>
      <w:r>
        <w:t xml:space="preserve"> - Approved headcount for one senior frontend developer to support Q2 goals.</w:t>
      </w:r>
    </w:p>
    <w:p>
      <w:pPr>
        <w:pStyle w:val="Heading1"/>
      </w:pPr>
      <w:r>
        <w:t xml:space="preserve">Action Items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500"/>
      </w:tblGrid>
      <w:tr>
        <w:trPr>
          <w:tblHeader/>
        </w:trPr>
        <w:tc>
          <w:tcPr>
            <w:tcW w:type="dxa" w:w="3500"/>
            <w:tcBorders>
              <w:top w:val="single" w:color="CCCCCC" w:sz="1"/>
              <w:left w:val="single" w:color="CCCCCC" w:sz="1"/>
              <w:bottom w:val="single" w:color="CCCCCC" w:sz="1"/>
              <w:right w:val="single" w:color="CCCCCC" w:sz="1"/>
            </w:tcBorders>
            <w:shd w:fill="2d5a87" w:val="clear"/>
          </w:tcPr>
          <w:p>
            <w:r>
              <w:rPr>
                <w:b/>
                <w:bCs/>
                <w:color w:val="FFFFFF"/>
              </w:rPr>
              <w:t xml:space="preserve">Action Item</w:t>
            </w:r>
          </w:p>
        </w:tc>
        <w:tc>
          <w:tcPr>
            <w:tcW w:type="dxa" w:w="2000"/>
            <w:tcBorders>
              <w:top w:val="single" w:color="CCCCCC" w:sz="1"/>
              <w:left w:val="single" w:color="CCCCCC" w:sz="1"/>
              <w:bottom w:val="single" w:color="CCCCCC" w:sz="1"/>
              <w:right w:val="single" w:color="CCCCCC" w:sz="1"/>
            </w:tcBorders>
            <w:shd w:fill="2d5a87" w:val="clear"/>
          </w:tcPr>
          <w:p>
            <w:r>
              <w:rPr>
                <w:b/>
                <w:bCs/>
                <w:color w:val="FFFFFF"/>
              </w:rPr>
              <w:t xml:space="preserve">Owner</w:t>
            </w:r>
          </w:p>
        </w:tc>
        <w:tc>
          <w:tcPr>
            <w:tcW w:type="dxa" w:w="2000"/>
            <w:tcBorders>
              <w:top w:val="single" w:color="CCCCCC" w:sz="1"/>
              <w:left w:val="single" w:color="CCCCCC" w:sz="1"/>
              <w:bottom w:val="single" w:color="CCCCCC" w:sz="1"/>
              <w:right w:val="single" w:color="CCCCCC" w:sz="1"/>
            </w:tcBorders>
            <w:shd w:fill="2d5a87" w:val="clear"/>
          </w:tcPr>
          <w:p>
            <w:r>
              <w:rPr>
                <w:b/>
                <w:bCs/>
                <w:color w:val="FFFFFF"/>
              </w:rPr>
              <w:t xml:space="preserve">Due Date</w:t>
            </w:r>
          </w:p>
        </w:tc>
        <w:tc>
          <w:tcPr>
            <w:tcW w:type="dxa" w:w="1500"/>
            <w:tcBorders>
              <w:top w:val="single" w:color="CCCCCC" w:sz="1"/>
              <w:left w:val="single" w:color="CCCCCC" w:sz="1"/>
              <w:bottom w:val="single" w:color="CCCCCC" w:sz="1"/>
              <w:right w:val="single" w:color="CCCCCC" w:sz="1"/>
            </w:tcBorders>
            <w:shd w:fill="2d5a87" w:val="clear"/>
          </w:tcPr>
          <w:p>
            <w:r>
              <w:rPr>
                <w:b/>
                <w:bCs/>
                <w:color w:val="FFFFFF"/>
              </w:rPr>
              <w:t xml:space="preserve">Priority</w:t>
            </w:r>
          </w:p>
        </w:tc>
      </w:tr>
      <w:tr>
        <w:tc>
          <w:tcPr>
            <w:tcW w:type="dxa" w:w="3500"/>
            <w:tcBorders>
              <w:top w:val="single" w:color="CCCCCC" w:sz="1"/>
              <w:left w:val="single" w:color="CCCCCC" w:sz="1"/>
              <w:bottom w:val="single" w:color="CCCCCC" w:sz="1"/>
              <w:right w:val="single" w:color="CCCCCC" w:sz="1"/>
            </w:tcBorders>
          </w:tcPr>
          <w:p>
            <w:r>
              <w:t xml:space="preserve">Create onboarding wireframes</w:t>
            </w:r>
          </w:p>
        </w:tc>
        <w:tc>
          <w:tcPr>
            <w:tcW w:type="dxa" w:w="2000"/>
            <w:tcBorders>
              <w:top w:val="single" w:color="CCCCCC" w:sz="1"/>
              <w:left w:val="single" w:color="CCCCCC" w:sz="1"/>
              <w:bottom w:val="single" w:color="CCCCCC" w:sz="1"/>
              <w:right w:val="single" w:color="CCCCCC" w:sz="1"/>
            </w:tcBorders>
          </w:tcPr>
          <w:p>
            <w:r>
              <w:t xml:space="preserve">Maria</w:t>
            </w:r>
          </w:p>
        </w:tc>
        <w:tc>
          <w:tcPr>
            <w:tcW w:type="dxa" w:w="2000"/>
            <w:tcBorders>
              <w:top w:val="single" w:color="CCCCCC" w:sz="1"/>
              <w:left w:val="single" w:color="CCCCCC" w:sz="1"/>
              <w:bottom w:val="single" w:color="CCCCCC" w:sz="1"/>
              <w:right w:val="single" w:color="CCCCCC" w:sz="1"/>
            </w:tcBorders>
          </w:tcPr>
          <w:p>
            <w:r>
              <w:t xml:space="preserve">Sep 20</w:t>
            </w:r>
          </w:p>
        </w:tc>
        <w:tc>
          <w:tcPr>
            <w:tcW w:type="dxa" w:w="1500"/>
            <w:tcBorders>
              <w:top w:val="single" w:color="CCCCCC" w:sz="1"/>
              <w:left w:val="single" w:color="CCCCCC" w:sz="1"/>
              <w:bottom w:val="single" w:color="CCCCCC" w:sz="1"/>
              <w:right w:val="single" w:color="CCCCCC" w:sz="1"/>
            </w:tcBorders>
          </w:tcPr>
          <w:p>
            <w:r>
              <w:t xml:space="preserve">High</w:t>
            </w:r>
          </w:p>
        </w:tc>
      </w:tr>
      <w:tr>
        <w:tc>
          <w:tcPr>
            <w:tcW w:type="dxa" w:w="3500"/>
            <w:tcBorders>
              <w:top w:val="single" w:color="CCCCCC" w:sz="1"/>
              <w:left w:val="single" w:color="CCCCCC" w:sz="1"/>
              <w:bottom w:val="single" w:color="CCCCCC" w:sz="1"/>
              <w:right w:val="single" w:color="CCCCCC" w:sz="1"/>
            </w:tcBorders>
          </w:tcPr>
          <w:p>
            <w:r>
              <w:t xml:space="preserve">Post job listing for frontend dev</w:t>
            </w:r>
          </w:p>
        </w:tc>
        <w:tc>
          <w:tcPr>
            <w:tcW w:type="dxa" w:w="2000"/>
            <w:tcBorders>
              <w:top w:val="single" w:color="CCCCCC" w:sz="1"/>
              <w:left w:val="single" w:color="CCCCCC" w:sz="1"/>
              <w:bottom w:val="single" w:color="CCCCCC" w:sz="1"/>
              <w:right w:val="single" w:color="CCCCCC" w:sz="1"/>
            </w:tcBorders>
          </w:tcPr>
          <w:p>
            <w:r>
              <w:t xml:space="preserve">John</w:t>
            </w:r>
          </w:p>
        </w:tc>
        <w:tc>
          <w:tcPr>
            <w:tcW w:type="dxa" w:w="2000"/>
            <w:tcBorders>
              <w:top w:val="single" w:color="CCCCCC" w:sz="1"/>
              <w:left w:val="single" w:color="CCCCCC" w:sz="1"/>
              <w:bottom w:val="single" w:color="CCCCCC" w:sz="1"/>
              <w:right w:val="single" w:color="CCCCCC" w:sz="1"/>
            </w:tcBorders>
          </w:tcPr>
          <w:p>
            <w:r>
              <w:t xml:space="preserve">Sep 15</w:t>
            </w:r>
          </w:p>
        </w:tc>
        <w:tc>
          <w:tcPr>
            <w:tcW w:type="dxa" w:w="1500"/>
            <w:tcBorders>
              <w:top w:val="single" w:color="CCCCCC" w:sz="1"/>
              <w:left w:val="single" w:color="CCCCCC" w:sz="1"/>
              <w:bottom w:val="single" w:color="CCCCCC" w:sz="1"/>
              <w:right w:val="single" w:color="CCCCCC" w:sz="1"/>
            </w:tcBorders>
          </w:tcPr>
          <w:p>
            <w:r>
              <w:t xml:space="preserve">High</w:t>
            </w:r>
          </w:p>
        </w:tc>
      </w:tr>
      <w:tr>
        <w:tc>
          <w:tcPr>
            <w:tcW w:type="dxa" w:w="3500"/>
            <w:tcBorders>
              <w:top w:val="single" w:color="CCCCCC" w:sz="1"/>
              <w:left w:val="single" w:color="CCCCCC" w:sz="1"/>
              <w:bottom w:val="single" w:color="CCCCCC" w:sz="1"/>
              <w:right w:val="single" w:color="CCCCCC" w:sz="1"/>
            </w:tcBorders>
          </w:tcPr>
          <w:p>
            <w:r>
              <w:t xml:space="preserve">Document mobile v2 requirements</w:t>
            </w:r>
          </w:p>
        </w:tc>
        <w:tc>
          <w:tcPr>
            <w:tcW w:type="dxa" w:w="2000"/>
            <w:tcBorders>
              <w:top w:val="single" w:color="CCCCCC" w:sz="1"/>
              <w:left w:val="single" w:color="CCCCCC" w:sz="1"/>
              <w:bottom w:val="single" w:color="CCCCCC" w:sz="1"/>
              <w:right w:val="single" w:color="CCCCCC" w:sz="1"/>
            </w:tcBorders>
          </w:tcPr>
          <w:p>
            <w:r>
              <w:t xml:space="preserve">Alex</w:t>
            </w:r>
          </w:p>
        </w:tc>
        <w:tc>
          <w:tcPr>
            <w:tcW w:type="dxa" w:w="2000"/>
            <w:tcBorders>
              <w:top w:val="single" w:color="CCCCCC" w:sz="1"/>
              <w:left w:val="single" w:color="CCCCCC" w:sz="1"/>
              <w:bottom w:val="single" w:color="CCCCCC" w:sz="1"/>
              <w:right w:val="single" w:color="CCCCCC" w:sz="1"/>
            </w:tcBorders>
          </w:tcPr>
          <w:p>
            <w:r>
              <w:t xml:space="preserve">Oct 1</w:t>
            </w:r>
          </w:p>
        </w:tc>
        <w:tc>
          <w:tcPr>
            <w:tcW w:type="dxa" w:w="1500"/>
            <w:tcBorders>
              <w:top w:val="single" w:color="CCCCCC" w:sz="1"/>
              <w:left w:val="single" w:color="CCCCCC" w:sz="1"/>
              <w:bottom w:val="single" w:color="CCCCCC" w:sz="1"/>
              <w:right w:val="single" w:color="CCCCCC" w:sz="1"/>
            </w:tcBorders>
          </w:tcPr>
          <w:p>
            <w:r>
              <w:t xml:space="preserve">Medium</w:t>
            </w:r>
          </w:p>
        </w:tc>
      </w:tr>
    </w:tbl>
    <w:p>
      <w:pPr>
        <w:spacing w:after="200"/>
      </w:pPr>
    </w:p>
    <w:p>
      <w:pPr>
        <w:pStyle w:val="Heading1"/>
      </w:pPr>
      <w:r>
        <w:t xml:space="preserve">Open Questions</w:t>
      </w:r>
    </w:p>
    <w:p>
      <w:pPr>
        <w:pStyle w:val="ListParagraph"/>
        <w:numPr>
          <w:ilvl w:val="0"/>
          <w:numId w:val="3"/>
        </w:numPr>
      </w:pPr>
      <w:r>
        <w:t xml:space="preserve">What is the budget allocation for the new developer hire?</w:t>
      </w:r>
    </w:p>
    <w:p>
      <w:pPr>
        <w:pStyle w:val="ListParagraph"/>
        <w:numPr>
          <w:ilvl w:val="0"/>
          <w:numId w:val="3"/>
        </w:numPr>
        <w:spacing w:after="200"/>
      </w:pPr>
      <w:r>
        <w:t xml:space="preserve">Should we consider a contractor for the mobile v2 work in Q3?</w:t>
      </w:r>
    </w:p>
    <w:p>
      <w:pPr>
        <w:pStyle w:val="Heading1"/>
      </w:pPr>
      <w:r>
        <w:t xml:space="preserve">Follow-Up Message</w:t>
      </w:r>
    </w:p>
    <w:p>
      <w:pPr>
        <w:spacing w:after="100"/>
      </w:pPr>
      <w:r>
        <w:rPr>
          <w:b/>
          <w:bCs/>
        </w:rPr>
        <w:t xml:space="preserve">Subject: </w:t>
      </w:r>
      <w:r>
        <w:t xml:space="preserve">Meeting Follow-up - Q2 Product Planning (Sep 10)</w:t>
      </w:r>
    </w:p>
    <w:p>
      <w:pPr>
        <w:spacing w:after="150"/>
      </w:pPr>
    </w:p>
    <w:p>
      <w:pPr>
        <w:spacing w:after="150"/>
      </w:pPr>
      <w:r>
        <w:t xml:space="preserve">Hi team,</w:t>
      </w:r>
    </w:p>
    <w:p>
      <w:pPr>
        <w:spacing w:after="150"/>
      </w:pPr>
      <w:r>
        <w:t xml:space="preserve">Thanks for a productive planning session today. We've aligned on prioritizing the onboarding redesign for Q2, with mobile v2 moving to Q3. The key next steps are wireframes from Maria by Sep 20 and the dev job posting from John by Sep 15.</w:t>
      </w:r>
    </w:p>
    <w:p>
      <w:pPr>
        <w:spacing w:after="150"/>
      </w:pPr>
      <w:r>
        <w:t xml:space="preserve">Please review the full notes above and let me know if I missed anything. Our next sync is scheduled for September 24.</w:t>
      </w:r>
    </w:p>
    <w:p>
      <w:pPr>
        <w:spacing w:after="150"/>
      </w:pPr>
      <w:r>
        <w:t xml:space="preserve">Best regards,</w:t>
      </w:r>
    </w:p>
    <w:p>
      <w:r>
        <w:t xml:space="preserve">Emma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2d5a87"/>
        <w:sz w:val="20"/>
        <w:szCs w:val="20"/>
      </w:rPr>
      <w:t xml:space="preserve">MEETING MINUTES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3a5f"/>
      <w:sz w:val="48"/>
      <w:szCs w:val="48"/>
    </w:rPr>
  </w:style>
  <w:style w:type="paragraph" w:styleId="Heading1">
    <w:name w:val="Heading 1"/>
    <w:basedOn w:val="Normal"/>
    <w:next w:val="Normal"/>
    <w:qFormat/>
    <w:pPr>
      <w:spacing w:before="300" w:after="120"/>
      <w:outlineLvl w:val="0"/>
    </w:pPr>
    <w:rPr>
      <w:rFonts w:ascii="Arial" w:cs="Arial" w:eastAsia="Arial" w:hAnsi="Arial"/>
      <w:b/>
      <w:bCs/>
      <w:color w:val="2d5a87"/>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2025-12-30T20:44:02.819Z</dcterms:created>
  <dcterms:modified xsi:type="dcterms:W3CDTF">2025-12-30T20:44:02.820Z</dcterms:modified>
</cp:coreProperties>
</file>

<file path=docProps/custom.xml><?xml version="1.0" encoding="utf-8"?>
<Properties xmlns="http://schemas.openxmlformats.org/officeDocument/2006/custom-properties" xmlns:vt="http://schemas.openxmlformats.org/officeDocument/2006/docPropsVTypes"/>
</file>