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ED894" w14:textId="77777777" w:rsidR="00BC6EE7" w:rsidRDefault="00BC6EE7" w:rsidP="00BC6EE7">
      <w:pPr>
        <w:jc w:val="center"/>
        <w:rPr>
          <w:b/>
          <w:bCs/>
        </w:rPr>
      </w:pPr>
    </w:p>
    <w:p w14:paraId="4E2E5885" w14:textId="788D4CF9" w:rsidR="00BC6EE7" w:rsidRPr="00BC6EE7" w:rsidRDefault="00BC6EE7" w:rsidP="00BC6EE7">
      <w:pPr>
        <w:jc w:val="center"/>
        <w:rPr>
          <w:b/>
          <w:bCs/>
        </w:rPr>
      </w:pPr>
      <w:r w:rsidRPr="00BC6EE7">
        <w:rPr>
          <w:b/>
          <w:bCs/>
        </w:rPr>
        <w:t>Política de Uso Aceptable de MISP</w:t>
      </w:r>
    </w:p>
    <w:p w14:paraId="6306CA58" w14:textId="77777777" w:rsidR="00BC6EE7" w:rsidRDefault="00BC6EE7" w:rsidP="00BC6EE7"/>
    <w:p w14:paraId="168D7E9E" w14:textId="77777777" w:rsidR="00BC6EE7" w:rsidRPr="00BC6EE7" w:rsidRDefault="00BC6EE7" w:rsidP="00BC6EE7">
      <w:pPr>
        <w:rPr>
          <w:b/>
          <w:bCs/>
        </w:rPr>
      </w:pPr>
      <w:r w:rsidRPr="00BC6EE7">
        <w:rPr>
          <w:b/>
          <w:bCs/>
        </w:rPr>
        <w:t>1. Introducción</w:t>
      </w:r>
    </w:p>
    <w:p w14:paraId="4D3F3569" w14:textId="77777777" w:rsidR="00BC6EE7" w:rsidRDefault="00BC6EE7" w:rsidP="00BC6EE7">
      <w:pPr>
        <w:jc w:val="both"/>
      </w:pPr>
      <w:r>
        <w:t xml:space="preserve">La política de uso aceptable establece las reglas y directrices para el uso adecuado y responsable de la plataforma Malware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&amp; 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 (MISP). El objetivo principal de MISP es facilitar el intercambio de información de amenazas entre organizaciones para mejorar la detección y respuesta a incidentes de seguridad. Esta política se aplica a todos los usuarios autorizados que accedan a MISP y tiene como objetivo proteger la integridad de la información compartida, así como garantizar la privacidad y seguridad de los usuarios y las organizaciones involucradas.</w:t>
      </w:r>
    </w:p>
    <w:p w14:paraId="0CF0D7F6" w14:textId="77777777" w:rsidR="00BC6EE7" w:rsidRDefault="00BC6EE7" w:rsidP="00BC6EE7"/>
    <w:p w14:paraId="0E99B18A" w14:textId="77777777" w:rsidR="00BC6EE7" w:rsidRPr="00BC6EE7" w:rsidRDefault="00BC6EE7" w:rsidP="00BC6EE7">
      <w:pPr>
        <w:rPr>
          <w:b/>
          <w:bCs/>
        </w:rPr>
      </w:pPr>
      <w:r w:rsidRPr="00BC6EE7">
        <w:rPr>
          <w:b/>
          <w:bCs/>
        </w:rPr>
        <w:t>2. Usuarios autorizados</w:t>
      </w:r>
    </w:p>
    <w:p w14:paraId="393CC550" w14:textId="77777777" w:rsidR="00BC6EE7" w:rsidRDefault="00BC6EE7" w:rsidP="00BC6EE7">
      <w:pPr>
        <w:jc w:val="both"/>
      </w:pPr>
      <w:r>
        <w:t>El acceso a MISP está restringido a usuarios autorizados solamente. Los usuarios autorizados incluyen a los miembros del equipo de seguridad de la organización y otros empleados designados por la dirección. Cada usuario tendrá asignado un rol específico y solo tendrán acceso a las funciones y datos correspondientes a su rol.</w:t>
      </w:r>
    </w:p>
    <w:p w14:paraId="6B6A6128" w14:textId="77777777" w:rsidR="00BC6EE7" w:rsidRDefault="00BC6EE7" w:rsidP="00BC6EE7"/>
    <w:p w14:paraId="6B1E263A" w14:textId="77777777" w:rsidR="00BC6EE7" w:rsidRPr="00BC6EE7" w:rsidRDefault="00BC6EE7" w:rsidP="00BC6EE7">
      <w:pPr>
        <w:rPr>
          <w:b/>
          <w:bCs/>
        </w:rPr>
      </w:pPr>
      <w:r w:rsidRPr="00BC6EE7">
        <w:rPr>
          <w:b/>
          <w:bCs/>
        </w:rPr>
        <w:t>3. Responsabilidades de los usuarios</w:t>
      </w:r>
    </w:p>
    <w:p w14:paraId="7EAD7215" w14:textId="77777777" w:rsidR="00BC6EE7" w:rsidRDefault="00BC6EE7" w:rsidP="00BC6EE7">
      <w:r>
        <w:t>Los usuarios de MISP son responsables de:</w:t>
      </w:r>
    </w:p>
    <w:p w14:paraId="65D83C06" w14:textId="77777777" w:rsidR="00BC6EE7" w:rsidRDefault="00BC6EE7" w:rsidP="00BC6EE7">
      <w:pPr>
        <w:pStyle w:val="Prrafodelista"/>
        <w:numPr>
          <w:ilvl w:val="0"/>
          <w:numId w:val="1"/>
        </w:numPr>
      </w:pPr>
      <w:r>
        <w:t>Compartir información precisa y relevante relacionada únicamente con la ciberseguridad y amenazas informáticas.</w:t>
      </w:r>
    </w:p>
    <w:p w14:paraId="33838E0B" w14:textId="77777777" w:rsidR="00BC6EE7" w:rsidRDefault="00BC6EE7" w:rsidP="00BC6EE7">
      <w:pPr>
        <w:pStyle w:val="Prrafodelista"/>
        <w:numPr>
          <w:ilvl w:val="0"/>
          <w:numId w:val="1"/>
        </w:numPr>
      </w:pPr>
      <w:r>
        <w:t>Mantener la confidencialidad de la información compartida y no divulgarla a terceros no autorizados.</w:t>
      </w:r>
    </w:p>
    <w:p w14:paraId="58ED09FF" w14:textId="77777777" w:rsidR="00BC6EE7" w:rsidRDefault="00BC6EE7" w:rsidP="00BC6EE7">
      <w:pPr>
        <w:pStyle w:val="Prrafodelista"/>
        <w:numPr>
          <w:ilvl w:val="0"/>
          <w:numId w:val="1"/>
        </w:numPr>
      </w:pPr>
      <w:r>
        <w:t>Respetar la propiedad intelectual de otras organizaciones y dar crédito adecuado cuando se comparten datos de terceros.</w:t>
      </w:r>
    </w:p>
    <w:p w14:paraId="18A558DA" w14:textId="77777777" w:rsidR="00BC6EE7" w:rsidRDefault="00BC6EE7" w:rsidP="00BC6EE7">
      <w:pPr>
        <w:pStyle w:val="Prrafodelista"/>
        <w:numPr>
          <w:ilvl w:val="0"/>
          <w:numId w:val="1"/>
        </w:numPr>
      </w:pPr>
      <w:r>
        <w:t>Anonimizar adecuadamente la información compartida para proteger la privacidad y confidencialidad de las partes involucradas.</w:t>
      </w:r>
    </w:p>
    <w:p w14:paraId="1A4E552D" w14:textId="77777777" w:rsidR="00BC6EE7" w:rsidRDefault="00BC6EE7" w:rsidP="00BC6EE7">
      <w:pPr>
        <w:pStyle w:val="Prrafodelista"/>
        <w:numPr>
          <w:ilvl w:val="0"/>
          <w:numId w:val="1"/>
        </w:numPr>
      </w:pPr>
      <w:r>
        <w:t>No utilizar la información compartida con fines comerciales, reventa o actividades maliciosas.</w:t>
      </w:r>
    </w:p>
    <w:p w14:paraId="4A2658BE" w14:textId="77777777" w:rsidR="00BC6EE7" w:rsidRPr="00BC6EE7" w:rsidRDefault="00BC6EE7" w:rsidP="00BC6EE7">
      <w:pPr>
        <w:rPr>
          <w:b/>
          <w:bCs/>
        </w:rPr>
      </w:pPr>
      <w:r w:rsidRPr="00BC6EE7">
        <w:rPr>
          <w:b/>
          <w:bCs/>
        </w:rPr>
        <w:t>4. Protección de datos</w:t>
      </w:r>
    </w:p>
    <w:p w14:paraId="3C27501C" w14:textId="77777777" w:rsidR="00BC6EE7" w:rsidRDefault="00BC6EE7" w:rsidP="00BC6EE7">
      <w:pPr>
        <w:jc w:val="both"/>
      </w:pPr>
      <w:r>
        <w:t>Los usuarios deben proteger los datos confidenciales y personales de acuerdo con las políticas y regulaciones de privacidad aplicables. Se deben seguir las políticas de anonimización de datos cuando se comparta información sensible o identificable.</w:t>
      </w:r>
    </w:p>
    <w:p w14:paraId="4B3908E7" w14:textId="77777777" w:rsidR="00BC6EE7" w:rsidRDefault="00BC6EE7" w:rsidP="00BC6EE7"/>
    <w:p w14:paraId="661771BD" w14:textId="77777777" w:rsidR="00BC6EE7" w:rsidRPr="00BC6EE7" w:rsidRDefault="00BC6EE7" w:rsidP="00BC6EE7">
      <w:pPr>
        <w:rPr>
          <w:b/>
          <w:bCs/>
        </w:rPr>
      </w:pPr>
      <w:r w:rsidRPr="00BC6EE7">
        <w:rPr>
          <w:b/>
          <w:bCs/>
        </w:rPr>
        <w:lastRenderedPageBreak/>
        <w:t>5. Uso adecuado de la información compartida</w:t>
      </w:r>
    </w:p>
    <w:p w14:paraId="2C73481D" w14:textId="77777777" w:rsidR="00BC6EE7" w:rsidRDefault="00BC6EE7" w:rsidP="00BC6EE7">
      <w:pPr>
        <w:jc w:val="both"/>
      </w:pPr>
      <w:r>
        <w:t>La información compartida a través de MISP debe utilizarse exclusivamente para fines de ciberseguridad y análisis de amenazas. No se permitirá el uso de la información compartida para actividades maliciosas, ilegales o dañinas.</w:t>
      </w:r>
    </w:p>
    <w:p w14:paraId="33E2DB0E" w14:textId="77777777" w:rsidR="00BC6EE7" w:rsidRPr="00BC6EE7" w:rsidRDefault="00BC6EE7" w:rsidP="00BC6EE7">
      <w:pPr>
        <w:rPr>
          <w:b/>
          <w:bCs/>
        </w:rPr>
      </w:pPr>
      <w:r w:rsidRPr="00BC6EE7">
        <w:rPr>
          <w:b/>
          <w:bCs/>
        </w:rPr>
        <w:t>6. Monitoreo y auditoría</w:t>
      </w:r>
    </w:p>
    <w:p w14:paraId="20FA72A4" w14:textId="77777777" w:rsidR="00BC6EE7" w:rsidRDefault="00BC6EE7" w:rsidP="00BC6EE7">
      <w:pPr>
        <w:jc w:val="both"/>
      </w:pPr>
      <w:r>
        <w:t>El uso de MISP puede ser monitoreado y auditado con el fin de garantizar el cumplimiento de esta política y para mantener la integridad de la plataforma. Los registros de actividad pueden ser revisados por el equipo de seguridad de la organización.</w:t>
      </w:r>
    </w:p>
    <w:p w14:paraId="5D272742" w14:textId="77777777" w:rsidR="00BC6EE7" w:rsidRPr="00BC6EE7" w:rsidRDefault="00BC6EE7" w:rsidP="00BC6EE7">
      <w:pPr>
        <w:rPr>
          <w:b/>
          <w:bCs/>
        </w:rPr>
      </w:pPr>
      <w:r w:rsidRPr="00BC6EE7">
        <w:rPr>
          <w:b/>
          <w:bCs/>
        </w:rPr>
        <w:t>7. Consecuencias del incumplimiento</w:t>
      </w:r>
    </w:p>
    <w:p w14:paraId="421A03DD" w14:textId="77777777" w:rsidR="00BC6EE7" w:rsidRDefault="00BC6EE7" w:rsidP="00BC6EE7">
      <w:r>
        <w:t>El incumplimiento de esta política puede resultar en la revocación del acceso a MISP y en acciones disciplinarias según las políticas internas de la organización. Además, el usuario puede ser responsable de cualquier daño o consecuencia legal que surja del uso inapropiado de la plataforma.</w:t>
      </w:r>
    </w:p>
    <w:p w14:paraId="2748F881" w14:textId="77777777" w:rsidR="00BC6EE7" w:rsidRPr="00BC6EE7" w:rsidRDefault="00BC6EE7" w:rsidP="00BC6EE7">
      <w:pPr>
        <w:rPr>
          <w:b/>
          <w:bCs/>
        </w:rPr>
      </w:pPr>
      <w:r w:rsidRPr="00BC6EE7">
        <w:rPr>
          <w:b/>
          <w:bCs/>
        </w:rPr>
        <w:t>8. Actualización de la política</w:t>
      </w:r>
    </w:p>
    <w:p w14:paraId="35722908" w14:textId="77777777" w:rsidR="00BC6EE7" w:rsidRDefault="00BC6EE7" w:rsidP="00BC6EE7">
      <w:pPr>
        <w:jc w:val="both"/>
      </w:pPr>
      <w:r>
        <w:t>Esta política de uso aceptable será revisada y actualizada periódicamente para reflejar cambios en la plataforma o en los requisitos de seguridad. Los usuarios serán notificados sobre cualquier cambio significativo en la política.</w:t>
      </w:r>
    </w:p>
    <w:p w14:paraId="5A212780" w14:textId="77777777" w:rsidR="00BC6EE7" w:rsidRPr="00BC6EE7" w:rsidRDefault="00BC6EE7" w:rsidP="00BC6EE7">
      <w:pPr>
        <w:rPr>
          <w:b/>
          <w:bCs/>
        </w:rPr>
      </w:pPr>
      <w:r w:rsidRPr="00BC6EE7">
        <w:rPr>
          <w:b/>
          <w:bCs/>
        </w:rPr>
        <w:t>9. Aceptación de la política</w:t>
      </w:r>
    </w:p>
    <w:p w14:paraId="44F52CE5" w14:textId="77777777" w:rsidR="00BC6EE7" w:rsidRDefault="00BC6EE7" w:rsidP="00BC6EE7">
      <w:pPr>
        <w:jc w:val="both"/>
      </w:pPr>
      <w:r>
        <w:t xml:space="preserve">Al acceder a MISP, los usuarios aceptan y se comprometen a cumplir con los términos y </w:t>
      </w:r>
      <w:proofErr w:type="gramStart"/>
      <w:r>
        <w:t>condiciones establecidos</w:t>
      </w:r>
      <w:proofErr w:type="gramEnd"/>
      <w:r>
        <w:t xml:space="preserve"> en esta política de uso aceptable.</w:t>
      </w:r>
    </w:p>
    <w:p w14:paraId="76828495" w14:textId="77777777" w:rsidR="00BC6EE7" w:rsidRDefault="00BC6EE7" w:rsidP="00BC6EE7">
      <w:pPr>
        <w:jc w:val="both"/>
      </w:pPr>
      <w:r>
        <w:t>Esta política de uso aceptable busca promover un ambiente seguro y responsable para el intercambio de información de amenazas en MISP. Los usuarios deben leer, comprender y cumplir con esta política en todo momento. Cualquier pregunta o inquietud sobre esta política debe ser dirigida al equipo de seguridad de la organización.</w:t>
      </w:r>
    </w:p>
    <w:p w14:paraId="082542DD" w14:textId="77777777" w:rsidR="00BC6EE7" w:rsidRDefault="00BC6EE7" w:rsidP="00BC6EE7"/>
    <w:p w14:paraId="1882E025" w14:textId="77777777" w:rsidR="00BC6EE7" w:rsidRDefault="00BC6EE7" w:rsidP="00BC6EE7">
      <w:r>
        <w:t>[Nombre de la organización]</w:t>
      </w:r>
    </w:p>
    <w:p w14:paraId="6FDDA655" w14:textId="77777777" w:rsidR="00BC6EE7" w:rsidRDefault="00BC6EE7" w:rsidP="00BC6EE7">
      <w:r>
        <w:t>[Fecha de aprobación]</w:t>
      </w:r>
    </w:p>
    <w:p w14:paraId="2543023E" w14:textId="77777777" w:rsidR="00BC6EE7" w:rsidRDefault="00BC6EE7" w:rsidP="00BC6EE7"/>
    <w:p w14:paraId="16B9C5A4" w14:textId="77777777" w:rsidR="00BC6EE7" w:rsidRDefault="00BC6EE7" w:rsidP="00BC6EE7"/>
    <w:p w14:paraId="6FDFD222" w14:textId="77777777" w:rsidR="00BC6EE7" w:rsidRDefault="00BC6EE7" w:rsidP="00BC6EE7"/>
    <w:p w14:paraId="53E5C7DC" w14:textId="77777777" w:rsidR="00000000" w:rsidRDefault="00000000"/>
    <w:sectPr w:rsidR="00C61EF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402D7" w14:textId="77777777" w:rsidR="0014070A" w:rsidRDefault="0014070A" w:rsidP="00BC6EE7">
      <w:pPr>
        <w:spacing w:after="0" w:line="240" w:lineRule="auto"/>
      </w:pPr>
      <w:r>
        <w:separator/>
      </w:r>
    </w:p>
  </w:endnote>
  <w:endnote w:type="continuationSeparator" w:id="0">
    <w:p w14:paraId="0FCB013F" w14:textId="77777777" w:rsidR="0014070A" w:rsidRDefault="0014070A" w:rsidP="00BC6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3A42F" w14:textId="77777777" w:rsidR="0014070A" w:rsidRDefault="0014070A" w:rsidP="00BC6EE7">
      <w:pPr>
        <w:spacing w:after="0" w:line="240" w:lineRule="auto"/>
      </w:pPr>
      <w:r>
        <w:separator/>
      </w:r>
    </w:p>
  </w:footnote>
  <w:footnote w:type="continuationSeparator" w:id="0">
    <w:p w14:paraId="1B8D7CB2" w14:textId="77777777" w:rsidR="0014070A" w:rsidRDefault="0014070A" w:rsidP="00BC6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413"/>
      <w:gridCol w:w="6095"/>
      <w:gridCol w:w="1320"/>
    </w:tblGrid>
    <w:tr w:rsidR="00BC6EE7" w14:paraId="3BC12E5B" w14:textId="77777777" w:rsidTr="00BC6EE7">
      <w:tc>
        <w:tcPr>
          <w:tcW w:w="1413" w:type="dxa"/>
          <w:vMerge w:val="restart"/>
        </w:tcPr>
        <w:p w14:paraId="2EF70098" w14:textId="18729406" w:rsidR="00BC6EE7" w:rsidRDefault="00BC6EE7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EA578C7" wp14:editId="6CF4720E">
                <wp:simplePos x="0" y="0"/>
                <wp:positionH relativeFrom="column">
                  <wp:posOffset>-63951</wp:posOffset>
                </wp:positionH>
                <wp:positionV relativeFrom="paragraph">
                  <wp:posOffset>-5080</wp:posOffset>
                </wp:positionV>
                <wp:extent cx="802686" cy="250992"/>
                <wp:effectExtent l="0" t="0" r="0" b="0"/>
                <wp:wrapNone/>
                <wp:docPr id="1806898939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6898939" name="Imagen 1806898939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764" t="30408" r="14746" b="29135"/>
                        <a:stretch/>
                      </pic:blipFill>
                      <pic:spPr bwMode="auto">
                        <a:xfrm>
                          <a:off x="0" y="0"/>
                          <a:ext cx="802686" cy="2509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095" w:type="dxa"/>
        </w:tcPr>
        <w:p w14:paraId="54DE81BD" w14:textId="72148B2F" w:rsidR="00BC6EE7" w:rsidRPr="00BC6EE7" w:rsidRDefault="00BC6EE7" w:rsidP="00BC6EE7">
          <w:pPr>
            <w:pStyle w:val="Encabezado"/>
            <w:jc w:val="center"/>
            <w:rPr>
              <w:b/>
              <w:bCs/>
            </w:rPr>
          </w:pPr>
          <w:r w:rsidRPr="00BC6EE7">
            <w:rPr>
              <w:b/>
              <w:bCs/>
              <w:sz w:val="16"/>
              <w:szCs w:val="16"/>
            </w:rPr>
            <w:t>Plataforma de Intercambio de Información sobre Amenazas Digitales</w:t>
          </w:r>
        </w:p>
      </w:tc>
      <w:tc>
        <w:tcPr>
          <w:tcW w:w="1320" w:type="dxa"/>
        </w:tcPr>
        <w:p w14:paraId="7724042D" w14:textId="756907D5" w:rsidR="00BC6EE7" w:rsidRPr="00BC6EE7" w:rsidRDefault="00BC6EE7" w:rsidP="00BC6EE7">
          <w:pPr>
            <w:pStyle w:val="Encabezado"/>
            <w:rPr>
              <w:sz w:val="14"/>
              <w:szCs w:val="14"/>
            </w:rPr>
          </w:pPr>
          <w:r w:rsidRPr="00BC6EE7">
            <w:rPr>
              <w:sz w:val="14"/>
              <w:szCs w:val="14"/>
            </w:rPr>
            <w:t>Fecha: 02/08/2023</w:t>
          </w:r>
        </w:p>
      </w:tc>
    </w:tr>
    <w:tr w:rsidR="00BC6EE7" w14:paraId="04A84218" w14:textId="77777777" w:rsidTr="00BC6EE7">
      <w:tc>
        <w:tcPr>
          <w:tcW w:w="1413" w:type="dxa"/>
          <w:vMerge/>
        </w:tcPr>
        <w:p w14:paraId="7D1C2435" w14:textId="77777777" w:rsidR="00BC6EE7" w:rsidRDefault="00BC6EE7">
          <w:pPr>
            <w:pStyle w:val="Encabezado"/>
          </w:pPr>
        </w:p>
      </w:tc>
      <w:tc>
        <w:tcPr>
          <w:tcW w:w="6095" w:type="dxa"/>
          <w:vMerge w:val="restart"/>
        </w:tcPr>
        <w:p w14:paraId="3BA60C93" w14:textId="4A77C30E" w:rsidR="00BC6EE7" w:rsidRDefault="00BC6EE7" w:rsidP="00BC6EE7">
          <w:pPr>
            <w:spacing w:after="160" w:line="259" w:lineRule="auto"/>
            <w:jc w:val="center"/>
          </w:pPr>
          <w:r w:rsidRPr="00BC6EE7">
            <w:rPr>
              <w:b/>
              <w:bCs/>
            </w:rPr>
            <w:t>Política de Uso Aceptable de MISP</w:t>
          </w:r>
        </w:p>
      </w:tc>
      <w:tc>
        <w:tcPr>
          <w:tcW w:w="1320" w:type="dxa"/>
        </w:tcPr>
        <w:p w14:paraId="6C3D3F0A" w14:textId="74FC0A9A" w:rsidR="00BC6EE7" w:rsidRPr="00BC6EE7" w:rsidRDefault="00BC6EE7">
          <w:pPr>
            <w:pStyle w:val="Encabezado"/>
            <w:rPr>
              <w:sz w:val="14"/>
              <w:szCs w:val="14"/>
            </w:rPr>
          </w:pPr>
          <w:r w:rsidRPr="00BC6EE7">
            <w:rPr>
              <w:sz w:val="14"/>
              <w:szCs w:val="14"/>
            </w:rPr>
            <w:t>Versión: 1.0</w:t>
          </w:r>
        </w:p>
      </w:tc>
    </w:tr>
    <w:tr w:rsidR="00BC6EE7" w14:paraId="395A15A4" w14:textId="77777777" w:rsidTr="00BC6EE7">
      <w:tc>
        <w:tcPr>
          <w:tcW w:w="1413" w:type="dxa"/>
        </w:tcPr>
        <w:p w14:paraId="45FC5614" w14:textId="013C60F1" w:rsidR="00BC6EE7" w:rsidRPr="00BC6EE7" w:rsidRDefault="00BC6EE7" w:rsidP="00BC6EE7">
          <w:pPr>
            <w:pStyle w:val="Encabezado"/>
            <w:jc w:val="center"/>
            <w:rPr>
              <w:b/>
              <w:bCs/>
            </w:rPr>
          </w:pPr>
          <w:proofErr w:type="gramStart"/>
          <w:r w:rsidRPr="00BC6EE7">
            <w:rPr>
              <w:b/>
              <w:bCs/>
              <w:sz w:val="16"/>
              <w:szCs w:val="16"/>
            </w:rPr>
            <w:t>TLP:White</w:t>
          </w:r>
          <w:proofErr w:type="gramEnd"/>
        </w:p>
      </w:tc>
      <w:tc>
        <w:tcPr>
          <w:tcW w:w="6095" w:type="dxa"/>
          <w:vMerge/>
        </w:tcPr>
        <w:p w14:paraId="7C7F226A" w14:textId="77777777" w:rsidR="00BC6EE7" w:rsidRDefault="00BC6EE7">
          <w:pPr>
            <w:pStyle w:val="Encabezado"/>
          </w:pPr>
        </w:p>
      </w:tc>
      <w:tc>
        <w:tcPr>
          <w:tcW w:w="1320" w:type="dxa"/>
        </w:tcPr>
        <w:p w14:paraId="345844F4" w14:textId="3CA9B7D9" w:rsidR="00BC6EE7" w:rsidRPr="00BC6EE7" w:rsidRDefault="00BC6EE7">
          <w:pPr>
            <w:pStyle w:val="Encabezado"/>
            <w:rPr>
              <w:sz w:val="14"/>
              <w:szCs w:val="14"/>
            </w:rPr>
          </w:pPr>
          <w:r w:rsidRPr="00BC6EE7">
            <w:rPr>
              <w:sz w:val="14"/>
              <w:szCs w:val="14"/>
            </w:rPr>
            <w:t xml:space="preserve">Página: </w:t>
          </w:r>
          <w:r w:rsidRPr="00BC6EE7">
            <w:rPr>
              <w:sz w:val="14"/>
              <w:szCs w:val="14"/>
            </w:rPr>
            <w:fldChar w:fldCharType="begin"/>
          </w:r>
          <w:r w:rsidRPr="00BC6EE7">
            <w:rPr>
              <w:sz w:val="14"/>
              <w:szCs w:val="14"/>
            </w:rPr>
            <w:instrText>PAGE   \* MERGEFORMAT</w:instrText>
          </w:r>
          <w:r w:rsidRPr="00BC6EE7">
            <w:rPr>
              <w:sz w:val="14"/>
              <w:szCs w:val="14"/>
            </w:rPr>
            <w:fldChar w:fldCharType="separate"/>
          </w:r>
          <w:r w:rsidRPr="00BC6EE7">
            <w:rPr>
              <w:sz w:val="14"/>
              <w:szCs w:val="14"/>
            </w:rPr>
            <w:t>1</w:t>
          </w:r>
          <w:r w:rsidRPr="00BC6EE7">
            <w:rPr>
              <w:sz w:val="14"/>
              <w:szCs w:val="14"/>
            </w:rPr>
            <w:fldChar w:fldCharType="end"/>
          </w:r>
        </w:p>
      </w:tc>
    </w:tr>
  </w:tbl>
  <w:p w14:paraId="7E0DF149" w14:textId="77777777" w:rsidR="00BC6EE7" w:rsidRDefault="00BC6EE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04AC6"/>
    <w:multiLevelType w:val="hybridMultilevel"/>
    <w:tmpl w:val="9468FB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60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E7"/>
    <w:rsid w:val="0014070A"/>
    <w:rsid w:val="004626FE"/>
    <w:rsid w:val="00505AF9"/>
    <w:rsid w:val="00817D16"/>
    <w:rsid w:val="00A33DDD"/>
    <w:rsid w:val="00AF71EF"/>
    <w:rsid w:val="00BA716D"/>
    <w:rsid w:val="00BC6EE7"/>
    <w:rsid w:val="00CC4471"/>
    <w:rsid w:val="00EF5AC4"/>
    <w:rsid w:val="00F66DC7"/>
    <w:rsid w:val="00FE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4DE4E5D"/>
  <w15:chartTrackingRefBased/>
  <w15:docId w15:val="{520DB11E-5770-4ABA-AF7F-42EA3A517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E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EE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C6E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EE7"/>
    <w:rPr>
      <w:lang w:val="es-ES"/>
    </w:rPr>
  </w:style>
  <w:style w:type="table" w:styleId="Tablaconcuadrcula">
    <w:name w:val="Table Grid"/>
    <w:basedOn w:val="Tablanormal"/>
    <w:uiPriority w:val="39"/>
    <w:rsid w:val="00BC6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C6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0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42949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7512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6767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594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41345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452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663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680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13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017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12037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47543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9240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777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63350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105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57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67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6888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2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VICTOR FRAYSSINET DELGADO</dc:creator>
  <cp:keywords/>
  <dc:description/>
  <cp:lastModifiedBy>MAURICE VICTOR FRAYSSINET DELGADO</cp:lastModifiedBy>
  <cp:revision>1</cp:revision>
  <dcterms:created xsi:type="dcterms:W3CDTF">2023-08-03T06:16:00Z</dcterms:created>
  <dcterms:modified xsi:type="dcterms:W3CDTF">2023-08-03T06:26:00Z</dcterms:modified>
</cp:coreProperties>
</file>