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Proposal Builder — Harrisburg Rep Guide</w:t>
      </w:r>
    </w:p>
    <w:p>
      <w:r>
        <w:rPr>
          <w:b/>
        </w:rPr>
        <w:t>App build: a30ae84 · 2026-09-18 10:43</w:t>
      </w:r>
    </w:p>
    <w:p>
      <w:r>
        <w:t>Guide generated: 2026-09-18 13:58</w:t>
      </w:r>
    </w:p>
    <w:p>
      <w:r>
        <w:t>This is the shortest path through the app's two real jobs: building a client proposal, and building an attribution report after a campaign runs. If you can't get through page one alone, something in here needs fixing -- tell whoever generated this guide.</w:t>
        <w:br/>
        <w:br/>
        <w:t>If your screen doesn't match a screenshot below, check the build stamp in the app's own sidebar against the one above -- the app may have changed since this guide was generated.</w:t>
      </w:r>
    </w:p>
    <w:p>
      <w:pPr>
        <w:pStyle w:val="Heading1"/>
      </w:pPr>
      <w:r>
        <w:t>Task 1 — Build a proposal</w:t>
      </w:r>
    </w:p>
    <w:p>
      <w:r>
        <w:rPr>
          <w:sz w:val="22"/>
        </w:rPr>
        <w:t>The real path: upload the avail, fill the Setup band, paste notes, draft, review the plan, pick case studies,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the app. “Build a proposal” is the home page, and the Setup band at the top is the first thing to fill in.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_gate_clos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gate: nothing below the Setup band appears until the originating market and both flight dates are set. This is deliberate -- it stops a rep from filling out a form that has nowhere to put the numbers yet.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avail. Drop the Salesforce avails PDF onto “Avails PDF (from Salesforce).” The client name, the flight dates, and every audience/geography group on the document are filled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_avails_up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Pick the originating market -- Harrisburg, for this walkthrough. With the market and both flight dates set, the rest of the form opens.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_form_op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Paste the meeting or discovery notes into “Meeting / discovery notes” and click “Draft proposal from notes.” Claude fills in the plan -- budget, products, audiences -- and lists anything it wasn’t sure about for you to confirm.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_draf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Draft from notes is optional. Skip it and build the plan by hand instead -- but it’s what fills the plan in for you, so most reps use it, and everything it fills in stays editable afterward.</w:t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Review the plan Claude built, in “E. Proposal / media plan.” Every row -- Tactic, Geo, Targeting, Cost -- is editable.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_media_pl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In the avails table (“D2. Audiences &amp; avails”), check the “Plan” column for each row you actually want on the deck.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_avails_tab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Plan checkbox is the real on/off switch for the deck. A row can sit in this table as research an audience or geography you looked at but decided not to sell -- without ever appearing in the proposal, unless its Plan box is checked.</w:t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Pick case studies, if any fit. Open “Case studies” near the bottom of the page and check the ones to include -- matches for this vertical are suggested first.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_case_stud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Click Generate, then download the finished PowerPoint.</w:t>
      </w:r>
    </w:p>
    <w:p>
      <w:r>
        <w:drawing>
          <wp:inline xmlns:a="http://schemas.openxmlformats.org/drawingml/2006/main" xmlns:pic="http://schemas.openxmlformats.org/drawingml/2006/picture">
            <wp:extent cx="5669280" cy="18897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_gener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889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Task 2 — Build an attribution report</w:t>
      </w:r>
    </w:p>
    <w:p>
      <w:r>
        <w:rPr>
          <w:sz w:val="22"/>
        </w:rPr>
        <w:t>The real path: upload the export, confirm the client, link a proposal if one exists, fill goals, review the optimization checklist if one appears, generate, download.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Open “Attribution reports” from the sidebar. You land on the “New report” tab.</w:t>
      </w:r>
    </w:p>
    <w:p>
      <w:r>
        <w:drawing>
          <wp:inline xmlns:a="http://schemas.openxmlformats.org/drawingml/2006/main" xmlns:pic="http://schemas.openxmlformats.org/drawingml/2006/picture">
            <wp:extent cx="5669280" cy="17322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1_upload_do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32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Upload the Website Attribution export.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2_export_upload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The Delivery export is optional. Upload it too and the report gains a Delivery Recap slide; without it, that slide is simply left out -- nothing else about the report changes.</w:t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Confirm the client match the app found.</w:t>
      </w:r>
    </w:p>
    <w:p>
      <w:r>
        <w:drawing>
          <wp:inline xmlns:a="http://schemas.openxmlformats.org/drawingml/2006/main" xmlns:pic="http://schemas.openxmlformats.org/drawingml/2006/picture">
            <wp:extent cx="5669280" cy="8661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3_confirm_cli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86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4. </w:t>
      </w:r>
      <w:r>
        <w:rPr>
          <w:sz w:val="26"/>
        </w:rPr>
        <w:t>Link a proposal, if one exists for this client -- the app finds the best match and offers it as the default. Choose “No proposal” instead to build the report standalone.</w:t>
      </w:r>
    </w:p>
    <w:p>
      <w:r>
        <w:drawing>
          <wp:inline xmlns:a="http://schemas.openxmlformats.org/drawingml/2006/main" xmlns:pic="http://schemas.openxmlformats.org/drawingml/2006/picture">
            <wp:extent cx="5669280" cy="10236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4_link_propos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23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5. </w:t>
      </w:r>
      <w:r>
        <w:rPr>
          <w:sz w:val="26"/>
        </w:rPr>
        <w:t>Fill in Goals, unless a linked proposal already filled them in for you.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5_goa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Goals are the one field this page always needs. Linking a proposal pre-fills them from it, so there’s usually nothing to type here -- but with no proposal linked, Goals has to be typed by hand before Generate will run.</w:t>
      </w:r>
    </w:p>
    <w:p>
      <w:pPr>
        <w:spacing w:before="280"/>
      </w:pPr>
      <w:r>
        <w:rPr>
          <w:b/>
          <w:sz w:val="26"/>
        </w:rPr>
        <w:t xml:space="preserve">6. </w:t>
      </w:r>
      <w:r>
        <w:rPr>
          <w:sz w:val="26"/>
        </w:rPr>
        <w:t>If the optimization engine has a recommendation, an “Optimization recommendations” checklist appears here -- accept, edit, or decline each one before Generate. If it doesn’t appear, there’s nothing to do.</w:t>
      </w:r>
    </w:p>
    <w:p>
      <w:r>
        <w:drawing>
          <wp:inline xmlns:a="http://schemas.openxmlformats.org/drawingml/2006/main" xmlns:pic="http://schemas.openxmlformats.org/drawingml/2006/picture">
            <wp:extent cx="5669280" cy="14960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6_optimiza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49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7. </w:t>
      </w:r>
      <w:r>
        <w:rPr>
          <w:sz w:val="26"/>
        </w:rPr>
        <w:t>“Preview narrative” lets you read Claude’s draft before it becomes part of the deck.</w:t>
      </w:r>
    </w:p>
    <w:p>
      <w:r>
        <w:drawing>
          <wp:inline xmlns:a="http://schemas.openxmlformats.org/drawingml/2006/main" xmlns:pic="http://schemas.openxmlformats.org/drawingml/2006/picture">
            <wp:extent cx="5669280" cy="2047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7_preview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4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Preview narrative is optional. Skip it and Generate drafts the narrative automatically -- either way, once a draft has been previewed, Generate uses it exactly as it stands rather than drafting a second time.</w:t>
      </w:r>
    </w:p>
    <w:p>
      <w:pPr>
        <w:spacing w:before="280"/>
      </w:pPr>
      <w:r>
        <w:rPr>
          <w:b/>
          <w:sz w:val="26"/>
        </w:rPr>
        <w:t xml:space="preserve">8. </w:t>
      </w:r>
      <w:r>
        <w:rPr>
          <w:sz w:val="26"/>
        </w:rPr>
        <w:t>Decide whether to also build the one-slide summary.</w:t>
      </w:r>
    </w:p>
    <w:p>
      <w:r>
        <w:drawing>
          <wp:inline xmlns:a="http://schemas.openxmlformats.org/drawingml/2006/main" xmlns:pic="http://schemas.openxmlformats.org/drawingml/2006/picture">
            <wp:extent cx="5669280" cy="10157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8_summary_togg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5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“Also build a one-slide summary” is a toggle, not a separate task -- check it before Generate to get an abbreviated, single-slide version alongside the full report deck.</w:t>
      </w:r>
    </w:p>
    <w:p>
      <w:pPr>
        <w:spacing w:before="280"/>
      </w:pPr>
      <w:r>
        <w:rPr>
          <w:b/>
          <w:sz w:val="26"/>
        </w:rPr>
        <w:t xml:space="preserve">9. </w:t>
      </w:r>
      <w:r>
        <w:rPr>
          <w:sz w:val="26"/>
        </w:rPr>
        <w:t>Click “Generate report deck,” then download it.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09_generat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Reference</w:t>
      </w:r>
    </w:p>
    <w:p>
      <w:r>
        <w:t>Everything below is a lookup, not a task -- short, standalone pieces you'll reach for occasionally rather than every time.</w:t>
      </w:r>
    </w:p>
    <w:p>
      <w:pPr>
        <w:pStyle w:val="Heading2"/>
      </w:pPr>
      <w:r>
        <w:t>Audience finder</w:t>
      </w:r>
    </w:p>
    <w:p>
      <w:r>
        <w:t>Look up what Premion can target, outside of building a proposal.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Browse or search the catalog directly, by category or name.</w:t>
      </w:r>
    </w:p>
    <w:p>
      <w:r>
        <w:drawing>
          <wp:inline xmlns:a="http://schemas.openxmlformats.org/drawingml/2006/main" xmlns:pic="http://schemas.openxmlformats.org/drawingml/2006/picture">
            <wp:extent cx="5669280" cy="220472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aud_01_brow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0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This page is for looking things up. To actually add a segment to a proposal, use the same finder inside Section D2 on the Build page.</w:t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Or switch to Suggest, describe the client or campaign, and Claude picks the segments that fit.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aud_02_sugge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Case study finder</w:t>
      </w:r>
    </w:p>
    <w:p>
      <w:r>
        <w:t>Browse past campaigns you can show a client as proof.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Browse by vertical or product, or search by title.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s_01_brow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To put one IN a proposal, use the picker just above Generate on the Build page -- it pre-selects the case studies matching the client's vertical automatically.</w:t>
      </w:r>
    </w:p>
    <w:p>
      <w:pPr>
        <w:pStyle w:val="Heading2"/>
      </w:pPr>
      <w:r>
        <w:t>Slide vault</w:t>
      </w:r>
    </w:p>
    <w:p>
      <w:r>
        <w:t>Individual slides worth reusing -- a chart, a capabilities page, a research stat -- even when the rest of the deck around them isn't.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Add a slide: upload the source deck, then tick the slide(s) worth keeping. Each ticked slide becomes its own entry everyone building a proposal can pull in.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vault_01_ad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Use one in a proposal: the “Vault slides” picker sits right next to the case-study picker, just above Generate on the Build page.</w:t>
      </w:r>
    </w:p>
    <w:p>
      <w:r>
        <w:drawing>
          <wp:inline xmlns:a="http://schemas.openxmlformats.org/drawingml/2006/main" xmlns:pic="http://schemas.openxmlformats.org/drawingml/2006/picture">
            <wp:extent cx="5669280" cy="165354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vault_02_us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5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Zip/map builder</w:t>
      </w:r>
    </w:p>
    <w:p>
      <w:r>
        <w:t>See exactly where a proposal's targeting actually reaches, or build a geography slide with no proposal at all.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“This proposal” plots every targeting group that's been resolved to real zips (Section D2's geo expander) on one map, each group in its own color.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map_01_this_propos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“Standalone avails builder”: upload an avails PDF with no proposal, no client name, no budget, and download just the geography slide.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map_02_standalon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Clients</w:t>
      </w:r>
    </w:p>
    <w:p>
      <w:r>
        <w:t>Everything for one account in one place.</w:t>
      </w:r>
    </w:p>
    <w:p>
      <w:pPr>
        <w:spacing w:before="280"/>
      </w:pPr>
      <w:r>
        <w:rPr>
          <w:b/>
          <w:sz w:val="26"/>
        </w:rPr>
        <w:t xml:space="preserve">1. </w:t>
      </w:r>
      <w:r>
        <w:rPr>
          <w:sz w:val="26"/>
        </w:rPr>
        <w:t>Pick a client to see its vertical, its optimization level, its trend across reports, and every proposal, report, and case study logged for that account.</w:t>
      </w:r>
    </w:p>
    <w:p>
      <w:r>
        <w:drawing>
          <wp:inline xmlns:a="http://schemas.openxmlformats.org/drawingml/2006/main" xmlns:pic="http://schemas.openxmlformats.org/drawingml/2006/picture">
            <wp:extent cx="5669280" cy="29921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1_overview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92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/>
      </w:pPr>
      <w:r>
        <w:rPr>
          <w:b/>
          <w:sz w:val="26"/>
        </w:rPr>
        <w:t xml:space="preserve">2. </w:t>
      </w:r>
      <w:r>
        <w:rPr>
          <w:sz w:val="26"/>
        </w:rPr>
        <w:t>Open a report row to see its series -- which other reports it's linked with, if any. Optimization recommendations judge a value across every period in the series, not just this one month.</w:t>
      </w:r>
    </w:p>
    <w:p>
      <w:r>
        <w:drawing>
          <wp:inline xmlns:a="http://schemas.openxmlformats.org/drawingml/2006/main" xmlns:pic="http://schemas.openxmlformats.org/drawingml/2006/picture">
            <wp:extent cx="5669280" cy="133858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2_series_link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338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left="360"/>
      </w:pPr>
      <w:r>
        <w:rPr>
          <w:i/>
          <w:color w:val="8A5A00"/>
          <w:sz w:val="22"/>
        </w:rPr>
        <w:t>⚠ “Edit series link” lets you unlink a report that shouldn't count toward the trend (a re-pull, an out-of-sequence upload), or join it to another report's series by hand. Most reports link themselves automatically -- this is only for fixing one that guessed wrong.</w:t>
      </w:r>
    </w:p>
    <w:p>
      <w:pPr>
        <w:spacing w:before="280"/>
      </w:pPr>
      <w:r>
        <w:rPr>
          <w:b/>
          <w:sz w:val="26"/>
        </w:rPr>
        <w:t xml:space="preserve">3. </w:t>
      </w:r>
      <w:r>
        <w:rPr>
          <w:sz w:val="26"/>
        </w:rPr>
        <w:t>From a report row, “Create case study” builds a case study straight from that report's own facts -- no new drafting call needed.</w:t>
      </w:r>
    </w:p>
    <w:p>
      <w:r>
        <w:drawing>
          <wp:inline xmlns:a="http://schemas.openxmlformats.org/drawingml/2006/main" xmlns:pic="http://schemas.openxmlformats.org/drawingml/2006/picture">
            <wp:extent cx="5669280" cy="244094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_clients_03_case_study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409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