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2ACE5" w14:textId="4B69A0FB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4F8974DE" w:rsidR="006C482C" w:rsidRPr="006C7E9C" w:rsidRDefault="009940B6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Conformance Test 4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6976981D" w14:textId="65A9369A" w:rsidR="001E39C4" w:rsidRPr="00502751" w:rsidRDefault="001E39C4" w:rsidP="001E39C4">
      <w:pPr>
        <w:spacing w:after="200" w:line="276" w:lineRule="auto"/>
        <w:rPr>
          <w:rFonts w:ascii="Times New Roman" w:eastAsia="Times New Roman" w:hAnsi="Times New Roman" w:cs="Times New Roman"/>
          <w:i/>
          <w:color w:val="4F81BD"/>
          <w:spacing w:val="5"/>
          <w:sz w:val="40"/>
        </w:rPr>
      </w:pPr>
      <w:bookmarkStart w:id="1" w:name="_Hlk190764267"/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</w:t>
      </w:r>
      <w:r w:rsidR="00C02EEA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4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– dated</w:t>
      </w:r>
      <w:r w:rsidR="00C02EEA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FB1437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2</w:t>
      </w:r>
      <w:r w:rsidR="00F93E8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2</w:t>
      </w:r>
      <w:r w:rsidR="00F93E86" w:rsidRPr="00F93E8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nd</w:t>
      </w:r>
      <w:r w:rsidR="00F93E8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7977F8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J</w:t>
      </w:r>
      <w:r w:rsidR="00BE71AF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u</w:t>
      </w:r>
      <w:r w:rsidR="007977F8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ly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2025</w:t>
      </w:r>
      <w:bookmarkEnd w:id="1"/>
    </w:p>
    <w:p w14:paraId="05B68CC5" w14:textId="77777777" w:rsidR="001E39C4" w:rsidRPr="00147AAF" w:rsidRDefault="001E39C4" w:rsidP="001E39C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7431B30" w14:textId="77777777" w:rsidR="001E39C4" w:rsidRPr="00340613" w:rsidRDefault="001E39C4" w:rsidP="001E39C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76CE0F" w14:textId="77777777" w:rsidR="001E39C4" w:rsidRPr="009D33FF" w:rsidRDefault="001E39C4" w:rsidP="0B8C484C">
      <w:r w:rsidRPr="0B8C484C">
        <w:t>Refer to the latest version of document “</w:t>
      </w:r>
      <w:r w:rsidRPr="0B8C484C">
        <w:rPr>
          <w:b/>
          <w:bCs/>
        </w:rPr>
        <w:t>EUDR - API for EO specifications</w:t>
      </w:r>
      <w:r w:rsidRPr="0B8C484C">
        <w:t>”.</w:t>
      </w:r>
    </w:p>
    <w:p w14:paraId="0CCC1C8C" w14:textId="77777777" w:rsidR="001E39C4" w:rsidRPr="007E2285" w:rsidRDefault="001E39C4" w:rsidP="001E39C4">
      <w:pPr>
        <w:rPr>
          <w:lang w:val="en-IE"/>
        </w:rPr>
      </w:pPr>
    </w:p>
    <w:p w14:paraId="0D6FED85" w14:textId="77777777" w:rsidR="001E39C4" w:rsidRPr="004C3E3F" w:rsidRDefault="001E39C4" w:rsidP="001E39C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1E39C4" w14:paraId="4521E330" w14:textId="77777777" w:rsidTr="007F1231">
        <w:tc>
          <w:tcPr>
            <w:tcW w:w="1809" w:type="dxa"/>
          </w:tcPr>
          <w:p w14:paraId="19F7C5CF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Version</w:t>
            </w:r>
          </w:p>
        </w:tc>
        <w:tc>
          <w:tcPr>
            <w:tcW w:w="7230" w:type="dxa"/>
          </w:tcPr>
          <w:p w14:paraId="516C5C68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Description</w:t>
            </w:r>
          </w:p>
        </w:tc>
      </w:tr>
      <w:tr w:rsidR="001E39C4" w14:paraId="6893622F" w14:textId="77777777" w:rsidTr="007F1231">
        <w:tc>
          <w:tcPr>
            <w:tcW w:w="1809" w:type="dxa"/>
          </w:tcPr>
          <w:p w14:paraId="4015875F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V1.2</w:t>
            </w:r>
          </w:p>
        </w:tc>
        <w:tc>
          <w:tcPr>
            <w:tcW w:w="7230" w:type="dxa"/>
          </w:tcPr>
          <w:p w14:paraId="14F726AC" w14:textId="77777777" w:rsidR="001E39C4" w:rsidRPr="000F0982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 and system URLs</w:t>
            </w:r>
          </w:p>
        </w:tc>
      </w:tr>
      <w:tr w:rsidR="001E39C4" w14:paraId="4B5D7A73" w14:textId="77777777" w:rsidTr="007F1231">
        <w:tc>
          <w:tcPr>
            <w:tcW w:w="1809" w:type="dxa"/>
          </w:tcPr>
          <w:p w14:paraId="792A8CC6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V1.3</w:t>
            </w:r>
          </w:p>
        </w:tc>
        <w:tc>
          <w:tcPr>
            <w:tcW w:w="7230" w:type="dxa"/>
          </w:tcPr>
          <w:p w14:paraId="706770C0" w14:textId="77777777" w:rsidR="001E39C4" w:rsidRDefault="001E39C4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</w:t>
            </w:r>
          </w:p>
        </w:tc>
      </w:tr>
      <w:tr w:rsidR="002B41A5" w14:paraId="34BB6E57" w14:textId="77777777" w:rsidTr="007F1231">
        <w:tc>
          <w:tcPr>
            <w:tcW w:w="1809" w:type="dxa"/>
          </w:tcPr>
          <w:p w14:paraId="4CD6A08F" w14:textId="631F8EE6" w:rsidR="002B41A5" w:rsidRDefault="002B41A5" w:rsidP="007F1231">
            <w:pPr>
              <w:rPr>
                <w:lang w:val="en-IE"/>
              </w:rPr>
            </w:pPr>
            <w:r>
              <w:rPr>
                <w:lang w:val="en-IE"/>
              </w:rPr>
              <w:t>V1.4</w:t>
            </w:r>
          </w:p>
        </w:tc>
        <w:tc>
          <w:tcPr>
            <w:tcW w:w="7230" w:type="dxa"/>
          </w:tcPr>
          <w:p w14:paraId="60DA60AB" w14:textId="6F113DCB" w:rsidR="002B41A5" w:rsidRDefault="0077799E" w:rsidP="007F1231">
            <w:pPr>
              <w:rPr>
                <w:lang w:val="en-IE"/>
              </w:rPr>
            </w:pPr>
            <w:r>
              <w:rPr>
                <w:lang w:val="en-IE"/>
              </w:rPr>
              <w:t xml:space="preserve">Added </w:t>
            </w:r>
            <w:r w:rsidR="001128F9">
              <w:rPr>
                <w:lang w:val="en-IE"/>
              </w:rPr>
              <w:t>new</w:t>
            </w:r>
            <w:r>
              <w:rPr>
                <w:lang w:val="en-IE"/>
              </w:rPr>
              <w:t xml:space="preserve"> errors</w:t>
            </w:r>
            <w:r w:rsidR="007977F8">
              <w:rPr>
                <w:lang w:val="en-IE"/>
              </w:rPr>
              <w:t xml:space="preserve"> for services </w:t>
            </w:r>
          </w:p>
        </w:tc>
      </w:tr>
    </w:tbl>
    <w:p w14:paraId="60ECD334" w14:textId="392036C0" w:rsidR="004E4527" w:rsidRDefault="004E45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44E0D59" w14:textId="77777777" w:rsidR="004E4527" w:rsidRPr="00A152E9" w:rsidRDefault="004E4527">
      <w:pPr>
        <w:spacing w:after="200" w:line="276" w:lineRule="auto"/>
        <w:rPr>
          <w:rFonts w:ascii="Calibri" w:eastAsia="Calibri" w:hAnsi="Calibri" w:cs="Calibri"/>
        </w:rPr>
      </w:pPr>
    </w:p>
    <w:bookmarkStart w:id="2" w:name="_Toc204070457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69268A">
          <w:pPr>
            <w:pStyle w:val="Heading1"/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2"/>
        </w:p>
        <w:p w14:paraId="05416235" w14:textId="1FD192C8" w:rsidR="00F93E86" w:rsidRDefault="00967C2E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70457" w:history="1">
            <w:r w:rsidR="00F93E86" w:rsidRPr="008C7EC0">
              <w:rPr>
                <w:rStyle w:val="Hyperlink"/>
                <w:noProof/>
                <w:lang w:val="fr-BE"/>
              </w:rPr>
              <w:t>1</w:t>
            </w:r>
            <w:r w:rsidR="00F93E86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F93E86" w:rsidRPr="008C7EC0">
              <w:rPr>
                <w:rStyle w:val="Hyperlink"/>
                <w:noProof/>
                <w:lang w:val="fr-BE"/>
              </w:rPr>
              <w:t>Contents</w:t>
            </w:r>
            <w:r w:rsidR="00F93E86">
              <w:rPr>
                <w:noProof/>
                <w:webHidden/>
              </w:rPr>
              <w:tab/>
            </w:r>
            <w:r w:rsidR="00F93E86">
              <w:rPr>
                <w:noProof/>
                <w:webHidden/>
              </w:rPr>
              <w:fldChar w:fldCharType="begin"/>
            </w:r>
            <w:r w:rsidR="00F93E86">
              <w:rPr>
                <w:noProof/>
                <w:webHidden/>
              </w:rPr>
              <w:instrText xml:space="preserve"> PAGEREF _Toc204070457 \h </w:instrText>
            </w:r>
            <w:r w:rsidR="00F93E86">
              <w:rPr>
                <w:noProof/>
                <w:webHidden/>
              </w:rPr>
            </w:r>
            <w:r w:rsidR="00F93E86">
              <w:rPr>
                <w:noProof/>
                <w:webHidden/>
              </w:rPr>
              <w:fldChar w:fldCharType="separate"/>
            </w:r>
            <w:r w:rsidR="00F93E86">
              <w:rPr>
                <w:noProof/>
                <w:webHidden/>
              </w:rPr>
              <w:t>2</w:t>
            </w:r>
            <w:r w:rsidR="00F93E86">
              <w:rPr>
                <w:noProof/>
                <w:webHidden/>
              </w:rPr>
              <w:fldChar w:fldCharType="end"/>
            </w:r>
          </w:hyperlink>
        </w:p>
        <w:p w14:paraId="38613E22" w14:textId="445F757F" w:rsidR="00F93E86" w:rsidRDefault="00F93E8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458" w:history="1">
            <w:r w:rsidRPr="008C7EC0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C7EC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5EA5" w14:textId="4A31F5BA" w:rsidR="00F93E86" w:rsidRDefault="00F93E8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459" w:history="1">
            <w:r w:rsidRPr="008C7EC0">
              <w:rPr>
                <w:rStyle w:val="Hyperlink"/>
                <w:rFonts w:eastAsia="Calibri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C7EC0">
              <w:rPr>
                <w:rStyle w:val="Hyperlink"/>
                <w:rFonts w:eastAsia="Calibri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8D92" w14:textId="364BF42A" w:rsidR="00F93E86" w:rsidRDefault="00F93E8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460" w:history="1">
            <w:r w:rsidRPr="008C7EC0">
              <w:rPr>
                <w:rStyle w:val="Hyperlink"/>
                <w:rFonts w:eastAsia="Cambri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C7EC0">
              <w:rPr>
                <w:rStyle w:val="Hyperlink"/>
                <w:rFonts w:eastAsia="Cambria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0BA1" w14:textId="7B00B7FE" w:rsidR="00F93E86" w:rsidRDefault="00F93E8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461" w:history="1">
            <w:r w:rsidRPr="008C7EC0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C7EC0">
              <w:rPr>
                <w:rStyle w:val="Hyperlink"/>
                <w:noProof/>
              </w:rPr>
              <w:t>Previous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076A" w14:textId="1512AC1F" w:rsidR="00F93E86" w:rsidRDefault="00F93E8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462" w:history="1">
            <w:r w:rsidRPr="008C7EC0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C7EC0">
              <w:rPr>
                <w:rStyle w:val="Hyperlink"/>
                <w:noProof/>
              </w:rPr>
              <w:t>Data 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44E0" w14:textId="66F9B57E" w:rsidR="00F93E86" w:rsidRDefault="00F93E8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463" w:history="1">
            <w:r w:rsidRPr="008C7EC0">
              <w:rPr>
                <w:rStyle w:val="Hyperlink"/>
                <w:rFonts w:eastAsia="Cambri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C7EC0">
              <w:rPr>
                <w:rStyle w:val="Hyperlink"/>
                <w:rFonts w:eastAsia="Cambri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1745" w14:textId="49845C33" w:rsidR="00F93E86" w:rsidRDefault="00F93E8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464" w:history="1">
            <w:r w:rsidRPr="008C7EC0">
              <w:rPr>
                <w:rStyle w:val="Hyperlink"/>
                <w:rFonts w:eastAsia="Cambria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C7EC0">
              <w:rPr>
                <w:rStyle w:val="Hyperlink"/>
                <w:rFonts w:eastAsia="Cambria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A05C" w14:textId="2CB89507" w:rsidR="00F93E86" w:rsidRDefault="00F93E8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465" w:history="1">
            <w:r w:rsidRPr="008C7EC0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C7EC0">
              <w:rPr>
                <w:rStyle w:val="Hyperlink"/>
                <w:noProof/>
              </w:rPr>
              <w:t>Identification of the Web Service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D1A6" w14:textId="0791445B" w:rsidR="00F93E86" w:rsidRDefault="00F93E86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466" w:history="1">
            <w:r w:rsidRPr="008C7EC0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C7EC0">
              <w:rPr>
                <w:rStyle w:val="Hyperlink"/>
                <w:noProof/>
              </w:rPr>
              <w:t>Web Service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E71" w14:textId="35439A42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3" w:name="_Toc204070458"/>
      <w:r>
        <w:lastRenderedPageBreak/>
        <w:t>Introduction</w:t>
      </w:r>
      <w:bookmarkEnd w:id="3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58EE4422" w14:textId="5DDAD373" w:rsidR="00D545D1" w:rsidRDefault="00D545D1" w:rsidP="3E97D6BC">
      <w:pPr>
        <w:spacing w:after="200" w:line="276" w:lineRule="auto"/>
        <w:rPr>
          <w:rFonts w:ascii="Calibri" w:eastAsia="Calibri" w:hAnsi="Calibri" w:cs="Calibri"/>
        </w:rPr>
      </w:pPr>
      <w:r w:rsidRPr="3E97D6BC">
        <w:rPr>
          <w:rFonts w:ascii="Calibri" w:eastAsia="Calibri" w:hAnsi="Calibri" w:cs="Calibri"/>
        </w:rPr>
        <w:t xml:space="preserve">This is the </w:t>
      </w:r>
      <w:r w:rsidR="5F115384" w:rsidRPr="3E97D6BC">
        <w:rPr>
          <w:rFonts w:ascii="Calibri" w:eastAsia="Calibri" w:hAnsi="Calibri" w:cs="Calibri"/>
        </w:rPr>
        <w:t xml:space="preserve">fourth </w:t>
      </w:r>
      <w:r w:rsidRPr="3E97D6BC">
        <w:rPr>
          <w:rFonts w:ascii="Calibri" w:eastAsia="Calibri" w:hAnsi="Calibri" w:cs="Calibri"/>
        </w:rPr>
        <w:t>CF Test in the process of enabling the successful interaction of the Participant</w:t>
      </w:r>
      <w:r w:rsidR="004A7D77">
        <w:rPr>
          <w:rFonts w:ascii="Calibri" w:eastAsia="Calibri" w:hAnsi="Calibri" w:cs="Calibri"/>
        </w:rPr>
        <w:t>’s</w:t>
      </w:r>
      <w:r w:rsidRPr="3E97D6BC">
        <w:rPr>
          <w:rFonts w:ascii="Calibri" w:eastAsia="Calibri" w:hAnsi="Calibri" w:cs="Calibri"/>
        </w:rPr>
        <w:t xml:space="preserve"> system with the central EUDR system.</w:t>
      </w:r>
      <w:r w:rsidR="00C618EA">
        <w:rPr>
          <w:rFonts w:ascii="Calibri" w:eastAsia="Calibri" w:hAnsi="Calibri" w:cs="Calibri"/>
        </w:rPr>
        <w:t xml:space="preserve"> Participants are required to have first read the document “EUDR – API for EO Specifications”.</w:t>
      </w:r>
    </w:p>
    <w:p w14:paraId="47B8B314" w14:textId="77777777" w:rsidR="00D545D1" w:rsidRDefault="00D545D1" w:rsidP="00D545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this test covers:</w:t>
      </w:r>
    </w:p>
    <w:p w14:paraId="035F5B8B" w14:textId="4108B564" w:rsidR="00D545D1" w:rsidRDefault="00D545D1" w:rsidP="00524198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manage unsuccessful</w:t>
      </w:r>
      <w:r w:rsidR="007C182C">
        <w:rPr>
          <w:rFonts w:ascii="Calibri" w:eastAsia="Calibri" w:hAnsi="Calibri" w:cs="Calibri"/>
        </w:rPr>
        <w:t xml:space="preserve"> (error)</w:t>
      </w:r>
      <w:r>
        <w:rPr>
          <w:rFonts w:ascii="Calibri" w:eastAsia="Calibri" w:hAnsi="Calibri" w:cs="Calibri"/>
        </w:rPr>
        <w:t xml:space="preserve"> responses after the submission of </w:t>
      </w:r>
      <w:r w:rsidR="004A7D77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DDS.</w:t>
      </w:r>
    </w:p>
    <w:p w14:paraId="516953A1" w14:textId="77777777" w:rsidR="0083775F" w:rsidRDefault="0083775F" w:rsidP="00D545D1">
      <w:pPr>
        <w:spacing w:after="200" w:line="276" w:lineRule="auto"/>
        <w:rPr>
          <w:rFonts w:ascii="Calibri" w:eastAsia="Calibri" w:hAnsi="Calibri" w:cs="Calibri"/>
        </w:rPr>
      </w:pPr>
    </w:p>
    <w:p w14:paraId="50BA266C" w14:textId="77777777" w:rsidR="0083775F" w:rsidRDefault="0083775F" w:rsidP="0083775F">
      <w:pPr>
        <w:pStyle w:val="Heading1"/>
        <w:rPr>
          <w:rFonts w:eastAsia="Calibri"/>
        </w:rPr>
      </w:pPr>
      <w:bookmarkStart w:id="4" w:name="_Toc182832432"/>
      <w:bookmarkStart w:id="5" w:name="_Hlk179274060"/>
      <w:bookmarkStart w:id="6" w:name="_Toc204070459"/>
      <w:r>
        <w:rPr>
          <w:rFonts w:eastAsia="Calibri"/>
        </w:rPr>
        <w:t>Documentation</w:t>
      </w:r>
      <w:bookmarkEnd w:id="4"/>
      <w:bookmarkEnd w:id="6"/>
    </w:p>
    <w:p w14:paraId="1060DC66" w14:textId="77777777" w:rsidR="0083775F" w:rsidRDefault="0083775F" w:rsidP="0083775F">
      <w:pPr>
        <w:spacing w:after="0" w:line="240" w:lineRule="auto"/>
        <w:rPr>
          <w:rFonts w:ascii="Calibri" w:eastAsia="Calibri" w:hAnsi="Calibri" w:cs="Calibri"/>
        </w:rPr>
      </w:pPr>
    </w:p>
    <w:p w14:paraId="0068456A" w14:textId="77777777" w:rsidR="0083775F" w:rsidRDefault="0083775F" w:rsidP="0083775F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7C182C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>retrieve the definition of the contract’s services and the structure of the data to be exchanged.</w:t>
      </w:r>
    </w:p>
    <w:p w14:paraId="3B3B93F4" w14:textId="77777777" w:rsidR="0083775F" w:rsidRDefault="0083775F" w:rsidP="0083775F">
      <w:pPr>
        <w:spacing w:after="0" w:line="240" w:lineRule="auto"/>
        <w:rPr>
          <w:rFonts w:ascii="Calibri" w:eastAsia="Calibri" w:hAnsi="Calibri" w:cs="Calibri"/>
        </w:rPr>
      </w:pPr>
    </w:p>
    <w:p w14:paraId="430975E5" w14:textId="77A7C411" w:rsidR="008D01E2" w:rsidRDefault="0083775F" w:rsidP="0083775F">
      <w:pPr>
        <w:spacing w:after="200" w:line="276" w:lineRule="auto"/>
        <w:rPr>
          <w:rFonts w:ascii="Calibri" w:eastAsia="Calibri" w:hAnsi="Calibri" w:cs="Calibri"/>
        </w:rPr>
      </w:pPr>
      <w:r>
        <w:t>The participants are requested to read the documentation concerning the Submission Service.</w:t>
      </w:r>
      <w:bookmarkEnd w:id="5"/>
      <w:r w:rsidR="00D545D1">
        <w:rPr>
          <w:rFonts w:ascii="Calibri" w:eastAsia="Calibri" w:hAnsi="Calibri" w:cs="Calibri"/>
        </w:rPr>
        <w:br/>
      </w:r>
    </w:p>
    <w:p w14:paraId="6A79C553" w14:textId="7B7F571F" w:rsidR="006605BC" w:rsidRDefault="006605BC" w:rsidP="006605BC">
      <w:pPr>
        <w:pStyle w:val="Heading1"/>
        <w:rPr>
          <w:rFonts w:eastAsia="Cambria"/>
        </w:rPr>
      </w:pPr>
      <w:bookmarkStart w:id="7" w:name="_Toc204070460"/>
      <w:r>
        <w:rPr>
          <w:rFonts w:eastAsia="Cambria"/>
        </w:rPr>
        <w:t>Prerequisites</w:t>
      </w:r>
      <w:bookmarkEnd w:id="7"/>
    </w:p>
    <w:p w14:paraId="63521171" w14:textId="1C47C535" w:rsidR="006605BC" w:rsidRDefault="006605BC" w:rsidP="006605BC"/>
    <w:p w14:paraId="4B61C507" w14:textId="62AA6BEA" w:rsidR="00D33792" w:rsidRDefault="00D33792" w:rsidP="00D33792">
      <w:pPr>
        <w:rPr>
          <w:rFonts w:eastAsia="Calibri"/>
        </w:rPr>
      </w:pPr>
      <w:r>
        <w:rPr>
          <w:rFonts w:eastAsia="Calibri"/>
        </w:rPr>
        <w:t xml:space="preserve">Technological expertise: </w:t>
      </w:r>
      <w:r w:rsidR="00F0643F" w:rsidRPr="00F0643F">
        <w:rPr>
          <w:rFonts w:eastAsia="Calibri"/>
        </w:rPr>
        <w:t>Very good understanding and capability to develop SOAP web service calls.</w:t>
      </w:r>
      <w:r w:rsidR="00D545D1">
        <w:rPr>
          <w:rFonts w:eastAsia="Calibri"/>
        </w:rPr>
        <w:br/>
      </w:r>
    </w:p>
    <w:p w14:paraId="1D0C4E38" w14:textId="77777777" w:rsidR="00FA7A5E" w:rsidRDefault="00FA7A5E" w:rsidP="00FA7A5E">
      <w:pPr>
        <w:pStyle w:val="Heading2"/>
      </w:pPr>
      <w:bookmarkStart w:id="8" w:name="_Toc159255874"/>
      <w:bookmarkStart w:id="9" w:name="_Toc204070461"/>
      <w:r>
        <w:t>Previous Sprints</w:t>
      </w:r>
      <w:bookmarkEnd w:id="8"/>
      <w:bookmarkEnd w:id="9"/>
    </w:p>
    <w:p w14:paraId="7C218D96" w14:textId="77777777" w:rsidR="00FA7A5E" w:rsidRPr="00522003" w:rsidRDefault="00FA7A5E" w:rsidP="00FA7A5E"/>
    <w:p w14:paraId="1094C185" w14:textId="0D16BC60" w:rsidR="0008479C" w:rsidRDefault="00FA7A5E" w:rsidP="0008479C">
      <w:r w:rsidRPr="3E97D6BC">
        <w:rPr>
          <w:rFonts w:ascii="Calibri" w:eastAsia="Calibri" w:hAnsi="Calibri" w:cs="Calibri"/>
        </w:rPr>
        <w:t xml:space="preserve">It is assumed that </w:t>
      </w:r>
      <w:r w:rsidR="00A8549E">
        <w:rPr>
          <w:rFonts w:ascii="Calibri" w:eastAsia="Calibri" w:hAnsi="Calibri" w:cs="Calibri"/>
        </w:rPr>
        <w:t>Conformance test</w:t>
      </w:r>
      <w:r w:rsidR="00A8549E" w:rsidRPr="00573724">
        <w:rPr>
          <w:rFonts w:ascii="Calibri" w:eastAsia="Calibri" w:hAnsi="Calibri" w:cs="Calibri"/>
        </w:rPr>
        <w:t xml:space="preserve"> 1 </w:t>
      </w:r>
      <w:r w:rsidR="00730455" w:rsidRPr="3E97D6BC">
        <w:rPr>
          <w:rFonts w:ascii="Calibri" w:eastAsia="Calibri" w:hAnsi="Calibri" w:cs="Calibri"/>
        </w:rPr>
        <w:t>and</w:t>
      </w:r>
      <w:r w:rsidR="63D0F73D" w:rsidRPr="3E97D6BC">
        <w:rPr>
          <w:rFonts w:ascii="Calibri" w:eastAsia="Calibri" w:hAnsi="Calibri" w:cs="Calibri"/>
        </w:rPr>
        <w:t xml:space="preserve"> </w:t>
      </w:r>
      <w:r w:rsidR="006B3A9B" w:rsidRPr="3E97D6BC">
        <w:rPr>
          <w:rFonts w:ascii="Calibri" w:eastAsia="Calibri" w:hAnsi="Calibri" w:cs="Calibri"/>
        </w:rPr>
        <w:t>2</w:t>
      </w:r>
      <w:r w:rsidR="21E0DEB9" w:rsidRPr="3E97D6BC">
        <w:rPr>
          <w:rFonts w:ascii="Calibri" w:eastAsia="Calibri" w:hAnsi="Calibri" w:cs="Calibri"/>
        </w:rPr>
        <w:t xml:space="preserve"> </w:t>
      </w:r>
      <w:r w:rsidR="00A8549E">
        <w:rPr>
          <w:rFonts w:ascii="Calibri" w:eastAsia="Calibri" w:hAnsi="Calibri" w:cs="Calibri"/>
        </w:rPr>
        <w:t xml:space="preserve">(CF1 </w:t>
      </w:r>
      <w:r w:rsidR="00F5086E">
        <w:rPr>
          <w:rFonts w:ascii="Calibri" w:eastAsia="Calibri" w:hAnsi="Calibri" w:cs="Calibri"/>
        </w:rPr>
        <w:t xml:space="preserve">&amp; CF2) </w:t>
      </w:r>
      <w:r w:rsidR="35A7BA21" w:rsidRPr="3E97D6BC">
        <w:rPr>
          <w:rFonts w:ascii="Calibri" w:eastAsia="Calibri" w:hAnsi="Calibri" w:cs="Calibri"/>
        </w:rPr>
        <w:t>have</w:t>
      </w:r>
      <w:r w:rsidRPr="3E97D6BC">
        <w:rPr>
          <w:rFonts w:ascii="Calibri" w:eastAsia="Calibri" w:hAnsi="Calibri" w:cs="Calibri"/>
        </w:rPr>
        <w:t xml:space="preserve"> been successfully completed. </w:t>
      </w:r>
      <w:r w:rsidR="00D131AD" w:rsidRPr="3E97D6BC">
        <w:rPr>
          <w:rFonts w:ascii="Calibri" w:eastAsia="Calibri" w:hAnsi="Calibri" w:cs="Calibri"/>
        </w:rPr>
        <w:t>The definition of the connection attributes contained in the Request Header should continue to be used</w:t>
      </w:r>
      <w:r w:rsidR="00D131AD">
        <w:rPr>
          <w:rFonts w:ascii="Calibri" w:eastAsia="Calibri" w:hAnsi="Calibri" w:cs="Calibri"/>
        </w:rPr>
        <w:t>.</w:t>
      </w:r>
    </w:p>
    <w:p w14:paraId="4FD31083" w14:textId="5E6B5C0C" w:rsidR="00FA01F6" w:rsidRDefault="00FA01F6" w:rsidP="00FA01F6"/>
    <w:p w14:paraId="1ED2241C" w14:textId="61C98FC6" w:rsidR="00BA1CC6" w:rsidRDefault="00BA1CC6" w:rsidP="00524198">
      <w:pPr>
        <w:pStyle w:val="Heading2"/>
      </w:pPr>
      <w:bookmarkStart w:id="10" w:name="_Toc159255875"/>
      <w:bookmarkStart w:id="11" w:name="_Toc204070462"/>
      <w:r>
        <w:t>Data Visibility</w:t>
      </w:r>
      <w:bookmarkEnd w:id="10"/>
      <w:bookmarkEnd w:id="11"/>
    </w:p>
    <w:p w14:paraId="6D40C114" w14:textId="5DCF2972" w:rsidR="005C2FED" w:rsidRPr="0025238F" w:rsidRDefault="00BA1CC6">
      <w:pPr>
        <w:rPr>
          <w:rFonts w:eastAsia="Calibri" w:cstheme="minorHAnsi"/>
        </w:rPr>
      </w:pPr>
      <w:r>
        <w:rPr>
          <w:rFonts w:eastAsia="Calibri" w:cstheme="minorHAnsi"/>
        </w:rPr>
        <w:br/>
        <w:t xml:space="preserve">Participants are requested not to use sensitive or confidential data in the generation of </w:t>
      </w:r>
      <w:r w:rsidR="003940FC">
        <w:rPr>
          <w:rFonts w:eastAsia="Calibri" w:cstheme="minorHAnsi"/>
        </w:rPr>
        <w:t>t</w:t>
      </w:r>
      <w:r>
        <w:rPr>
          <w:rFonts w:eastAsia="Calibri" w:cstheme="minorHAnsi"/>
        </w:rPr>
        <w:t>ests, e.g., the information provided in the DDS should not be sourced from real information.</w:t>
      </w:r>
      <w:r w:rsidRPr="00573724">
        <w:rPr>
          <w:rFonts w:eastAsia="Calibri" w:cstheme="minorHAnsi"/>
        </w:rPr>
        <w:br/>
      </w:r>
    </w:p>
    <w:p w14:paraId="3B845FD7" w14:textId="49340F6E" w:rsidR="004D2150" w:rsidRDefault="00147AAF" w:rsidP="0069268A">
      <w:pPr>
        <w:pStyle w:val="Heading1"/>
        <w:rPr>
          <w:rFonts w:eastAsia="Cambria"/>
        </w:rPr>
      </w:pPr>
      <w:bookmarkStart w:id="12" w:name="_Toc204070463"/>
      <w:r>
        <w:rPr>
          <w:rFonts w:eastAsia="Cambria"/>
        </w:rPr>
        <w:lastRenderedPageBreak/>
        <w:t>Objectives</w:t>
      </w:r>
      <w:bookmarkEnd w:id="12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4FFC6B0F" w:rsidR="00DB1F20" w:rsidRDefault="000D1806" w:rsidP="00524198">
      <w:pPr>
        <w:pStyle w:val="ListParagraph"/>
        <w:numPr>
          <w:ilvl w:val="0"/>
          <w:numId w:val="3"/>
        </w:numPr>
      </w:pPr>
      <w:r>
        <w:t xml:space="preserve">Successful </w:t>
      </w:r>
      <w:r w:rsidR="00730455">
        <w:t>Management of error</w:t>
      </w:r>
      <w:r w:rsidR="5923B86C">
        <w:t>s</w:t>
      </w:r>
      <w:r w:rsidR="00730455">
        <w:t xml:space="preserve"> </w:t>
      </w:r>
      <w:r w:rsidR="7CCE3AC5">
        <w:t xml:space="preserve">returned </w:t>
      </w:r>
      <w:r w:rsidR="00730455">
        <w:t xml:space="preserve">by </w:t>
      </w:r>
      <w:r w:rsidR="005E7295">
        <w:t xml:space="preserve">a call of </w:t>
      </w:r>
      <w:r w:rsidR="00730455">
        <w:t xml:space="preserve">the </w:t>
      </w:r>
      <w:r w:rsidR="005E7295">
        <w:t>“Submit</w:t>
      </w:r>
      <w:r>
        <w:t xml:space="preserve"> DDS</w:t>
      </w:r>
      <w:r w:rsidR="005E7295">
        <w:t>”</w:t>
      </w:r>
      <w:r w:rsidR="00DB1F20">
        <w:t xml:space="preserve"> Web service</w:t>
      </w:r>
      <w:r>
        <w:t>.</w:t>
      </w:r>
    </w:p>
    <w:p w14:paraId="6FFB16AD" w14:textId="77777777" w:rsidR="006A0FCE" w:rsidRDefault="006A0FCE" w:rsidP="006A0F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Secondary objectives:</w:t>
      </w:r>
    </w:p>
    <w:p w14:paraId="2B2A544E" w14:textId="5240DFB2" w:rsidR="00EA10AC" w:rsidRPr="0025238F" w:rsidRDefault="006A0FCE" w:rsidP="006A0FCE">
      <w:pPr>
        <w:pStyle w:val="ListParagraph"/>
        <w:numPr>
          <w:ilvl w:val="0"/>
          <w:numId w:val="3"/>
        </w:numPr>
      </w:pPr>
      <w:r>
        <w:t>Develop a</w:t>
      </w:r>
      <w:r w:rsidR="007D4C85">
        <w:t>n error-</w:t>
      </w:r>
      <w:r>
        <w:t xml:space="preserve">management </w:t>
      </w:r>
      <w:r w:rsidR="007D4C85">
        <w:t xml:space="preserve">strategy </w:t>
      </w:r>
      <w:r w:rsidR="00E6738B">
        <w:t xml:space="preserve">required by </w:t>
      </w:r>
      <w:r w:rsidR="007D4C85">
        <w:t xml:space="preserve">the </w:t>
      </w:r>
      <w:r w:rsidR="004B22C6">
        <w:t>end-</w:t>
      </w:r>
      <w:r w:rsidR="007D4C85">
        <w:t xml:space="preserve">users </w:t>
      </w:r>
      <w:r>
        <w:t>of the participant’</w:t>
      </w:r>
      <w:r w:rsidR="004B22C6">
        <w:t>s</w:t>
      </w:r>
      <w:r>
        <w:t xml:space="preserve"> </w:t>
      </w:r>
      <w:r w:rsidR="007D4C85">
        <w:t>system</w:t>
      </w:r>
      <w:r w:rsidR="00CB617A">
        <w:t>.</w:t>
      </w:r>
      <w:r w:rsidR="00EA10AC" w:rsidRPr="0025238F">
        <w:rPr>
          <w:rFonts w:eastAsia="Cambria"/>
        </w:rPr>
        <w:br w:type="page"/>
      </w:r>
    </w:p>
    <w:p w14:paraId="36F322C0" w14:textId="5727C12A" w:rsidR="00147AAF" w:rsidRDefault="008A0C49" w:rsidP="00147AAF">
      <w:pPr>
        <w:pStyle w:val="Heading1"/>
        <w:rPr>
          <w:rFonts w:eastAsia="Cambria"/>
        </w:rPr>
      </w:pPr>
      <w:bookmarkStart w:id="13" w:name="_Toc204070464"/>
      <w:r>
        <w:rPr>
          <w:rFonts w:eastAsia="Cambria"/>
        </w:rPr>
        <w:lastRenderedPageBreak/>
        <w:t>Tasks</w:t>
      </w:r>
      <w:bookmarkEnd w:id="13"/>
    </w:p>
    <w:p w14:paraId="6DC7524E" w14:textId="0D7FC68A" w:rsidR="007449AD" w:rsidRDefault="007449AD" w:rsidP="00147AAF"/>
    <w:p w14:paraId="383CED7A" w14:textId="246CBD81" w:rsidR="00056B12" w:rsidRDefault="00056B12" w:rsidP="00237316">
      <w:pPr>
        <w:pStyle w:val="Heading2"/>
      </w:pPr>
      <w:bookmarkStart w:id="14" w:name="_Ref172558474"/>
      <w:bookmarkStart w:id="15" w:name="_Toc204070465"/>
      <w:r>
        <w:t>I</w:t>
      </w:r>
      <w:r w:rsidR="006C0A6A">
        <w:t>dentification of the Web</w:t>
      </w:r>
      <w:r w:rsidR="00F478BA">
        <w:t xml:space="preserve"> Se</w:t>
      </w:r>
      <w:r w:rsidR="006C0A6A">
        <w:t xml:space="preserve">rvice </w:t>
      </w:r>
      <w:r w:rsidR="00F478BA">
        <w:t>call</w:t>
      </w:r>
      <w:bookmarkEnd w:id="14"/>
      <w:bookmarkEnd w:id="15"/>
    </w:p>
    <w:p w14:paraId="6F8097AA" w14:textId="63E07949" w:rsidR="00056B12" w:rsidRDefault="00056B12" w:rsidP="00056B12"/>
    <w:p w14:paraId="47B841A6" w14:textId="66313978" w:rsidR="00CE60C7" w:rsidRDefault="00E10486" w:rsidP="00E10486">
      <w:r>
        <w:t xml:space="preserve">As stated above, </w:t>
      </w:r>
      <w:r w:rsidR="00B76026">
        <w:t>the</w:t>
      </w:r>
      <w:r>
        <w:t xml:space="preserve"> objective of this sprint is to </w:t>
      </w:r>
      <w:r w:rsidR="00E95F7C">
        <w:t>develop</w:t>
      </w:r>
      <w:r>
        <w:t xml:space="preserve"> the capability to </w:t>
      </w:r>
      <w:r w:rsidR="00021F59">
        <w:t xml:space="preserve">manage errors when submitting </w:t>
      </w:r>
      <w:r w:rsidR="00016D0E">
        <w:t>DDS.</w:t>
      </w:r>
      <w:r w:rsidR="00A255DA">
        <w:t xml:space="preserve"> </w:t>
      </w:r>
    </w:p>
    <w:p w14:paraId="7AF64038" w14:textId="3D274824" w:rsidR="00DA3B77" w:rsidRDefault="00DA3B77" w:rsidP="00E10486">
      <w:r>
        <w:t>It is important to note that errors can be classified in 2 categories:</w:t>
      </w:r>
    </w:p>
    <w:p w14:paraId="724D3E1F" w14:textId="7F5B7F20" w:rsidR="00DA3B77" w:rsidRDefault="00DA3B77" w:rsidP="00524198">
      <w:pPr>
        <w:pStyle w:val="ListParagraph"/>
        <w:numPr>
          <w:ilvl w:val="0"/>
          <w:numId w:val="5"/>
        </w:numPr>
      </w:pPr>
      <w:bookmarkStart w:id="16" w:name="_Ref172558460"/>
      <w:r>
        <w:t>Errors coming from au</w:t>
      </w:r>
      <w:r w:rsidR="00BE7F7B">
        <w:t>t</w:t>
      </w:r>
      <w:r>
        <w:t>he</w:t>
      </w:r>
      <w:r w:rsidR="00BE7F7B">
        <w:t>n</w:t>
      </w:r>
      <w:r>
        <w:t xml:space="preserve">tication issues or from </w:t>
      </w:r>
      <w:r w:rsidR="0077299C">
        <w:t>disrespect</w:t>
      </w:r>
      <w:r w:rsidR="00BE7F7B">
        <w:t xml:space="preserve"> of the </w:t>
      </w:r>
      <w:r w:rsidR="00653073">
        <w:t xml:space="preserve">API </w:t>
      </w:r>
      <w:r w:rsidR="00BE7F7B">
        <w:t>schema definition</w:t>
      </w:r>
      <w:r w:rsidR="00020896">
        <w:t>,</w:t>
      </w:r>
      <w:bookmarkEnd w:id="16"/>
    </w:p>
    <w:p w14:paraId="472E3E39" w14:textId="7B9C8A32" w:rsidR="00BE7F7B" w:rsidRDefault="00BE7F7B" w:rsidP="00524198">
      <w:pPr>
        <w:pStyle w:val="ListParagraph"/>
        <w:numPr>
          <w:ilvl w:val="0"/>
          <w:numId w:val="5"/>
        </w:numPr>
      </w:pPr>
      <w:r>
        <w:t xml:space="preserve">Business errors which reflect unallowed </w:t>
      </w:r>
      <w:r w:rsidR="00020896">
        <w:t xml:space="preserve">or illegal </w:t>
      </w:r>
      <w:r>
        <w:t xml:space="preserve">cases </w:t>
      </w:r>
      <w:r w:rsidR="0077299C">
        <w:t>when</w:t>
      </w:r>
      <w:r w:rsidR="00020896">
        <w:t xml:space="preserve"> submi</w:t>
      </w:r>
      <w:r w:rsidR="0077299C">
        <w:t>tting</w:t>
      </w:r>
      <w:r w:rsidR="00020896">
        <w:t xml:space="preserve"> a DDS.</w:t>
      </w:r>
    </w:p>
    <w:p w14:paraId="7F5C895D" w14:textId="03ED470D" w:rsidR="00094C1C" w:rsidRDefault="00017A79" w:rsidP="00094C1C">
      <w:r>
        <w:t>The participant</w:t>
      </w:r>
      <w:r w:rsidR="00C40BC6">
        <w:t xml:space="preserve"> will </w:t>
      </w:r>
      <w:r w:rsidR="00653073">
        <w:t>need to</w:t>
      </w:r>
      <w:r w:rsidR="00C40BC6">
        <w:t xml:space="preserve"> re-</w:t>
      </w:r>
      <w:r w:rsidR="009C5A3A">
        <w:t xml:space="preserve">execute </w:t>
      </w:r>
      <w:r w:rsidR="00A25170">
        <w:t>parts of</w:t>
      </w:r>
      <w:r w:rsidR="00C40BC6">
        <w:t xml:space="preserve"> CF2 </w:t>
      </w:r>
      <w:r w:rsidR="00AA16B7">
        <w:t>by simulating</w:t>
      </w:r>
      <w:r w:rsidR="009C5A3A">
        <w:t xml:space="preserve"> errors of those 2 types.</w:t>
      </w:r>
      <w:r w:rsidR="00094C1C">
        <w:t xml:space="preserve"> For </w:t>
      </w:r>
      <w:r w:rsidR="00A25170">
        <w:t xml:space="preserve">testing </w:t>
      </w:r>
      <w:r w:rsidR="00094C1C">
        <w:t>the possible errors, the participant will elaborate scenario</w:t>
      </w:r>
      <w:r w:rsidR="00A25170">
        <w:t>s</w:t>
      </w:r>
      <w:r w:rsidR="00094C1C">
        <w:t xml:space="preserve"> that shall return the error and verify if it is caught properly by </w:t>
      </w:r>
      <w:r w:rsidR="008B529D">
        <w:t>its</w:t>
      </w:r>
      <w:r w:rsidR="00094C1C">
        <w:t xml:space="preserve"> system.</w:t>
      </w:r>
    </w:p>
    <w:p w14:paraId="312BDC83" w14:textId="49CE642B" w:rsidR="00B3554B" w:rsidRDefault="00B3554B" w:rsidP="00C40BC6">
      <w:r>
        <w:t xml:space="preserve">The </w:t>
      </w:r>
      <w:r w:rsidR="004F006C">
        <w:t xml:space="preserve">below table describe a list of errors of type </w:t>
      </w:r>
      <w:r w:rsidR="009C5A3A">
        <w:t>(</w:t>
      </w:r>
      <w:r w:rsidR="004F006C">
        <w:t>b)</w:t>
      </w:r>
      <w:r w:rsidR="009C5A3A">
        <w:t xml:space="preserve">. </w:t>
      </w:r>
    </w:p>
    <w:p w14:paraId="6412A126" w14:textId="2BE0D29C" w:rsidR="00D40B06" w:rsidRDefault="00D40B06" w:rsidP="00C40BC6">
      <w:r>
        <w:t>The first column correspond</w:t>
      </w:r>
      <w:r w:rsidR="004A025B">
        <w:t>s</w:t>
      </w:r>
      <w:r>
        <w:t xml:space="preserve"> to the technical value of the error</w:t>
      </w:r>
      <w:r w:rsidR="008B529D">
        <w:t xml:space="preserve"> returned by the EUDR system</w:t>
      </w:r>
      <w:r>
        <w:t>.</w:t>
      </w:r>
    </w:p>
    <w:p w14:paraId="4834AD86" w14:textId="77777777" w:rsidR="004A025B" w:rsidRDefault="004A025B" w:rsidP="00C40BC6"/>
    <w:tbl>
      <w:tblPr>
        <w:tblStyle w:val="TableGrid"/>
        <w:tblW w:w="1148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112"/>
        <w:gridCol w:w="6379"/>
        <w:gridCol w:w="992"/>
      </w:tblGrid>
      <w:tr w:rsidR="00F43C63" w:rsidRPr="00515D4C" w14:paraId="615C6921" w14:textId="64033CB8" w:rsidTr="09E63413">
        <w:trPr>
          <w:cantSplit/>
          <w:tblHeader/>
        </w:trPr>
        <w:tc>
          <w:tcPr>
            <w:tcW w:w="4112" w:type="dxa"/>
            <w:shd w:val="clear" w:color="auto" w:fill="F2F2F2" w:themeFill="background1" w:themeFillShade="F2"/>
          </w:tcPr>
          <w:p w14:paraId="6EA398C7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b/>
                <w:bCs/>
              </w:rPr>
            </w:pPr>
            <w:r w:rsidRPr="00515D4C">
              <w:rPr>
                <w:rFonts w:eastAsiaTheme="minorEastAsia"/>
                <w:b/>
                <w:bCs/>
              </w:rPr>
              <w:t>Error Code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152902C8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b/>
                <w:bCs/>
              </w:rPr>
            </w:pPr>
            <w:r w:rsidRPr="00515D4C">
              <w:rPr>
                <w:rFonts w:eastAsiaTheme="minorEastAsia"/>
                <w:b/>
                <w:bCs/>
              </w:rPr>
              <w:t>Error Description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B3D560D" w14:textId="63563210" w:rsidR="00F43C63" w:rsidRPr="00515D4C" w:rsidRDefault="00EB1B2D" w:rsidP="00F43C63">
            <w:pPr>
              <w:ind w:left="33" w:hanging="33"/>
              <w:rPr>
                <w:b/>
                <w:bCs/>
              </w:rPr>
            </w:pPr>
            <w:r>
              <w:rPr>
                <w:b/>
                <w:bCs/>
              </w:rPr>
              <w:t xml:space="preserve">Service </w:t>
            </w:r>
            <w:r w:rsidR="00030820">
              <w:rPr>
                <w:b/>
                <w:bCs/>
              </w:rPr>
              <w:t>version</w:t>
            </w:r>
          </w:p>
        </w:tc>
      </w:tr>
      <w:tr w:rsidR="00F43C63" w:rsidRPr="00515D4C" w14:paraId="583D0537" w14:textId="3BC59E3F" w:rsidTr="09E63413">
        <w:trPr>
          <w:cantSplit/>
        </w:trPr>
        <w:tc>
          <w:tcPr>
            <w:tcW w:w="4112" w:type="dxa"/>
          </w:tcPr>
          <w:p w14:paraId="3139F2DA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EUDR_WEBSERVICE_USER_NOT_EUDR_OPERATOR</w:t>
            </w:r>
            <w:r w:rsidRPr="00515D4C">
              <w:rPr>
                <w:rFonts w:eastAsiaTheme="minorEastAsia"/>
                <w:lang w:val="en-IE"/>
              </w:rPr>
              <w:br/>
            </w:r>
          </w:p>
        </w:tc>
        <w:tc>
          <w:tcPr>
            <w:tcW w:w="6379" w:type="dxa"/>
          </w:tcPr>
          <w:p w14:paraId="17266333" w14:textId="0D82EEC6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user is not register in the EUDR domain</w:t>
            </w:r>
            <w:r>
              <w:rPr>
                <w:rFonts w:eastAsiaTheme="minorEastAsia"/>
              </w:rPr>
              <w:t xml:space="preserve"> as operator</w:t>
            </w:r>
            <w:r w:rsidRPr="00515D4C">
              <w:rPr>
                <w:rFonts w:eastAsiaTheme="minorEastAsia"/>
              </w:rPr>
              <w:t>.</w:t>
            </w:r>
          </w:p>
          <w:p w14:paraId="36B85260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b/>
                <w:bCs/>
              </w:rPr>
            </w:pPr>
            <w:r w:rsidRPr="00515D4C">
              <w:rPr>
                <w:rFonts w:eastAsiaTheme="minorEastAsia"/>
              </w:rPr>
              <w:t>(</w:t>
            </w:r>
            <w:r w:rsidRPr="00393A9C">
              <w:rPr>
                <w:rFonts w:eastAsiaTheme="minorEastAsia"/>
                <w:u w:val="single"/>
              </w:rPr>
              <w:t>Not needed to test for conformance</w:t>
            </w:r>
            <w:r w:rsidRPr="00515D4C">
              <w:rPr>
                <w:rFonts w:eastAsiaTheme="minorEastAsia"/>
              </w:rPr>
              <w:t>)</w:t>
            </w:r>
          </w:p>
        </w:tc>
        <w:tc>
          <w:tcPr>
            <w:tcW w:w="992" w:type="dxa"/>
          </w:tcPr>
          <w:p w14:paraId="27549B00" w14:textId="3204B133" w:rsidR="00F43C63" w:rsidRPr="00515D4C" w:rsidRDefault="00030820" w:rsidP="00515D4C">
            <w:r>
              <w:t>V1, V2</w:t>
            </w:r>
          </w:p>
        </w:tc>
      </w:tr>
      <w:tr w:rsidR="00F43C63" w:rsidRPr="00515D4C" w14:paraId="3E2E564B" w14:textId="69C12481" w:rsidTr="09E63413">
        <w:trPr>
          <w:cantSplit/>
        </w:trPr>
        <w:tc>
          <w:tcPr>
            <w:tcW w:w="4112" w:type="dxa"/>
          </w:tcPr>
          <w:p w14:paraId="37FDEEBD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EUDR_WEBSERVICE_USER_FROM_MANY_OPERATOR</w:t>
            </w:r>
          </w:p>
          <w:p w14:paraId="23BCA7BF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6379" w:type="dxa"/>
          </w:tcPr>
          <w:p w14:paraId="177C111F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user belongs to more than one operator.</w:t>
            </w:r>
          </w:p>
          <w:p w14:paraId="0DA997B9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(</w:t>
            </w:r>
            <w:r w:rsidRPr="00393A9C">
              <w:rPr>
                <w:rFonts w:eastAsiaTheme="minorEastAsia"/>
                <w:u w:val="single"/>
              </w:rPr>
              <w:t>Not needed to test for conformance</w:t>
            </w:r>
            <w:r w:rsidRPr="00515D4C">
              <w:rPr>
                <w:rFonts w:eastAsiaTheme="minorEastAsia"/>
              </w:rPr>
              <w:t>)</w:t>
            </w:r>
          </w:p>
        </w:tc>
        <w:tc>
          <w:tcPr>
            <w:tcW w:w="992" w:type="dxa"/>
          </w:tcPr>
          <w:p w14:paraId="31A2536A" w14:textId="0B6CF906" w:rsidR="00F43C63" w:rsidRPr="00515D4C" w:rsidRDefault="008C1861" w:rsidP="00515D4C">
            <w:r>
              <w:t>V1, V2</w:t>
            </w:r>
          </w:p>
        </w:tc>
      </w:tr>
      <w:tr w:rsidR="00F43C63" w:rsidRPr="00515D4C" w14:paraId="44D84A86" w14:textId="5C4B0655" w:rsidTr="09E63413">
        <w:trPr>
          <w:cantSplit/>
        </w:trPr>
        <w:tc>
          <w:tcPr>
            <w:tcW w:w="4112" w:type="dxa"/>
          </w:tcPr>
          <w:p w14:paraId="12B15D08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C14531">
              <w:rPr>
                <w:rFonts w:eastAsiaTheme="minorEastAsia"/>
              </w:rPr>
              <w:t>EUDR_WEBSERVICE_USER_ACTIVITY_NOT_ALLOWED</w:t>
            </w:r>
          </w:p>
          <w:p w14:paraId="394AB0F5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</w:p>
        </w:tc>
        <w:tc>
          <w:tcPr>
            <w:tcW w:w="6379" w:type="dxa"/>
          </w:tcPr>
          <w:p w14:paraId="01737190" w14:textId="0BB3B3B4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 xml:space="preserve">The user is </w:t>
            </w:r>
            <w:r>
              <w:rPr>
                <w:rFonts w:eastAsiaTheme="minorEastAsia"/>
              </w:rPr>
              <w:t>requesting</w:t>
            </w:r>
            <w:r w:rsidRPr="00515D4C">
              <w:rPr>
                <w:rFonts w:eastAsiaTheme="minorEastAsia"/>
              </w:rPr>
              <w:t xml:space="preserve"> to use an EUDR role that </w:t>
            </w:r>
            <w:r>
              <w:rPr>
                <w:rFonts w:eastAsiaTheme="minorEastAsia"/>
              </w:rPr>
              <w:t>is not valid for the operator profile.</w:t>
            </w:r>
          </w:p>
        </w:tc>
        <w:tc>
          <w:tcPr>
            <w:tcW w:w="992" w:type="dxa"/>
          </w:tcPr>
          <w:p w14:paraId="453ECB03" w14:textId="6E9A0729" w:rsidR="00F43C63" w:rsidRPr="00515D4C" w:rsidRDefault="008C1861" w:rsidP="00515D4C">
            <w:r>
              <w:t>V1, V2</w:t>
            </w:r>
          </w:p>
        </w:tc>
      </w:tr>
      <w:tr w:rsidR="00F43C63" w:rsidRPr="00515D4C" w14:paraId="490393FB" w14:textId="12C9243B" w:rsidTr="09E63413">
        <w:trPr>
          <w:cantSplit/>
        </w:trPr>
        <w:tc>
          <w:tcPr>
            <w:tcW w:w="4112" w:type="dxa"/>
          </w:tcPr>
          <w:p w14:paraId="38AFCCC6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EUDR_OPERATOR_EORI_FOR_ACTIVITY_MISSING</w:t>
            </w:r>
          </w:p>
        </w:tc>
        <w:tc>
          <w:tcPr>
            <w:tcW w:w="6379" w:type="dxa"/>
          </w:tcPr>
          <w:p w14:paraId="4B4FA1EB" w14:textId="473218AE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operator must have an</w:t>
            </w:r>
            <w:r>
              <w:rPr>
                <w:rFonts w:eastAsiaTheme="minorEastAsia"/>
              </w:rPr>
              <w:t xml:space="preserve"> EU</w:t>
            </w:r>
            <w:r w:rsidRPr="00515D4C">
              <w:rPr>
                <w:rFonts w:eastAsiaTheme="minorEastAsia"/>
              </w:rPr>
              <w:t xml:space="preserve"> EORI if the activity is IMPORT or EXPORT</w:t>
            </w:r>
          </w:p>
        </w:tc>
        <w:tc>
          <w:tcPr>
            <w:tcW w:w="992" w:type="dxa"/>
          </w:tcPr>
          <w:p w14:paraId="497F9BE9" w14:textId="2611A1A3" w:rsidR="00F43C63" w:rsidRPr="00515D4C" w:rsidRDefault="008C1861" w:rsidP="00515D4C">
            <w:r>
              <w:t>V1, V2</w:t>
            </w:r>
          </w:p>
        </w:tc>
      </w:tr>
      <w:tr w:rsidR="00F43C63" w:rsidRPr="00515D4C" w14:paraId="2003976A" w14:textId="5BEFD60A" w:rsidTr="09E63413">
        <w:trPr>
          <w:cantSplit/>
        </w:trPr>
        <w:tc>
          <w:tcPr>
            <w:tcW w:w="4112" w:type="dxa"/>
          </w:tcPr>
          <w:p w14:paraId="1A93EA33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EUDR_BEHALF_OPERATOR_NOT_PROVIDED</w:t>
            </w:r>
          </w:p>
        </w:tc>
        <w:tc>
          <w:tcPr>
            <w:tcW w:w="6379" w:type="dxa"/>
          </w:tcPr>
          <w:p w14:paraId="378C64CB" w14:textId="55C42DB1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For authorized representative role only:</w:t>
            </w:r>
            <w:r w:rsidRPr="00515D4C">
              <w:rPr>
                <w:rFonts w:eastAsiaTheme="minorEastAsia"/>
              </w:rPr>
              <w:br/>
              <w:t>The on-behalf-of</w:t>
            </w:r>
            <w:r>
              <w:rPr>
                <w:rFonts w:eastAsiaTheme="minorEastAsia"/>
              </w:rPr>
              <w:t xml:space="preserve"> (</w:t>
            </w:r>
            <w:r w:rsidRPr="0076115C">
              <w:rPr>
                <w:rFonts w:eastAsiaTheme="minorEastAsia"/>
                <w:i/>
                <w:iCs/>
              </w:rPr>
              <w:t>represented</w:t>
            </w:r>
            <w:r>
              <w:rPr>
                <w:rFonts w:eastAsiaTheme="minorEastAsia"/>
              </w:rPr>
              <w:t>)</w:t>
            </w:r>
            <w:r w:rsidRPr="00515D4C">
              <w:rPr>
                <w:rFonts w:eastAsiaTheme="minorEastAsia"/>
              </w:rPr>
              <w:t xml:space="preserve"> operator must be provided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92" w:type="dxa"/>
          </w:tcPr>
          <w:p w14:paraId="1AF3232A" w14:textId="0D72B9DE" w:rsidR="00F43C63" w:rsidRPr="00515D4C" w:rsidRDefault="008C1861" w:rsidP="00515D4C">
            <w:r>
              <w:t>V1, V2</w:t>
            </w:r>
          </w:p>
        </w:tc>
      </w:tr>
      <w:tr w:rsidR="0010217A" w:rsidRPr="00515D4C" w14:paraId="4F34552C" w14:textId="77777777" w:rsidTr="09E63413">
        <w:trPr>
          <w:cantSplit/>
        </w:trPr>
        <w:tc>
          <w:tcPr>
            <w:tcW w:w="4112" w:type="dxa"/>
          </w:tcPr>
          <w:p w14:paraId="754EA8E3" w14:textId="2BB3FED7" w:rsidR="0010217A" w:rsidRPr="00515D4C" w:rsidRDefault="0010217A" w:rsidP="00515D4C">
            <w:pPr>
              <w:rPr>
                <w:lang w:val="en-IE"/>
              </w:rPr>
            </w:pPr>
            <w:r w:rsidRPr="0010217A">
              <w:rPr>
                <w:lang w:val="en-IE"/>
              </w:rPr>
              <w:t>EUDR_BEHALF_OPERATOR_CITY_POSTALCODE_EMPTY_OR_INVALID</w:t>
            </w:r>
          </w:p>
        </w:tc>
        <w:tc>
          <w:tcPr>
            <w:tcW w:w="6379" w:type="dxa"/>
          </w:tcPr>
          <w:p w14:paraId="65B2064C" w14:textId="7FEC7BB3" w:rsidR="0010217A" w:rsidRPr="00515D4C" w:rsidRDefault="0010217A" w:rsidP="00515D4C">
            <w:r w:rsidRPr="00515D4C">
              <w:rPr>
                <w:rFonts w:eastAsiaTheme="minorEastAsia"/>
              </w:rPr>
              <w:t>For authorized representative role only:</w:t>
            </w:r>
            <w:r w:rsidRPr="00515D4C">
              <w:rPr>
                <w:rFonts w:eastAsiaTheme="minorEastAsia"/>
              </w:rPr>
              <w:br/>
              <w:t xml:space="preserve">The </w:t>
            </w:r>
            <w:r>
              <w:rPr>
                <w:rFonts w:eastAsiaTheme="minorEastAsia"/>
              </w:rPr>
              <w:t xml:space="preserve">city and postal code of the </w:t>
            </w:r>
            <w:r w:rsidRPr="00515D4C">
              <w:rPr>
                <w:rFonts w:eastAsiaTheme="minorEastAsia"/>
              </w:rPr>
              <w:t>on-behalf-of</w:t>
            </w:r>
            <w:r>
              <w:rPr>
                <w:rFonts w:eastAsiaTheme="minorEastAsia"/>
              </w:rPr>
              <w:t xml:space="preserve"> (</w:t>
            </w:r>
            <w:r w:rsidRPr="0076115C">
              <w:rPr>
                <w:rFonts w:eastAsiaTheme="minorEastAsia"/>
                <w:i/>
                <w:iCs/>
              </w:rPr>
              <w:t>represented</w:t>
            </w:r>
            <w:r>
              <w:rPr>
                <w:rFonts w:eastAsiaTheme="minorEastAsia"/>
              </w:rPr>
              <w:t>)</w:t>
            </w:r>
            <w:r w:rsidRPr="00515D4C">
              <w:rPr>
                <w:rFonts w:eastAsiaTheme="minorEastAsia"/>
              </w:rPr>
              <w:t xml:space="preserve"> operator must be provided</w:t>
            </w:r>
            <w:r w:rsidR="00CA7B19">
              <w:rPr>
                <w:rFonts w:eastAsiaTheme="minorEastAsia"/>
              </w:rPr>
              <w:t xml:space="preserve"> and valid.</w:t>
            </w:r>
          </w:p>
        </w:tc>
        <w:tc>
          <w:tcPr>
            <w:tcW w:w="992" w:type="dxa"/>
          </w:tcPr>
          <w:p w14:paraId="79A878EF" w14:textId="303DCD74" w:rsidR="0010217A" w:rsidRDefault="00CA7B19" w:rsidP="00515D4C">
            <w:r>
              <w:t>V2</w:t>
            </w:r>
          </w:p>
        </w:tc>
      </w:tr>
      <w:tr w:rsidR="00F43C63" w:rsidRPr="00515D4C" w14:paraId="1A8B236B" w14:textId="4E7F18AB" w:rsidTr="09E63413">
        <w:trPr>
          <w:cantSplit/>
        </w:trPr>
        <w:tc>
          <w:tcPr>
            <w:tcW w:w="4112" w:type="dxa"/>
          </w:tcPr>
          <w:p w14:paraId="0397A676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C14531">
              <w:rPr>
                <w:rFonts w:eastAsiaTheme="minorEastAsia"/>
              </w:rPr>
              <w:lastRenderedPageBreak/>
              <w:t>EUDR_ACTIVITY_TYPE_NOT_COMPATIBLE</w:t>
            </w:r>
          </w:p>
        </w:tc>
        <w:tc>
          <w:tcPr>
            <w:tcW w:w="6379" w:type="dxa"/>
          </w:tcPr>
          <w:p w14:paraId="6BD9B895" w14:textId="5BD9F241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selected activity is not allowed for the operator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92" w:type="dxa"/>
          </w:tcPr>
          <w:p w14:paraId="7CE244EA" w14:textId="0551305A" w:rsidR="00F43C63" w:rsidRPr="00515D4C" w:rsidRDefault="008C1861" w:rsidP="00515D4C">
            <w:r>
              <w:t>V1, V2</w:t>
            </w:r>
          </w:p>
        </w:tc>
      </w:tr>
      <w:tr w:rsidR="00F43C63" w:rsidRPr="00515D4C" w14:paraId="131D3922" w14:textId="75D08893" w:rsidTr="09E63413">
        <w:trPr>
          <w:cantSplit/>
        </w:trPr>
        <w:tc>
          <w:tcPr>
            <w:tcW w:w="4112" w:type="dxa"/>
          </w:tcPr>
          <w:p w14:paraId="66DA79F0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EUDR_COMMODITIES_HS_CODE_INVALID</w:t>
            </w:r>
          </w:p>
        </w:tc>
        <w:tc>
          <w:tcPr>
            <w:tcW w:w="6379" w:type="dxa"/>
          </w:tcPr>
          <w:p w14:paraId="6684E39F" w14:textId="71C3A3E6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The HS-Code of a commodity is invalid</w:t>
            </w:r>
            <w:r>
              <w:rPr>
                <w:rStyle w:val="FootnoteReference"/>
                <w:rFonts w:eastAsiaTheme="minorEastAsia"/>
              </w:rPr>
              <w:footnoteReference w:id="2"/>
            </w:r>
            <w:r w:rsidRPr="00515D4C">
              <w:rPr>
                <w:rFonts w:eastAsiaTheme="minorEastAsia"/>
              </w:rPr>
              <w:t xml:space="preserve"> </w:t>
            </w:r>
          </w:p>
        </w:tc>
        <w:tc>
          <w:tcPr>
            <w:tcW w:w="992" w:type="dxa"/>
          </w:tcPr>
          <w:p w14:paraId="5C1454EE" w14:textId="16B890BD" w:rsidR="00F43C63" w:rsidRPr="00515D4C" w:rsidRDefault="008C1861" w:rsidP="00515D4C">
            <w:r>
              <w:t>V1, V2</w:t>
            </w:r>
          </w:p>
        </w:tc>
      </w:tr>
      <w:tr w:rsidR="00F43C63" w:rsidRPr="00515D4C" w14:paraId="64F31A2A" w14:textId="32AC6356" w:rsidTr="09E63413">
        <w:trPr>
          <w:cantSplit/>
        </w:trPr>
        <w:tc>
          <w:tcPr>
            <w:tcW w:w="4112" w:type="dxa"/>
          </w:tcPr>
          <w:p w14:paraId="6325962E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EUDR_COMMODITIES_DESCRIPTOR_NET_MASS_EMPTY</w:t>
            </w:r>
          </w:p>
        </w:tc>
        <w:tc>
          <w:tcPr>
            <w:tcW w:w="6379" w:type="dxa"/>
            <w:vAlign w:val="bottom"/>
          </w:tcPr>
          <w:p w14:paraId="33FF51D5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Net Mass is mandatory for IMPORT or EXPORT activity.</w:t>
            </w:r>
          </w:p>
        </w:tc>
        <w:tc>
          <w:tcPr>
            <w:tcW w:w="992" w:type="dxa"/>
          </w:tcPr>
          <w:p w14:paraId="1A6B9A15" w14:textId="4195644C" w:rsidR="00F43C63" w:rsidRPr="00515D4C" w:rsidRDefault="008C1861" w:rsidP="00515D4C">
            <w:r>
              <w:t>V1, V2</w:t>
            </w:r>
          </w:p>
        </w:tc>
      </w:tr>
      <w:tr w:rsidR="00F43C63" w:rsidRPr="00515D4C" w14:paraId="2FA0659B" w14:textId="6FD671A6" w:rsidTr="09E63413">
        <w:trPr>
          <w:cantSplit/>
        </w:trPr>
        <w:tc>
          <w:tcPr>
            <w:tcW w:w="4112" w:type="dxa"/>
          </w:tcPr>
          <w:p w14:paraId="5D3FA987" w14:textId="77777777" w:rsidR="00F43C63" w:rsidRPr="00E14F35" w:rsidRDefault="00F43C63" w:rsidP="00515D4C">
            <w:pPr>
              <w:spacing w:after="160" w:line="259" w:lineRule="auto"/>
              <w:rPr>
                <w:rFonts w:eastAsiaTheme="minorEastAsia"/>
                <w:lang w:val="fr-BE"/>
              </w:rPr>
            </w:pPr>
            <w:r w:rsidRPr="00E14F35">
              <w:rPr>
                <w:rFonts w:eastAsiaTheme="minorEastAsia"/>
                <w:lang w:val="fr-BE"/>
              </w:rPr>
              <w:t>EUDR_COMMODITIES_DESCRIPTOR_QUANTITY_MISSING</w:t>
            </w:r>
          </w:p>
        </w:tc>
        <w:tc>
          <w:tcPr>
            <w:tcW w:w="6379" w:type="dxa"/>
            <w:vAlign w:val="bottom"/>
          </w:tcPr>
          <w:p w14:paraId="6E578BF0" w14:textId="77777777" w:rsidR="00F43C63" w:rsidRPr="00E14F35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E14F35">
              <w:rPr>
                <w:rFonts w:eastAsiaTheme="minorEastAsia"/>
              </w:rPr>
              <w:t>At least one unit of measure quantity must be provided.</w:t>
            </w:r>
          </w:p>
        </w:tc>
        <w:tc>
          <w:tcPr>
            <w:tcW w:w="992" w:type="dxa"/>
          </w:tcPr>
          <w:p w14:paraId="10D2D9CE" w14:textId="1E1DCC76" w:rsidR="00F43C63" w:rsidRPr="00515D4C" w:rsidRDefault="008C1861" w:rsidP="00515D4C">
            <w:r w:rsidRPr="00E14F35">
              <w:t>V1, V2</w:t>
            </w:r>
          </w:p>
        </w:tc>
      </w:tr>
      <w:tr w:rsidR="5D6EEA6A" w14:paraId="72594276" w14:textId="77777777" w:rsidTr="09E63413">
        <w:trPr>
          <w:cantSplit/>
          <w:trHeight w:val="300"/>
        </w:trPr>
        <w:tc>
          <w:tcPr>
            <w:tcW w:w="4112" w:type="dxa"/>
          </w:tcPr>
          <w:p w14:paraId="75AB03E6" w14:textId="614A9A06" w:rsidR="347A7C2F" w:rsidRPr="00E14F35" w:rsidRDefault="347A7C2F">
            <w:r w:rsidRPr="00E14F35">
              <w:rPr>
                <w:rFonts w:ascii="Calibri" w:eastAsia="Calibri" w:hAnsi="Calibri" w:cs="Calibri"/>
                <w:lang w:val="en-IE"/>
              </w:rPr>
              <w:t>EUDR_COMMODITIES_DESCRIPTOR_SUPPLEMENTARY_UNIT_NOT_ALLOWED</w:t>
            </w:r>
          </w:p>
        </w:tc>
        <w:tc>
          <w:tcPr>
            <w:tcW w:w="6379" w:type="dxa"/>
            <w:vAlign w:val="bottom"/>
          </w:tcPr>
          <w:p w14:paraId="0C3D9741" w14:textId="07E28F08" w:rsidR="2E1DB8E6" w:rsidRPr="00E14F35" w:rsidRDefault="2E1DB8E6" w:rsidP="5D6EEA6A">
            <w:r w:rsidRPr="00E14F35">
              <w:t>Supplementary Unit not a</w:t>
            </w:r>
            <w:r w:rsidR="08FDC91A" w:rsidRPr="00E14F35">
              <w:t>llowed</w:t>
            </w:r>
            <w:r w:rsidR="001D172E" w:rsidRPr="00E14F35">
              <w:t xml:space="preserve"> f</w:t>
            </w:r>
            <w:r w:rsidR="08FDC91A" w:rsidRPr="00E14F35">
              <w:t xml:space="preserve">or import and export where the supplementary unit is not </w:t>
            </w:r>
            <w:r w:rsidR="5B2AA199" w:rsidRPr="00E14F35">
              <w:t>applicable</w:t>
            </w:r>
          </w:p>
        </w:tc>
        <w:tc>
          <w:tcPr>
            <w:tcW w:w="992" w:type="dxa"/>
          </w:tcPr>
          <w:p w14:paraId="4CAED448" w14:textId="0BA2923A" w:rsidR="08FDC91A" w:rsidRDefault="08FDC91A" w:rsidP="5D6EEA6A">
            <w:r>
              <w:t>V2</w:t>
            </w:r>
          </w:p>
        </w:tc>
      </w:tr>
      <w:tr w:rsidR="006F714F" w:rsidRPr="00515D4C" w14:paraId="4C5AE4A3" w14:textId="77777777" w:rsidTr="09E63413">
        <w:trPr>
          <w:cantSplit/>
        </w:trPr>
        <w:tc>
          <w:tcPr>
            <w:tcW w:w="4112" w:type="dxa"/>
          </w:tcPr>
          <w:p w14:paraId="40AE0CFC" w14:textId="7BFD09FA" w:rsidR="006F714F" w:rsidRPr="00E14F35" w:rsidRDefault="1C48CE39" w:rsidP="00515D4C">
            <w:pPr>
              <w:rPr>
                <w:lang w:val="fr-BE"/>
              </w:rPr>
            </w:pPr>
            <w:r w:rsidRPr="00E14F35">
              <w:rPr>
                <w:lang w:val="fr-BE"/>
              </w:rPr>
              <w:t>EUDR_COMMODITIES_DESCRIPTOR_SUPPLEMENTARY_UNIT_QUALIFIER_INVALID</w:t>
            </w:r>
          </w:p>
        </w:tc>
        <w:tc>
          <w:tcPr>
            <w:tcW w:w="6379" w:type="dxa"/>
            <w:vAlign w:val="bottom"/>
          </w:tcPr>
          <w:p w14:paraId="694998C2" w14:textId="62BCA5EF" w:rsidR="006F714F" w:rsidRPr="00E14F35" w:rsidRDefault="2D6926D9" w:rsidP="5D6EEA6A">
            <w:r w:rsidRPr="00E14F35">
              <w:t>Invalid Supplementary Unit type</w:t>
            </w:r>
          </w:p>
          <w:p w14:paraId="7034FABB" w14:textId="4783B72A" w:rsidR="00501DD5" w:rsidRPr="00E14F35" w:rsidRDefault="00501DD5" w:rsidP="00515D4C"/>
        </w:tc>
        <w:tc>
          <w:tcPr>
            <w:tcW w:w="992" w:type="dxa"/>
          </w:tcPr>
          <w:p w14:paraId="3B83DA4F" w14:textId="643F0FB1" w:rsidR="006F714F" w:rsidRDefault="33B46C16" w:rsidP="00515D4C">
            <w:r>
              <w:t xml:space="preserve">V1, </w:t>
            </w:r>
            <w:r w:rsidR="00437CE6">
              <w:t>V2</w:t>
            </w:r>
          </w:p>
        </w:tc>
      </w:tr>
      <w:tr w:rsidR="5D6EEA6A" w14:paraId="0B17FE1E" w14:textId="77777777" w:rsidTr="09E63413">
        <w:trPr>
          <w:cantSplit/>
          <w:trHeight w:val="300"/>
        </w:trPr>
        <w:tc>
          <w:tcPr>
            <w:tcW w:w="4112" w:type="dxa"/>
          </w:tcPr>
          <w:p w14:paraId="01AEB886" w14:textId="15ABED91" w:rsidR="5D6EEA6A" w:rsidRPr="00E14F35" w:rsidRDefault="2F039BF1" w:rsidP="09E63413">
            <w:pPr>
              <w:rPr>
                <w:lang w:val="fr-BE"/>
              </w:rPr>
            </w:pPr>
            <w:r w:rsidRPr="00E14F35">
              <w:rPr>
                <w:lang w:val="fr-BE"/>
              </w:rPr>
              <w:t>EUDR_COMMODITIES_DESCRIPTOR_SUPPLEMENTARY_UNIT_QUALIFIER_NOT_COMPATIBLE</w:t>
            </w:r>
          </w:p>
        </w:tc>
        <w:tc>
          <w:tcPr>
            <w:tcW w:w="6379" w:type="dxa"/>
            <w:vAlign w:val="bottom"/>
          </w:tcPr>
          <w:p w14:paraId="59B5AA71" w14:textId="230E0195" w:rsidR="4727C963" w:rsidRPr="00E14F35" w:rsidRDefault="4727C963" w:rsidP="5D6EEA6A">
            <w:r w:rsidRPr="00E14F35">
              <w:t xml:space="preserve">Supplementary Unit type </w:t>
            </w:r>
            <w:r w:rsidR="685A554C" w:rsidRPr="00E14F35">
              <w:t>not applicable</w:t>
            </w:r>
          </w:p>
        </w:tc>
        <w:tc>
          <w:tcPr>
            <w:tcW w:w="992" w:type="dxa"/>
          </w:tcPr>
          <w:p w14:paraId="7A0C8187" w14:textId="6507D026" w:rsidR="5D6EEA6A" w:rsidRDefault="40492DB0" w:rsidP="5D6EEA6A">
            <w:r>
              <w:t>V2</w:t>
            </w:r>
          </w:p>
        </w:tc>
      </w:tr>
      <w:tr w:rsidR="00FF5ABC" w:rsidRPr="00515D4C" w14:paraId="506CB950" w14:textId="77777777" w:rsidTr="09E63413">
        <w:trPr>
          <w:cantSplit/>
        </w:trPr>
        <w:tc>
          <w:tcPr>
            <w:tcW w:w="4112" w:type="dxa"/>
          </w:tcPr>
          <w:p w14:paraId="4DE23AFB" w14:textId="774E02BC" w:rsidR="00FF5ABC" w:rsidRPr="00E14F35" w:rsidRDefault="7E3B59BB" w:rsidP="00515D4C">
            <w:r w:rsidRPr="00E14F35">
              <w:rPr>
                <w:rFonts w:ascii="Calibri" w:eastAsia="Calibri" w:hAnsi="Calibri" w:cs="Calibri"/>
                <w:lang w:val="en-IE"/>
              </w:rPr>
              <w:t>EUDR_COMMODITIES_DESCRIPTOR_SUPPLEMENTARY_UNIT_NOT_ALLOWED</w:t>
            </w:r>
          </w:p>
        </w:tc>
        <w:tc>
          <w:tcPr>
            <w:tcW w:w="6379" w:type="dxa"/>
            <w:vAlign w:val="bottom"/>
          </w:tcPr>
          <w:p w14:paraId="31A4752D" w14:textId="77777777" w:rsidR="002031FE" w:rsidRPr="00E14F35" w:rsidRDefault="00FF5ABC" w:rsidP="00515D4C">
            <w:r w:rsidRPr="00E14F35">
              <w:t>Invalid Unit of Measure combination</w:t>
            </w:r>
          </w:p>
          <w:p w14:paraId="7AFD9FDF" w14:textId="0D300D47" w:rsidR="00FF5ABC" w:rsidRPr="00E14F35" w:rsidRDefault="00BB1AD1" w:rsidP="00515D4C">
            <w:r w:rsidRPr="00E14F35">
              <w:t>Percentage estimate or deviation cannot be used without a Net Mass value</w:t>
            </w:r>
          </w:p>
        </w:tc>
        <w:tc>
          <w:tcPr>
            <w:tcW w:w="992" w:type="dxa"/>
          </w:tcPr>
          <w:p w14:paraId="6EEB3568" w14:textId="496B5B77" w:rsidR="00FF5ABC" w:rsidRDefault="00FF5ABC" w:rsidP="00515D4C">
            <w:r>
              <w:t>V2</w:t>
            </w:r>
          </w:p>
        </w:tc>
      </w:tr>
      <w:tr w:rsidR="009F380F" w:rsidRPr="00515D4C" w14:paraId="0B3D9181" w14:textId="77777777" w:rsidTr="09E63413">
        <w:trPr>
          <w:cantSplit/>
        </w:trPr>
        <w:tc>
          <w:tcPr>
            <w:tcW w:w="4112" w:type="dxa"/>
          </w:tcPr>
          <w:p w14:paraId="6C62DB6E" w14:textId="484E705D" w:rsidR="009F380F" w:rsidRPr="00E14F35" w:rsidRDefault="4E17A0C4" w:rsidP="00515D4C">
            <w:pPr>
              <w:rPr>
                <w:lang w:val="fr-BE"/>
              </w:rPr>
            </w:pPr>
            <w:r w:rsidRPr="00E14F35">
              <w:rPr>
                <w:lang w:val="fr-BE"/>
              </w:rPr>
              <w:t>EUDR_COMMODITIES_DESCRIPTOR_PERCENTAGE_ESTIMATION_MISSING</w:t>
            </w:r>
          </w:p>
        </w:tc>
        <w:tc>
          <w:tcPr>
            <w:tcW w:w="6379" w:type="dxa"/>
            <w:vAlign w:val="bottom"/>
          </w:tcPr>
          <w:p w14:paraId="3BEF44FF" w14:textId="77777777" w:rsidR="009F380F" w:rsidRPr="00E14F35" w:rsidRDefault="009F380F" w:rsidP="009F380F">
            <w:pPr>
              <w:rPr>
                <w:lang w:val="en-IE"/>
              </w:rPr>
            </w:pPr>
            <w:r w:rsidRPr="00E14F35">
              <w:rPr>
                <w:lang w:val="en-IE"/>
              </w:rPr>
              <w:t>Missing Percentage estimate or deviation</w:t>
            </w:r>
          </w:p>
          <w:p w14:paraId="2788F49D" w14:textId="7BD53189" w:rsidR="009F380F" w:rsidRPr="00E14F35" w:rsidRDefault="009F380F" w:rsidP="00515D4C">
            <w:pPr>
              <w:rPr>
                <w:lang w:val="en-IE"/>
              </w:rPr>
            </w:pPr>
            <w:r w:rsidRPr="00E14F35">
              <w:rPr>
                <w:lang w:val="en-IE"/>
              </w:rPr>
              <w:t>Net Mass Percentage estimate or deviation is mandatory for Domestic or Trade activities</w:t>
            </w:r>
          </w:p>
        </w:tc>
        <w:tc>
          <w:tcPr>
            <w:tcW w:w="992" w:type="dxa"/>
          </w:tcPr>
          <w:p w14:paraId="4C1CE302" w14:textId="6198EB6A" w:rsidR="009F380F" w:rsidRDefault="00F05A5E" w:rsidP="00515D4C">
            <w:r>
              <w:t>V2</w:t>
            </w:r>
          </w:p>
        </w:tc>
      </w:tr>
      <w:tr w:rsidR="0011731B" w:rsidRPr="00515D4C" w14:paraId="5BA22E47" w14:textId="77777777" w:rsidTr="09E63413">
        <w:trPr>
          <w:cantSplit/>
        </w:trPr>
        <w:tc>
          <w:tcPr>
            <w:tcW w:w="4112" w:type="dxa"/>
          </w:tcPr>
          <w:p w14:paraId="47EDE23C" w14:textId="330108AA" w:rsidR="0011731B" w:rsidRPr="00E14F35" w:rsidRDefault="649C4192" w:rsidP="00515D4C">
            <w:pPr>
              <w:rPr>
                <w:lang w:val="en-IE"/>
              </w:rPr>
            </w:pPr>
            <w:r w:rsidRPr="00E14F35">
              <w:rPr>
                <w:lang w:val="en-IE"/>
              </w:rPr>
              <w:t>EUDR_COMMODITIES_DESCRIPTOR_PERCENTAGE_ESTIMATION_NOT_ALLOWED</w:t>
            </w:r>
          </w:p>
        </w:tc>
        <w:tc>
          <w:tcPr>
            <w:tcW w:w="6379" w:type="dxa"/>
            <w:vAlign w:val="bottom"/>
          </w:tcPr>
          <w:p w14:paraId="0C0CFA42" w14:textId="2CC13125" w:rsidR="0011731B" w:rsidRPr="00E14F35" w:rsidRDefault="0011731B" w:rsidP="009F380F">
            <w:pPr>
              <w:rPr>
                <w:lang w:val="en-IE"/>
              </w:rPr>
            </w:pPr>
            <w:r w:rsidRPr="00E14F35">
              <w:rPr>
                <w:lang w:val="en-IE"/>
              </w:rPr>
              <w:t xml:space="preserve">Percentage estimate or deviation not allowed for Import/Export </w:t>
            </w:r>
          </w:p>
        </w:tc>
        <w:tc>
          <w:tcPr>
            <w:tcW w:w="992" w:type="dxa"/>
          </w:tcPr>
          <w:p w14:paraId="68E95D03" w14:textId="054984EE" w:rsidR="0011731B" w:rsidRDefault="0011731B" w:rsidP="00515D4C">
            <w:r>
              <w:t>V2</w:t>
            </w:r>
          </w:p>
        </w:tc>
      </w:tr>
      <w:tr w:rsidR="005312B9" w:rsidRPr="00515D4C" w14:paraId="64F132F3" w14:textId="77777777" w:rsidTr="09E63413">
        <w:trPr>
          <w:cantSplit/>
        </w:trPr>
        <w:tc>
          <w:tcPr>
            <w:tcW w:w="4112" w:type="dxa"/>
          </w:tcPr>
          <w:p w14:paraId="76358855" w14:textId="014140B0" w:rsidR="005312B9" w:rsidRPr="00E14F35" w:rsidRDefault="34F1DEE2" w:rsidP="00515D4C">
            <w:pPr>
              <w:rPr>
                <w:lang w:val="en-IE"/>
              </w:rPr>
            </w:pPr>
            <w:r w:rsidRPr="00E14F35">
              <w:rPr>
                <w:lang w:val="en-IE"/>
              </w:rPr>
              <w:t>EUDR_COMMODITIES_DESCRIPTOR_SUPPLEMENTARY_UNIT_MISSING</w:t>
            </w:r>
          </w:p>
        </w:tc>
        <w:tc>
          <w:tcPr>
            <w:tcW w:w="6379" w:type="dxa"/>
            <w:vAlign w:val="bottom"/>
          </w:tcPr>
          <w:p w14:paraId="1FE453AE" w14:textId="77777777" w:rsidR="005312B9" w:rsidRPr="00E14F35" w:rsidRDefault="005312B9" w:rsidP="00C61628">
            <w:pPr>
              <w:rPr>
                <w:lang w:val="en-IE"/>
              </w:rPr>
            </w:pPr>
            <w:r w:rsidRPr="00E14F35">
              <w:rPr>
                <w:lang w:val="en-IE"/>
              </w:rPr>
              <w:t>Missing Supplementary unit value</w:t>
            </w:r>
          </w:p>
          <w:p w14:paraId="7EBC0CA7" w14:textId="248CADCE" w:rsidR="005312B9" w:rsidRPr="00E14F35" w:rsidRDefault="70395A15" w:rsidP="5D6EEA6A">
            <w:pPr>
              <w:rPr>
                <w:lang w:val="en-IE"/>
              </w:rPr>
            </w:pPr>
            <w:r w:rsidRPr="00E14F35">
              <w:rPr>
                <w:lang w:val="en-IE"/>
              </w:rPr>
              <w:t>Supplementary unit value required for supplementary unit type</w:t>
            </w:r>
          </w:p>
        </w:tc>
        <w:tc>
          <w:tcPr>
            <w:tcW w:w="992" w:type="dxa"/>
          </w:tcPr>
          <w:p w14:paraId="0F3E528A" w14:textId="7C83DF8E" w:rsidR="005312B9" w:rsidRDefault="20DF5814" w:rsidP="00515D4C">
            <w:r>
              <w:t xml:space="preserve">V1, </w:t>
            </w:r>
            <w:r w:rsidR="7007F8F0">
              <w:t>V2</w:t>
            </w:r>
          </w:p>
        </w:tc>
      </w:tr>
      <w:tr w:rsidR="00DF370A" w:rsidRPr="00515D4C" w14:paraId="3FE3112B" w14:textId="77777777" w:rsidTr="09E63413">
        <w:trPr>
          <w:cantSplit/>
        </w:trPr>
        <w:tc>
          <w:tcPr>
            <w:tcW w:w="4112" w:type="dxa"/>
          </w:tcPr>
          <w:p w14:paraId="16A1CC54" w14:textId="633BADD3" w:rsidR="00DF370A" w:rsidRPr="00E14F35" w:rsidRDefault="1060A0D1" w:rsidP="00515D4C">
            <w:pPr>
              <w:rPr>
                <w:lang w:val="fr-BE"/>
              </w:rPr>
            </w:pPr>
            <w:r w:rsidRPr="00E14F35">
              <w:rPr>
                <w:lang w:val="fr-BE"/>
              </w:rPr>
              <w:t>EUDR_COMMODITIES_DESCRIPTOR_SUPPLEMENTARY_UNIT_QUALIFIER_MISSING</w:t>
            </w:r>
          </w:p>
        </w:tc>
        <w:tc>
          <w:tcPr>
            <w:tcW w:w="6379" w:type="dxa"/>
            <w:vAlign w:val="bottom"/>
          </w:tcPr>
          <w:p w14:paraId="748C1E76" w14:textId="77777777" w:rsidR="00DF370A" w:rsidRPr="00E14F35" w:rsidRDefault="00DF370A" w:rsidP="00DF370A">
            <w:pPr>
              <w:rPr>
                <w:lang w:val="en-IE"/>
              </w:rPr>
            </w:pPr>
            <w:r w:rsidRPr="00E14F35">
              <w:rPr>
                <w:lang w:val="en-IE"/>
              </w:rPr>
              <w:t>Missing supplementary unit type</w:t>
            </w:r>
          </w:p>
          <w:p w14:paraId="58286E4F" w14:textId="6C7D69BC" w:rsidR="00DF370A" w:rsidRPr="00E14F35" w:rsidRDefault="00DF370A" w:rsidP="00DF370A">
            <w:pPr>
              <w:rPr>
                <w:lang w:val="en-IE"/>
              </w:rPr>
            </w:pPr>
            <w:r w:rsidRPr="00E14F35">
              <w:rPr>
                <w:lang w:val="en-IE"/>
              </w:rPr>
              <w:t>Supplementary unit type required for supplementary unit value</w:t>
            </w:r>
          </w:p>
        </w:tc>
        <w:tc>
          <w:tcPr>
            <w:tcW w:w="992" w:type="dxa"/>
          </w:tcPr>
          <w:p w14:paraId="221CA498" w14:textId="495FE76A" w:rsidR="00DF370A" w:rsidRDefault="718F7F72" w:rsidP="00515D4C">
            <w:r>
              <w:t xml:space="preserve">V1, </w:t>
            </w:r>
            <w:r w:rsidR="323E60C8">
              <w:t>V2</w:t>
            </w:r>
          </w:p>
        </w:tc>
      </w:tr>
      <w:tr w:rsidR="006946D9" w:rsidRPr="00515D4C" w14:paraId="308A672A" w14:textId="77777777" w:rsidTr="09E63413">
        <w:trPr>
          <w:cantSplit/>
        </w:trPr>
        <w:tc>
          <w:tcPr>
            <w:tcW w:w="4112" w:type="dxa"/>
          </w:tcPr>
          <w:p w14:paraId="52E73228" w14:textId="4B777069" w:rsidR="006946D9" w:rsidRPr="00E14F35" w:rsidRDefault="44584FEB" w:rsidP="5D6EEA6A">
            <w:pPr>
              <w:rPr>
                <w:lang w:val="fr-BE"/>
              </w:rPr>
            </w:pPr>
            <w:r w:rsidRPr="00E14F35">
              <w:rPr>
                <w:lang w:val="fr-BE"/>
              </w:rPr>
              <w:t>EUDR_COMMODITIES_DESCRIPTOR_PERCENTAGE_ESTIMATION_INVALID</w:t>
            </w:r>
          </w:p>
        </w:tc>
        <w:tc>
          <w:tcPr>
            <w:tcW w:w="6379" w:type="dxa"/>
            <w:vAlign w:val="bottom"/>
          </w:tcPr>
          <w:p w14:paraId="0A7C1674" w14:textId="69CCBE3B" w:rsidR="007B25D2" w:rsidRPr="00E14F35" w:rsidRDefault="7CBC108B" w:rsidP="5D6EEA6A">
            <w:pPr>
              <w:rPr>
                <w:lang w:val="en-IE"/>
              </w:rPr>
            </w:pPr>
            <w:r w:rsidRPr="00E14F35">
              <w:rPr>
                <w:lang w:val="en-IE"/>
              </w:rPr>
              <w:t>Percentage estimate or deviation lower than 0 or higher than 50</w:t>
            </w:r>
          </w:p>
        </w:tc>
        <w:tc>
          <w:tcPr>
            <w:tcW w:w="992" w:type="dxa"/>
          </w:tcPr>
          <w:p w14:paraId="55762586" w14:textId="3A5D6D6A" w:rsidR="006946D9" w:rsidRDefault="007B25D2" w:rsidP="00515D4C">
            <w:r>
              <w:t>V2</w:t>
            </w:r>
          </w:p>
        </w:tc>
      </w:tr>
      <w:tr w:rsidR="00F43C63" w:rsidRPr="00515D4C" w14:paraId="70B9E806" w14:textId="6A9909CF" w:rsidTr="09E63413">
        <w:trPr>
          <w:cantSplit/>
        </w:trPr>
        <w:tc>
          <w:tcPr>
            <w:tcW w:w="4112" w:type="dxa"/>
          </w:tcPr>
          <w:p w14:paraId="3766C90B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</w:rPr>
              <w:t>EUDR_COMMODITITY_PRODUCER_COUNTRY_CODE_INVALID</w:t>
            </w:r>
          </w:p>
        </w:tc>
        <w:tc>
          <w:tcPr>
            <w:tcW w:w="6379" w:type="dxa"/>
            <w:vAlign w:val="bottom"/>
          </w:tcPr>
          <w:p w14:paraId="7D3B8DC0" w14:textId="503F083A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 xml:space="preserve">ISO 2 </w:t>
            </w:r>
            <w:r w:rsidRPr="00515D4C">
              <w:rPr>
                <w:rFonts w:eastAsiaTheme="minorEastAsia"/>
              </w:rPr>
              <w:t>country code provided for the producer is invalid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92" w:type="dxa"/>
          </w:tcPr>
          <w:p w14:paraId="0C1A41CA" w14:textId="71C632B0" w:rsidR="00F43C63" w:rsidRPr="00515D4C" w:rsidRDefault="008C1861" w:rsidP="00515D4C">
            <w:r>
              <w:t>V1, V2</w:t>
            </w:r>
          </w:p>
        </w:tc>
      </w:tr>
      <w:tr w:rsidR="00F43C63" w:rsidRPr="00515D4C" w14:paraId="692B4214" w14:textId="486E204B" w:rsidTr="09E63413">
        <w:trPr>
          <w:cantSplit/>
        </w:trPr>
        <w:tc>
          <w:tcPr>
            <w:tcW w:w="4112" w:type="dxa"/>
          </w:tcPr>
          <w:p w14:paraId="27070FF7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EUDR_COMMODITIES_PRODUCER_GEO_EMPTY</w:t>
            </w:r>
          </w:p>
        </w:tc>
        <w:tc>
          <w:tcPr>
            <w:tcW w:w="6379" w:type="dxa"/>
          </w:tcPr>
          <w:p w14:paraId="54FC2BDB" w14:textId="1D2B6773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 xml:space="preserve">No geolocation was provided </w:t>
            </w:r>
            <w:r>
              <w:rPr>
                <w:rFonts w:eastAsiaTheme="minorEastAsia"/>
              </w:rPr>
              <w:t>and</w:t>
            </w:r>
            <w:r w:rsidRPr="00515D4C">
              <w:rPr>
                <w:rFonts w:eastAsiaTheme="minorEastAsia"/>
              </w:rPr>
              <w:t xml:space="preserve"> there is no referenced DDS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92" w:type="dxa"/>
          </w:tcPr>
          <w:p w14:paraId="43D9BE5A" w14:textId="5B93789B" w:rsidR="00F43C63" w:rsidRPr="00515D4C" w:rsidRDefault="008C1861" w:rsidP="00515D4C">
            <w:r>
              <w:t>V1, V2</w:t>
            </w:r>
          </w:p>
        </w:tc>
      </w:tr>
      <w:tr w:rsidR="00F43C63" w:rsidRPr="00515D4C" w14:paraId="62209915" w14:textId="6F8362B2" w:rsidTr="09E63413">
        <w:trPr>
          <w:cantSplit/>
        </w:trPr>
        <w:tc>
          <w:tcPr>
            <w:tcW w:w="4112" w:type="dxa"/>
          </w:tcPr>
          <w:p w14:paraId="3B92EB15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EUDR_COMMODITIES_PRODUCER_GEO_INVALID</w:t>
            </w:r>
          </w:p>
        </w:tc>
        <w:tc>
          <w:tcPr>
            <w:tcW w:w="6379" w:type="dxa"/>
          </w:tcPr>
          <w:p w14:paraId="0E515B19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 xml:space="preserve">An invalid </w:t>
            </w:r>
            <w:proofErr w:type="spellStart"/>
            <w:r w:rsidRPr="00515D4C">
              <w:rPr>
                <w:rFonts w:eastAsiaTheme="minorEastAsia"/>
              </w:rPr>
              <w:t>GEOjson</w:t>
            </w:r>
            <w:proofErr w:type="spellEnd"/>
            <w:r w:rsidRPr="00515D4C">
              <w:rPr>
                <w:rFonts w:eastAsiaTheme="minorEastAsia"/>
              </w:rPr>
              <w:t xml:space="preserve"> file was provided for geolocation.</w:t>
            </w:r>
          </w:p>
        </w:tc>
        <w:tc>
          <w:tcPr>
            <w:tcW w:w="992" w:type="dxa"/>
          </w:tcPr>
          <w:p w14:paraId="1E6E3C74" w14:textId="4386B716" w:rsidR="00F43C63" w:rsidRPr="00515D4C" w:rsidRDefault="008C1861" w:rsidP="00515D4C">
            <w:r>
              <w:t>V1, V2</w:t>
            </w:r>
          </w:p>
        </w:tc>
      </w:tr>
      <w:tr w:rsidR="00F43C63" w:rsidRPr="00515D4C" w14:paraId="2E7EDB10" w14:textId="1C3C81C1" w:rsidTr="09E63413">
        <w:trPr>
          <w:cantSplit/>
        </w:trPr>
        <w:tc>
          <w:tcPr>
            <w:tcW w:w="4112" w:type="dxa"/>
          </w:tcPr>
          <w:p w14:paraId="179DB404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EUDR_COMMODITIES_PRODUCER_GEO_LATITUDE_INVALID</w:t>
            </w:r>
          </w:p>
        </w:tc>
        <w:tc>
          <w:tcPr>
            <w:tcW w:w="6379" w:type="dxa"/>
          </w:tcPr>
          <w:p w14:paraId="180FBAD2" w14:textId="187667CB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Latitude of points or vertices must be between -90 and +90.</w:t>
            </w:r>
          </w:p>
        </w:tc>
        <w:tc>
          <w:tcPr>
            <w:tcW w:w="992" w:type="dxa"/>
          </w:tcPr>
          <w:p w14:paraId="584A8BB9" w14:textId="222AAC99" w:rsidR="00F43C63" w:rsidRPr="00515D4C" w:rsidRDefault="008C1861" w:rsidP="00515D4C">
            <w:r>
              <w:t>V1, V2</w:t>
            </w:r>
          </w:p>
        </w:tc>
      </w:tr>
      <w:tr w:rsidR="00F43C63" w:rsidRPr="00515D4C" w14:paraId="65028FB5" w14:textId="1FA3EB83" w:rsidTr="09E63413">
        <w:trPr>
          <w:cantSplit/>
        </w:trPr>
        <w:tc>
          <w:tcPr>
            <w:tcW w:w="4112" w:type="dxa"/>
          </w:tcPr>
          <w:p w14:paraId="53A6C74F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lastRenderedPageBreak/>
              <w:t>EUDR_COMMODITIES_PRODUCER_GEO_LONGITUDE_INVALID</w:t>
            </w:r>
          </w:p>
        </w:tc>
        <w:tc>
          <w:tcPr>
            <w:tcW w:w="6379" w:type="dxa"/>
          </w:tcPr>
          <w:p w14:paraId="4038FB04" w14:textId="1178844E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Longitude of points or vertices must be between -180 and +180.</w:t>
            </w:r>
          </w:p>
        </w:tc>
        <w:tc>
          <w:tcPr>
            <w:tcW w:w="992" w:type="dxa"/>
          </w:tcPr>
          <w:p w14:paraId="6E8EB783" w14:textId="5A2C28BF" w:rsidR="00F43C63" w:rsidRPr="00515D4C" w:rsidRDefault="008C1861" w:rsidP="00515D4C">
            <w:r>
              <w:t>V1, V2</w:t>
            </w:r>
          </w:p>
        </w:tc>
      </w:tr>
      <w:tr w:rsidR="00F43C63" w:rsidRPr="00515D4C" w14:paraId="73E84CC7" w14:textId="495D7156" w:rsidTr="09E63413">
        <w:trPr>
          <w:cantSplit/>
        </w:trPr>
        <w:tc>
          <w:tcPr>
            <w:tcW w:w="4112" w:type="dxa"/>
          </w:tcPr>
          <w:p w14:paraId="2E5008FE" w14:textId="09D86A85" w:rsidR="00F43C63" w:rsidRPr="00515D4C" w:rsidRDefault="6B0F592E" w:rsidP="5D6EEA6A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5D6EEA6A">
              <w:rPr>
                <w:rFonts w:eastAsiaTheme="minorEastAsia"/>
                <w:lang w:val="en-IE"/>
              </w:rPr>
              <w:t>EUDR_COMMODITIES_PRODUCER_GEO_INVALID_GEOMETRY</w:t>
            </w:r>
          </w:p>
        </w:tc>
        <w:tc>
          <w:tcPr>
            <w:tcW w:w="6379" w:type="dxa"/>
          </w:tcPr>
          <w:p w14:paraId="4F75C3E0" w14:textId="57786898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Each polygon must have at least 4 non-aligned points and cannot have intersection</w:t>
            </w:r>
            <w:r>
              <w:rPr>
                <w:rFonts w:eastAsiaTheme="minorEastAsia"/>
              </w:rPr>
              <w:t>s</w:t>
            </w:r>
            <w:r w:rsidRPr="00515D4C">
              <w:rPr>
                <w:rFonts w:eastAsiaTheme="minorEastAsia"/>
              </w:rPr>
              <w:t xml:space="preserve"> between sides.</w:t>
            </w:r>
          </w:p>
        </w:tc>
        <w:tc>
          <w:tcPr>
            <w:tcW w:w="992" w:type="dxa"/>
          </w:tcPr>
          <w:p w14:paraId="20D1BA80" w14:textId="6683EAB5" w:rsidR="00F43C63" w:rsidRPr="00515D4C" w:rsidRDefault="008C1861" w:rsidP="00515D4C">
            <w:r>
              <w:t>V1, V2</w:t>
            </w:r>
          </w:p>
        </w:tc>
      </w:tr>
      <w:tr w:rsidR="00F43C63" w:rsidRPr="00515D4C" w14:paraId="05D18B24" w14:textId="3D746BD6" w:rsidTr="09E63413">
        <w:trPr>
          <w:cantSplit/>
        </w:trPr>
        <w:tc>
          <w:tcPr>
            <w:tcW w:w="4112" w:type="dxa"/>
          </w:tcPr>
          <w:p w14:paraId="31D6576B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EUDR_COMMODITIES_PRODUCER_GEO_AREA_INVALID</w:t>
            </w:r>
          </w:p>
        </w:tc>
        <w:tc>
          <w:tcPr>
            <w:tcW w:w="6379" w:type="dxa"/>
          </w:tcPr>
          <w:p w14:paraId="06E477B8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  <w:lang w:val="en-IE"/>
              </w:rPr>
              <w:t>An</w:t>
            </w:r>
            <w:r w:rsidRPr="00515D4C">
              <w:rPr>
                <w:rFonts w:eastAsiaTheme="minorEastAsia"/>
              </w:rPr>
              <w:t xml:space="preserve"> area for a point must be a number and, for non-cattle commodities, it should be between 0,0001 and 4</w:t>
            </w:r>
          </w:p>
        </w:tc>
        <w:tc>
          <w:tcPr>
            <w:tcW w:w="992" w:type="dxa"/>
          </w:tcPr>
          <w:p w14:paraId="3659C018" w14:textId="3BC275C1" w:rsidR="00F43C63" w:rsidRPr="00515D4C" w:rsidRDefault="00A13212" w:rsidP="00515D4C">
            <w:pPr>
              <w:rPr>
                <w:lang w:val="en-IE"/>
              </w:rPr>
            </w:pPr>
            <w:r>
              <w:t>V1, V2</w:t>
            </w:r>
          </w:p>
        </w:tc>
      </w:tr>
      <w:tr w:rsidR="00F43C63" w:rsidRPr="00515D4C" w14:paraId="3EEFDCC4" w14:textId="3345BC20" w:rsidTr="09E63413">
        <w:trPr>
          <w:cantSplit/>
        </w:trPr>
        <w:tc>
          <w:tcPr>
            <w:tcW w:w="4112" w:type="dxa"/>
          </w:tcPr>
          <w:p w14:paraId="52D38785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EUDR_MAXIMUM_GEO_SIZE_REACHED</w:t>
            </w:r>
          </w:p>
        </w:tc>
        <w:tc>
          <w:tcPr>
            <w:tcW w:w="6379" w:type="dxa"/>
          </w:tcPr>
          <w:p w14:paraId="1802CFF0" w14:textId="7C35C6EE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 xml:space="preserve">The </w:t>
            </w:r>
            <w:r>
              <w:rPr>
                <w:rFonts w:eastAsiaTheme="minorEastAsia"/>
                <w:lang w:val="en-IE"/>
              </w:rPr>
              <w:t>maximum DDS file size has been exceeded</w:t>
            </w:r>
            <w:r w:rsidRPr="00515D4C">
              <w:rPr>
                <w:rFonts w:eastAsiaTheme="minorEastAsia"/>
                <w:lang w:val="en-IE"/>
              </w:rPr>
              <w:br/>
            </w:r>
            <w:r w:rsidRPr="00515D4C">
              <w:rPr>
                <w:rFonts w:eastAsiaTheme="minorEastAsia"/>
              </w:rPr>
              <w:t>(</w:t>
            </w:r>
            <w:r w:rsidRPr="00393A9C">
              <w:rPr>
                <w:rFonts w:eastAsiaTheme="minorEastAsia"/>
                <w:u w:val="single"/>
              </w:rPr>
              <w:t>Not needed to test for conformance</w:t>
            </w:r>
            <w:r w:rsidRPr="00515D4C">
              <w:rPr>
                <w:rFonts w:eastAsiaTheme="minorEastAsia"/>
              </w:rPr>
              <w:t>).</w:t>
            </w:r>
          </w:p>
        </w:tc>
        <w:tc>
          <w:tcPr>
            <w:tcW w:w="992" w:type="dxa"/>
          </w:tcPr>
          <w:p w14:paraId="154EDDB0" w14:textId="2E2C4D19" w:rsidR="00F43C63" w:rsidRPr="00515D4C" w:rsidRDefault="00A13212" w:rsidP="00515D4C">
            <w:pPr>
              <w:rPr>
                <w:lang w:val="en-IE"/>
              </w:rPr>
            </w:pPr>
            <w:r>
              <w:t>V1, V2</w:t>
            </w:r>
          </w:p>
        </w:tc>
      </w:tr>
      <w:tr w:rsidR="00F43C63" w:rsidRPr="00515D4C" w14:paraId="79939D7C" w14:textId="1FBF3565" w:rsidTr="09E63413">
        <w:trPr>
          <w:cantSplit/>
        </w:trPr>
        <w:tc>
          <w:tcPr>
            <w:tcW w:w="4112" w:type="dxa"/>
          </w:tcPr>
          <w:p w14:paraId="12F515FC" w14:textId="401EC74D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D866A8">
              <w:rPr>
                <w:rFonts w:eastAsiaTheme="minorEastAsia"/>
              </w:rPr>
              <w:t>EUDR</w:t>
            </w:r>
            <w:r>
              <w:rPr>
                <w:rFonts w:eastAsiaTheme="minorEastAsia"/>
              </w:rPr>
              <w:t>_</w:t>
            </w:r>
            <w:r w:rsidRPr="00D866A8">
              <w:rPr>
                <w:rFonts w:eastAsiaTheme="minorEastAsia"/>
              </w:rPr>
              <w:t>REFERENCED</w:t>
            </w:r>
            <w:r>
              <w:rPr>
                <w:rFonts w:eastAsiaTheme="minorEastAsia"/>
              </w:rPr>
              <w:t>_</w:t>
            </w:r>
            <w:r w:rsidRPr="00D866A8">
              <w:rPr>
                <w:rFonts w:eastAsiaTheme="minorEastAsia"/>
              </w:rPr>
              <w:t>STATEMENT</w:t>
            </w:r>
            <w:r>
              <w:rPr>
                <w:rFonts w:eastAsiaTheme="minorEastAsia"/>
              </w:rPr>
              <w:t>_</w:t>
            </w:r>
            <w:r w:rsidRPr="00D866A8">
              <w:rPr>
                <w:rFonts w:eastAsiaTheme="minorEastAsia"/>
              </w:rPr>
              <w:t>NOT</w:t>
            </w:r>
            <w:r>
              <w:rPr>
                <w:rFonts w:eastAsiaTheme="minorEastAsia"/>
              </w:rPr>
              <w:t>_</w:t>
            </w:r>
            <w:r w:rsidRPr="00D866A8">
              <w:rPr>
                <w:rFonts w:eastAsiaTheme="minorEastAsia"/>
              </w:rPr>
              <w:t>FOUND</w:t>
            </w:r>
          </w:p>
        </w:tc>
        <w:tc>
          <w:tcPr>
            <w:tcW w:w="6379" w:type="dxa"/>
          </w:tcPr>
          <w:p w14:paraId="5F5922A9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At least one referenced DDS is invalid (Referenced Number or Verification Number) or does not exist.</w:t>
            </w:r>
          </w:p>
        </w:tc>
        <w:tc>
          <w:tcPr>
            <w:tcW w:w="992" w:type="dxa"/>
          </w:tcPr>
          <w:p w14:paraId="05703870" w14:textId="749685B4" w:rsidR="00F43C63" w:rsidRPr="00515D4C" w:rsidRDefault="00A13212" w:rsidP="00515D4C">
            <w:pPr>
              <w:rPr>
                <w:lang w:val="en-IE"/>
              </w:rPr>
            </w:pPr>
            <w:r>
              <w:t>V1, V2</w:t>
            </w:r>
          </w:p>
        </w:tc>
      </w:tr>
      <w:tr w:rsidR="00F43C63" w:rsidRPr="00515D4C" w14:paraId="018F212B" w14:textId="58436178" w:rsidTr="09E63413">
        <w:trPr>
          <w:cantSplit/>
        </w:trPr>
        <w:tc>
          <w:tcPr>
            <w:tcW w:w="4112" w:type="dxa"/>
          </w:tcPr>
          <w:p w14:paraId="2F0D940F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EUDR_MAXIMUM_REFERENCED_DDS_REACHED</w:t>
            </w:r>
          </w:p>
        </w:tc>
        <w:tc>
          <w:tcPr>
            <w:tcW w:w="6379" w:type="dxa"/>
          </w:tcPr>
          <w:p w14:paraId="36F5E096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The maximum number of referenced DDS is exceeded.</w:t>
            </w:r>
          </w:p>
          <w:p w14:paraId="11B5ABDE" w14:textId="77777777" w:rsidR="00F43C63" w:rsidRPr="00515D4C" w:rsidRDefault="00F43C63" w:rsidP="00515D4C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</w:rPr>
              <w:t>(</w:t>
            </w:r>
            <w:r w:rsidRPr="00393A9C">
              <w:rPr>
                <w:rFonts w:eastAsiaTheme="minorEastAsia"/>
                <w:u w:val="single"/>
              </w:rPr>
              <w:t>Not needed to test for conformance</w:t>
            </w:r>
            <w:r w:rsidRPr="00515D4C">
              <w:rPr>
                <w:rFonts w:eastAsiaTheme="minorEastAsia"/>
              </w:rPr>
              <w:t>)</w:t>
            </w:r>
          </w:p>
        </w:tc>
        <w:tc>
          <w:tcPr>
            <w:tcW w:w="992" w:type="dxa"/>
          </w:tcPr>
          <w:p w14:paraId="2BFF0DA4" w14:textId="4D94517C" w:rsidR="00F43C63" w:rsidRPr="00515D4C" w:rsidRDefault="00A13212" w:rsidP="00515D4C">
            <w:pPr>
              <w:rPr>
                <w:lang w:val="en-IE"/>
              </w:rPr>
            </w:pPr>
            <w:r>
              <w:t>V1, V2</w:t>
            </w:r>
          </w:p>
        </w:tc>
      </w:tr>
      <w:tr w:rsidR="00CA7B19" w:rsidRPr="00515D4C" w14:paraId="27B4FEF3" w14:textId="05503042" w:rsidTr="09E63413">
        <w:trPr>
          <w:cantSplit/>
        </w:trPr>
        <w:tc>
          <w:tcPr>
            <w:tcW w:w="4112" w:type="dxa"/>
          </w:tcPr>
          <w:p w14:paraId="2066DCEC" w14:textId="77777777" w:rsidR="00CA7B19" w:rsidRPr="00515D4C" w:rsidRDefault="00CA7B19" w:rsidP="00CA7B19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EUDR_COMMODITIES_SPECIES_INFORMATION_COMMON_NAME_EMPTY</w:t>
            </w:r>
          </w:p>
        </w:tc>
        <w:tc>
          <w:tcPr>
            <w:tcW w:w="6379" w:type="dxa"/>
          </w:tcPr>
          <w:p w14:paraId="25361AF5" w14:textId="4A90AAF8" w:rsidR="00CA7B19" w:rsidRPr="00515D4C" w:rsidRDefault="00CA7B19" w:rsidP="00CA7B19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 xml:space="preserve">The common name is mandatory if the commodity contains </w:t>
            </w:r>
            <w:r>
              <w:rPr>
                <w:rFonts w:eastAsiaTheme="minorEastAsia"/>
                <w:lang w:val="en-IE"/>
              </w:rPr>
              <w:t xml:space="preserve">Annex I </w:t>
            </w:r>
            <w:r w:rsidRPr="00515D4C">
              <w:rPr>
                <w:rFonts w:eastAsiaTheme="minorEastAsia"/>
                <w:lang w:val="en-IE"/>
              </w:rPr>
              <w:t>wood</w:t>
            </w:r>
            <w:r>
              <w:rPr>
                <w:rFonts w:eastAsiaTheme="minorEastAsia"/>
                <w:lang w:val="en-IE"/>
              </w:rPr>
              <w:t xml:space="preserve"> (timber) products</w:t>
            </w:r>
            <w:r w:rsidRPr="00515D4C">
              <w:rPr>
                <w:rFonts w:eastAsiaTheme="minorEastAsia"/>
                <w:lang w:val="en-IE"/>
              </w:rPr>
              <w:t>.</w:t>
            </w:r>
          </w:p>
        </w:tc>
        <w:tc>
          <w:tcPr>
            <w:tcW w:w="992" w:type="dxa"/>
          </w:tcPr>
          <w:p w14:paraId="705813D0" w14:textId="5A1B9997" w:rsidR="00CA7B19" w:rsidRPr="00515D4C" w:rsidRDefault="00CA7B19" w:rsidP="00CA7B19">
            <w:pPr>
              <w:rPr>
                <w:lang w:val="en-IE"/>
              </w:rPr>
            </w:pPr>
            <w:r>
              <w:t>V1, V2</w:t>
            </w:r>
          </w:p>
        </w:tc>
      </w:tr>
      <w:tr w:rsidR="00CA7B19" w:rsidRPr="00515D4C" w14:paraId="5376BF46" w14:textId="02869246" w:rsidTr="09E63413">
        <w:trPr>
          <w:cantSplit/>
        </w:trPr>
        <w:tc>
          <w:tcPr>
            <w:tcW w:w="4112" w:type="dxa"/>
          </w:tcPr>
          <w:p w14:paraId="65A570DD" w14:textId="77777777" w:rsidR="00CA7B19" w:rsidRPr="00515D4C" w:rsidRDefault="00CA7B19" w:rsidP="00CA7B19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EUDR_COMMODITIES_SPECIES_INFORMATION_SCIENTIFIC_NAME_EMPTY</w:t>
            </w:r>
          </w:p>
        </w:tc>
        <w:tc>
          <w:tcPr>
            <w:tcW w:w="6379" w:type="dxa"/>
          </w:tcPr>
          <w:p w14:paraId="16E7BE28" w14:textId="711B66A2" w:rsidR="00CA7B19" w:rsidRPr="00515D4C" w:rsidRDefault="00CA7B19" w:rsidP="00CA7B19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The scientific name is mandatory if the commodity contains</w:t>
            </w:r>
            <w:r>
              <w:rPr>
                <w:rFonts w:eastAsiaTheme="minorEastAsia"/>
                <w:lang w:val="en-IE"/>
              </w:rPr>
              <w:t xml:space="preserve"> Annex I</w:t>
            </w:r>
            <w:r w:rsidRPr="00515D4C">
              <w:rPr>
                <w:rFonts w:eastAsiaTheme="minorEastAsia"/>
                <w:lang w:val="en-IE"/>
              </w:rPr>
              <w:t xml:space="preserve"> wood</w:t>
            </w:r>
            <w:r>
              <w:rPr>
                <w:rFonts w:eastAsiaTheme="minorEastAsia"/>
                <w:lang w:val="en-IE"/>
              </w:rPr>
              <w:t xml:space="preserve"> (timber) products</w:t>
            </w:r>
            <w:r w:rsidRPr="00515D4C">
              <w:rPr>
                <w:rFonts w:eastAsiaTheme="minorEastAsia"/>
                <w:lang w:val="en-IE"/>
              </w:rPr>
              <w:t>.</w:t>
            </w:r>
          </w:p>
        </w:tc>
        <w:tc>
          <w:tcPr>
            <w:tcW w:w="992" w:type="dxa"/>
          </w:tcPr>
          <w:p w14:paraId="7FA62A1E" w14:textId="4A42AC13" w:rsidR="00CA7B19" w:rsidRPr="00515D4C" w:rsidRDefault="00CA7B19" w:rsidP="00CA7B19">
            <w:pPr>
              <w:rPr>
                <w:lang w:val="en-IE"/>
              </w:rPr>
            </w:pPr>
            <w:r>
              <w:t>V1, V2</w:t>
            </w:r>
          </w:p>
        </w:tc>
      </w:tr>
      <w:tr w:rsidR="00CA7B19" w:rsidRPr="00515D4C" w14:paraId="38D0C74F" w14:textId="4058CCE1" w:rsidTr="09E63413">
        <w:trPr>
          <w:cantSplit/>
        </w:trPr>
        <w:tc>
          <w:tcPr>
            <w:tcW w:w="4112" w:type="dxa"/>
          </w:tcPr>
          <w:p w14:paraId="0D94C9DB" w14:textId="77777777" w:rsidR="00CA7B19" w:rsidRPr="00515D4C" w:rsidRDefault="00CA7B19" w:rsidP="00CA7B19">
            <w:pPr>
              <w:spacing w:after="160" w:line="259" w:lineRule="auto"/>
              <w:rPr>
                <w:rFonts w:eastAsiaTheme="minorEastAsia"/>
              </w:rPr>
            </w:pPr>
            <w:r w:rsidRPr="00515D4C">
              <w:rPr>
                <w:rFonts w:eastAsiaTheme="minorEastAsia"/>
              </w:rPr>
              <w:t>EUDR_ACTIVITY_TYPE_NOT_ALLOWED_FOR_NON_EU_OPERATOR</w:t>
            </w:r>
          </w:p>
        </w:tc>
        <w:tc>
          <w:tcPr>
            <w:tcW w:w="6379" w:type="dxa"/>
          </w:tcPr>
          <w:p w14:paraId="20109FD7" w14:textId="77777777" w:rsidR="00CA7B19" w:rsidRPr="00515D4C" w:rsidRDefault="00CA7B19" w:rsidP="00CA7B19">
            <w:pPr>
              <w:spacing w:after="160" w:line="259" w:lineRule="auto"/>
              <w:rPr>
                <w:rFonts w:eastAsiaTheme="minorEastAsia"/>
                <w:lang w:val="en-IE"/>
              </w:rPr>
            </w:pPr>
            <w:r w:rsidRPr="00515D4C">
              <w:rPr>
                <w:rFonts w:eastAsiaTheme="minorEastAsia"/>
                <w:lang w:val="en-IE"/>
              </w:rPr>
              <w:t>Non-EU operators must select Import activity.</w:t>
            </w:r>
          </w:p>
        </w:tc>
        <w:tc>
          <w:tcPr>
            <w:tcW w:w="992" w:type="dxa"/>
          </w:tcPr>
          <w:p w14:paraId="29B8B1C6" w14:textId="0D50DB5F" w:rsidR="00CA7B19" w:rsidRPr="00515D4C" w:rsidRDefault="00CA7B19" w:rsidP="00CA7B19">
            <w:pPr>
              <w:rPr>
                <w:lang w:val="en-IE"/>
              </w:rPr>
            </w:pPr>
            <w:r>
              <w:t>V1, V2</w:t>
            </w:r>
          </w:p>
        </w:tc>
      </w:tr>
    </w:tbl>
    <w:p w14:paraId="7F9AB6D9" w14:textId="77777777" w:rsidR="00D217EB" w:rsidRDefault="00D217EB" w:rsidP="00C40BC6"/>
    <w:p w14:paraId="2D0F197B" w14:textId="72CFAD25" w:rsidR="002523C9" w:rsidRDefault="00C40A01" w:rsidP="00C40BC6">
      <w:r>
        <w:t xml:space="preserve">Some features in the </w:t>
      </w:r>
      <w:r w:rsidR="0043443C">
        <w:t xml:space="preserve">current </w:t>
      </w:r>
      <w:r>
        <w:t>version of the Central EUDR system are not yet developed</w:t>
      </w:r>
      <w:r w:rsidR="00566DC5">
        <w:t xml:space="preserve"> or can be updated</w:t>
      </w:r>
      <w:r>
        <w:t xml:space="preserve">. Such that additional </w:t>
      </w:r>
      <w:r w:rsidR="00151126">
        <w:t xml:space="preserve">error codes may be added to the list in the future. </w:t>
      </w:r>
    </w:p>
    <w:p w14:paraId="2C81210B" w14:textId="77777777" w:rsidR="00AA16B7" w:rsidRDefault="00AA16B7" w:rsidP="00EE500C"/>
    <w:p w14:paraId="541668AB" w14:textId="5E0DBE6F" w:rsidR="00EE500C" w:rsidRDefault="00EE500C" w:rsidP="00EE500C">
      <w:pPr>
        <w:pStyle w:val="Heading2"/>
      </w:pPr>
      <w:bookmarkStart w:id="17" w:name="_Toc159255880"/>
      <w:bookmarkStart w:id="18" w:name="_Toc204070466"/>
      <w:r>
        <w:t>Web Service Endpoint</w:t>
      </w:r>
      <w:bookmarkEnd w:id="17"/>
      <w:bookmarkEnd w:id="18"/>
    </w:p>
    <w:p w14:paraId="7ABA38BE" w14:textId="77777777" w:rsidR="00EE500C" w:rsidRDefault="00EE500C" w:rsidP="00EE500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FDE9A87" w14:textId="0C75174C" w:rsidR="2595916F" w:rsidRDefault="2595916F" w:rsidP="101C00A6">
      <w:pPr>
        <w:rPr>
          <w:rFonts w:ascii="Calibri" w:eastAsia="Calibri" w:hAnsi="Calibri" w:cs="Calibri"/>
        </w:rPr>
      </w:pPr>
      <w:r w:rsidRPr="101C00A6">
        <w:rPr>
          <w:rFonts w:ascii="Calibri" w:eastAsia="Calibri" w:hAnsi="Calibri" w:cs="Calibri"/>
          <w:color w:val="000000" w:themeColor="text1"/>
        </w:rPr>
        <w:t>Refer to the document “</w:t>
      </w:r>
      <w:r w:rsidR="00826A07" w:rsidRPr="00487C3A">
        <w:rPr>
          <w:rFonts w:ascii="Calibri" w:eastAsia="Calibri" w:hAnsi="Calibri" w:cs="Calibri"/>
          <w:b/>
          <w:bCs/>
          <w:lang w:val="en-IE"/>
        </w:rPr>
        <w:t>EUDR - API for EO specifications</w:t>
      </w:r>
      <w:r w:rsidRPr="101C00A6">
        <w:rPr>
          <w:rFonts w:ascii="Calibri" w:eastAsia="Calibri" w:hAnsi="Calibri" w:cs="Calibri"/>
          <w:color w:val="000000" w:themeColor="text1"/>
        </w:rPr>
        <w:t xml:space="preserve">”, chapter 4 </w:t>
      </w:r>
      <w:r w:rsidRPr="101C00A6">
        <w:rPr>
          <w:rFonts w:ascii="Calibri" w:eastAsia="Calibri" w:hAnsi="Calibri" w:cs="Calibri"/>
          <w:b/>
          <w:bCs/>
          <w:color w:val="000000" w:themeColor="text1"/>
        </w:rPr>
        <w:t xml:space="preserve">Documentation (Submission WS) </w:t>
      </w:r>
      <w:r w:rsidRPr="101C00A6">
        <w:rPr>
          <w:rFonts w:ascii="Calibri" w:eastAsia="Calibri" w:hAnsi="Calibri" w:cs="Calibri"/>
          <w:color w:val="000000" w:themeColor="text1"/>
        </w:rPr>
        <w:t>for the specific server URL of the environment you’re using. The operation to execute is {</w:t>
      </w:r>
      <w:proofErr w:type="spellStart"/>
      <w:r w:rsidRPr="101C00A6">
        <w:rPr>
          <w:rFonts w:ascii="Calibri" w:eastAsia="Calibri" w:hAnsi="Calibri" w:cs="Calibri"/>
          <w:color w:val="000000" w:themeColor="text1"/>
        </w:rPr>
        <w:t>EUDRSubmissionService_</w:t>
      </w:r>
      <w:proofErr w:type="gramStart"/>
      <w:r w:rsidRPr="101C00A6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101C00A6">
        <w:rPr>
          <w:rFonts w:ascii="Calibri" w:eastAsia="Calibri" w:hAnsi="Calibri" w:cs="Calibri"/>
          <w:color w:val="000000" w:themeColor="text1"/>
        </w:rPr>
        <w:t>}</w:t>
      </w:r>
      <w:r w:rsidRPr="101C00A6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Pr="101C00A6">
        <w:rPr>
          <w:rFonts w:ascii="Calibri" w:eastAsia="Calibri" w:hAnsi="Calibri" w:cs="Calibri"/>
          <w:b/>
          <w:bCs/>
          <w:color w:val="000000" w:themeColor="text1"/>
        </w:rPr>
        <w:t>submitDds.</w:t>
      </w:r>
    </w:p>
    <w:sectPr w:rsidR="2595916F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7CB1E" w14:textId="77777777" w:rsidR="00F84DBD" w:rsidRDefault="00F84DBD" w:rsidP="00967C2E">
      <w:pPr>
        <w:spacing w:after="0" w:line="240" w:lineRule="auto"/>
      </w:pPr>
      <w:r>
        <w:separator/>
      </w:r>
    </w:p>
  </w:endnote>
  <w:endnote w:type="continuationSeparator" w:id="0">
    <w:p w14:paraId="3A9BAD0B" w14:textId="77777777" w:rsidR="00F84DBD" w:rsidRDefault="00F84DBD" w:rsidP="00967C2E">
      <w:pPr>
        <w:spacing w:after="0" w:line="240" w:lineRule="auto"/>
      </w:pPr>
      <w:r>
        <w:continuationSeparator/>
      </w:r>
    </w:p>
  </w:endnote>
  <w:endnote w:type="continuationNotice" w:id="1">
    <w:p w14:paraId="1BC340FA" w14:textId="77777777" w:rsidR="00F84DBD" w:rsidRDefault="00F84D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0CBC0" w14:textId="77777777" w:rsidR="00F84DBD" w:rsidRDefault="00F84DBD" w:rsidP="00967C2E">
      <w:pPr>
        <w:spacing w:after="0" w:line="240" w:lineRule="auto"/>
      </w:pPr>
      <w:r>
        <w:separator/>
      </w:r>
    </w:p>
  </w:footnote>
  <w:footnote w:type="continuationSeparator" w:id="0">
    <w:p w14:paraId="1D1EC82E" w14:textId="77777777" w:rsidR="00F84DBD" w:rsidRDefault="00F84DBD" w:rsidP="00967C2E">
      <w:pPr>
        <w:spacing w:after="0" w:line="240" w:lineRule="auto"/>
      </w:pPr>
      <w:r>
        <w:continuationSeparator/>
      </w:r>
    </w:p>
  </w:footnote>
  <w:footnote w:type="continuationNotice" w:id="1">
    <w:p w14:paraId="28812404" w14:textId="77777777" w:rsidR="00F84DBD" w:rsidRDefault="00F84DBD">
      <w:pPr>
        <w:spacing w:after="0" w:line="240" w:lineRule="auto"/>
      </w:pPr>
    </w:p>
  </w:footnote>
  <w:footnote w:id="2">
    <w:p w14:paraId="45F66F94" w14:textId="6C66D7E9" w:rsidR="00F43C63" w:rsidRPr="002B4821" w:rsidRDefault="00F43C63" w:rsidP="002B482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43567"/>
    <w:multiLevelType w:val="multilevel"/>
    <w:tmpl w:val="B992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10E1"/>
    <w:multiLevelType w:val="hybridMultilevel"/>
    <w:tmpl w:val="5652EBD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3DE59EE"/>
    <w:multiLevelType w:val="hybridMultilevel"/>
    <w:tmpl w:val="80D6F9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25696"/>
    <w:multiLevelType w:val="multilevel"/>
    <w:tmpl w:val="1EE2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105BC"/>
    <w:multiLevelType w:val="multilevel"/>
    <w:tmpl w:val="70B6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056EA"/>
    <w:multiLevelType w:val="multilevel"/>
    <w:tmpl w:val="4FF8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312686">
    <w:abstractNumId w:val="7"/>
  </w:num>
  <w:num w:numId="2" w16cid:durableId="703092374">
    <w:abstractNumId w:val="3"/>
  </w:num>
  <w:num w:numId="3" w16cid:durableId="1439254821">
    <w:abstractNumId w:val="8"/>
  </w:num>
  <w:num w:numId="4" w16cid:durableId="144013079">
    <w:abstractNumId w:val="2"/>
  </w:num>
  <w:num w:numId="5" w16cid:durableId="920413518">
    <w:abstractNumId w:val="1"/>
  </w:num>
  <w:num w:numId="6" w16cid:durableId="13157920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7058099">
    <w:abstractNumId w:val="4"/>
  </w:num>
  <w:num w:numId="8" w16cid:durableId="1429306453">
    <w:abstractNumId w:val="0"/>
  </w:num>
  <w:num w:numId="9" w16cid:durableId="1943224206">
    <w:abstractNumId w:val="6"/>
  </w:num>
  <w:num w:numId="10" w16cid:durableId="576087879">
    <w:abstractNumId w:val="9"/>
  </w:num>
  <w:num w:numId="11" w16cid:durableId="191361348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BE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4D2150"/>
    <w:rsid w:val="00000930"/>
    <w:rsid w:val="000013FB"/>
    <w:rsid w:val="0000255F"/>
    <w:rsid w:val="00003101"/>
    <w:rsid w:val="00004E3B"/>
    <w:rsid w:val="00005323"/>
    <w:rsid w:val="00007197"/>
    <w:rsid w:val="00010A0C"/>
    <w:rsid w:val="00011702"/>
    <w:rsid w:val="00013AB0"/>
    <w:rsid w:val="00016D0E"/>
    <w:rsid w:val="00017497"/>
    <w:rsid w:val="00017A79"/>
    <w:rsid w:val="000203C0"/>
    <w:rsid w:val="00020802"/>
    <w:rsid w:val="00020896"/>
    <w:rsid w:val="000217A8"/>
    <w:rsid w:val="00021F59"/>
    <w:rsid w:val="0002413D"/>
    <w:rsid w:val="00030820"/>
    <w:rsid w:val="000315B0"/>
    <w:rsid w:val="00031EAC"/>
    <w:rsid w:val="0003446D"/>
    <w:rsid w:val="00034EC7"/>
    <w:rsid w:val="0003639D"/>
    <w:rsid w:val="00037F7A"/>
    <w:rsid w:val="00043DDC"/>
    <w:rsid w:val="00044D40"/>
    <w:rsid w:val="00046E42"/>
    <w:rsid w:val="000506B3"/>
    <w:rsid w:val="00051507"/>
    <w:rsid w:val="00053433"/>
    <w:rsid w:val="00053505"/>
    <w:rsid w:val="000536B1"/>
    <w:rsid w:val="00055290"/>
    <w:rsid w:val="00056B12"/>
    <w:rsid w:val="00062FA2"/>
    <w:rsid w:val="00063B14"/>
    <w:rsid w:val="00064F4D"/>
    <w:rsid w:val="000659DD"/>
    <w:rsid w:val="00065E45"/>
    <w:rsid w:val="00066774"/>
    <w:rsid w:val="00074451"/>
    <w:rsid w:val="00076646"/>
    <w:rsid w:val="0008479C"/>
    <w:rsid w:val="0009136A"/>
    <w:rsid w:val="00091529"/>
    <w:rsid w:val="00094C1C"/>
    <w:rsid w:val="00095438"/>
    <w:rsid w:val="00097DD8"/>
    <w:rsid w:val="000A3C3F"/>
    <w:rsid w:val="000B0256"/>
    <w:rsid w:val="000B2E0E"/>
    <w:rsid w:val="000B4999"/>
    <w:rsid w:val="000B63D3"/>
    <w:rsid w:val="000C3935"/>
    <w:rsid w:val="000C4BD1"/>
    <w:rsid w:val="000D1806"/>
    <w:rsid w:val="000D1AF8"/>
    <w:rsid w:val="000D2455"/>
    <w:rsid w:val="000D2851"/>
    <w:rsid w:val="000D5D46"/>
    <w:rsid w:val="000D63CC"/>
    <w:rsid w:val="000D67F9"/>
    <w:rsid w:val="000E2F94"/>
    <w:rsid w:val="000E39ED"/>
    <w:rsid w:val="000E6421"/>
    <w:rsid w:val="000E6C1E"/>
    <w:rsid w:val="000F1EDA"/>
    <w:rsid w:val="000F319B"/>
    <w:rsid w:val="00101216"/>
    <w:rsid w:val="0010176D"/>
    <w:rsid w:val="0010217A"/>
    <w:rsid w:val="00102A35"/>
    <w:rsid w:val="00105A00"/>
    <w:rsid w:val="001105B5"/>
    <w:rsid w:val="00110C17"/>
    <w:rsid w:val="00110E3F"/>
    <w:rsid w:val="001128F9"/>
    <w:rsid w:val="0011303F"/>
    <w:rsid w:val="00115926"/>
    <w:rsid w:val="001167B7"/>
    <w:rsid w:val="00116A15"/>
    <w:rsid w:val="0011731B"/>
    <w:rsid w:val="001207F7"/>
    <w:rsid w:val="00123166"/>
    <w:rsid w:val="00127065"/>
    <w:rsid w:val="001273F5"/>
    <w:rsid w:val="001310D6"/>
    <w:rsid w:val="001315DA"/>
    <w:rsid w:val="00134542"/>
    <w:rsid w:val="00136725"/>
    <w:rsid w:val="00142015"/>
    <w:rsid w:val="0014505C"/>
    <w:rsid w:val="00146D46"/>
    <w:rsid w:val="001477C2"/>
    <w:rsid w:val="00147AAF"/>
    <w:rsid w:val="00147E06"/>
    <w:rsid w:val="001504C5"/>
    <w:rsid w:val="001509A7"/>
    <w:rsid w:val="00151126"/>
    <w:rsid w:val="0015366C"/>
    <w:rsid w:val="00153A67"/>
    <w:rsid w:val="00155E47"/>
    <w:rsid w:val="00157C31"/>
    <w:rsid w:val="00162601"/>
    <w:rsid w:val="001633E0"/>
    <w:rsid w:val="00164C81"/>
    <w:rsid w:val="001660A2"/>
    <w:rsid w:val="00176EE0"/>
    <w:rsid w:val="00177944"/>
    <w:rsid w:val="001805B8"/>
    <w:rsid w:val="0018103F"/>
    <w:rsid w:val="00181130"/>
    <w:rsid w:val="00181517"/>
    <w:rsid w:val="0018196F"/>
    <w:rsid w:val="001866B9"/>
    <w:rsid w:val="00190425"/>
    <w:rsid w:val="00190AF6"/>
    <w:rsid w:val="0019231A"/>
    <w:rsid w:val="00196726"/>
    <w:rsid w:val="00196F69"/>
    <w:rsid w:val="001A0360"/>
    <w:rsid w:val="001A03EA"/>
    <w:rsid w:val="001A0F4D"/>
    <w:rsid w:val="001A36D2"/>
    <w:rsid w:val="001A54F5"/>
    <w:rsid w:val="001A6B9A"/>
    <w:rsid w:val="001A6E6E"/>
    <w:rsid w:val="001A7CE9"/>
    <w:rsid w:val="001B0452"/>
    <w:rsid w:val="001B0733"/>
    <w:rsid w:val="001B453A"/>
    <w:rsid w:val="001B6F36"/>
    <w:rsid w:val="001B711F"/>
    <w:rsid w:val="001C0678"/>
    <w:rsid w:val="001C4B28"/>
    <w:rsid w:val="001C75E1"/>
    <w:rsid w:val="001D172E"/>
    <w:rsid w:val="001E2DA6"/>
    <w:rsid w:val="001E39C4"/>
    <w:rsid w:val="001E5EF0"/>
    <w:rsid w:val="001E61E9"/>
    <w:rsid w:val="001E6F28"/>
    <w:rsid w:val="001F0F7A"/>
    <w:rsid w:val="001F5F34"/>
    <w:rsid w:val="00200F54"/>
    <w:rsid w:val="002020F2"/>
    <w:rsid w:val="002023CF"/>
    <w:rsid w:val="002031FE"/>
    <w:rsid w:val="002116DC"/>
    <w:rsid w:val="0021338B"/>
    <w:rsid w:val="00215C4C"/>
    <w:rsid w:val="0022075F"/>
    <w:rsid w:val="002224E6"/>
    <w:rsid w:val="00226759"/>
    <w:rsid w:val="00227552"/>
    <w:rsid w:val="00236BED"/>
    <w:rsid w:val="00237316"/>
    <w:rsid w:val="00241D72"/>
    <w:rsid w:val="0024304D"/>
    <w:rsid w:val="0024449A"/>
    <w:rsid w:val="0024681F"/>
    <w:rsid w:val="00246949"/>
    <w:rsid w:val="002516C0"/>
    <w:rsid w:val="0025238F"/>
    <w:rsid w:val="002523C9"/>
    <w:rsid w:val="00252A76"/>
    <w:rsid w:val="00252EE4"/>
    <w:rsid w:val="002550C1"/>
    <w:rsid w:val="0026181A"/>
    <w:rsid w:val="00263569"/>
    <w:rsid w:val="002645DE"/>
    <w:rsid w:val="00266C48"/>
    <w:rsid w:val="002720E7"/>
    <w:rsid w:val="002810FA"/>
    <w:rsid w:val="00281AC7"/>
    <w:rsid w:val="00283332"/>
    <w:rsid w:val="00284368"/>
    <w:rsid w:val="00291225"/>
    <w:rsid w:val="00292A25"/>
    <w:rsid w:val="00297A92"/>
    <w:rsid w:val="002A0E41"/>
    <w:rsid w:val="002A35FA"/>
    <w:rsid w:val="002A57F1"/>
    <w:rsid w:val="002A5D85"/>
    <w:rsid w:val="002B0671"/>
    <w:rsid w:val="002B228C"/>
    <w:rsid w:val="002B41A5"/>
    <w:rsid w:val="002B4821"/>
    <w:rsid w:val="002C2ACA"/>
    <w:rsid w:val="002C5D06"/>
    <w:rsid w:val="002C60B1"/>
    <w:rsid w:val="002D2CDE"/>
    <w:rsid w:val="002D4098"/>
    <w:rsid w:val="002F0063"/>
    <w:rsid w:val="002F109B"/>
    <w:rsid w:val="002F2BBC"/>
    <w:rsid w:val="002F3250"/>
    <w:rsid w:val="002F58CD"/>
    <w:rsid w:val="002F5B99"/>
    <w:rsid w:val="002F7731"/>
    <w:rsid w:val="00300406"/>
    <w:rsid w:val="00301FAA"/>
    <w:rsid w:val="0030262D"/>
    <w:rsid w:val="0030554E"/>
    <w:rsid w:val="003061A0"/>
    <w:rsid w:val="00322C97"/>
    <w:rsid w:val="00322D9A"/>
    <w:rsid w:val="00326885"/>
    <w:rsid w:val="00331E6A"/>
    <w:rsid w:val="0033395C"/>
    <w:rsid w:val="003379A1"/>
    <w:rsid w:val="00340D8D"/>
    <w:rsid w:val="00347D70"/>
    <w:rsid w:val="00350957"/>
    <w:rsid w:val="00352C7F"/>
    <w:rsid w:val="00354466"/>
    <w:rsid w:val="0035468C"/>
    <w:rsid w:val="00354858"/>
    <w:rsid w:val="00355FE5"/>
    <w:rsid w:val="00357402"/>
    <w:rsid w:val="003646BB"/>
    <w:rsid w:val="00371938"/>
    <w:rsid w:val="00371FDE"/>
    <w:rsid w:val="00372366"/>
    <w:rsid w:val="00374D4F"/>
    <w:rsid w:val="00377C55"/>
    <w:rsid w:val="00380687"/>
    <w:rsid w:val="0038180E"/>
    <w:rsid w:val="00381BFA"/>
    <w:rsid w:val="00382E3E"/>
    <w:rsid w:val="003836E1"/>
    <w:rsid w:val="00393A9C"/>
    <w:rsid w:val="003940FC"/>
    <w:rsid w:val="00396CC5"/>
    <w:rsid w:val="003A0703"/>
    <w:rsid w:val="003A23E5"/>
    <w:rsid w:val="003B3607"/>
    <w:rsid w:val="003B4016"/>
    <w:rsid w:val="003C1DC5"/>
    <w:rsid w:val="003C2C45"/>
    <w:rsid w:val="003C4276"/>
    <w:rsid w:val="003C478E"/>
    <w:rsid w:val="003C4CD6"/>
    <w:rsid w:val="003C6CD8"/>
    <w:rsid w:val="003C7CE0"/>
    <w:rsid w:val="003D2DB4"/>
    <w:rsid w:val="003D3979"/>
    <w:rsid w:val="003E2E9A"/>
    <w:rsid w:val="003E4BF6"/>
    <w:rsid w:val="003E60FA"/>
    <w:rsid w:val="003E6EF7"/>
    <w:rsid w:val="003F2307"/>
    <w:rsid w:val="003F498B"/>
    <w:rsid w:val="003F569B"/>
    <w:rsid w:val="003F5784"/>
    <w:rsid w:val="0040007F"/>
    <w:rsid w:val="00400D5C"/>
    <w:rsid w:val="00405369"/>
    <w:rsid w:val="004069BE"/>
    <w:rsid w:val="00406F2F"/>
    <w:rsid w:val="00407434"/>
    <w:rsid w:val="004079C5"/>
    <w:rsid w:val="004116B9"/>
    <w:rsid w:val="004141BE"/>
    <w:rsid w:val="00417849"/>
    <w:rsid w:val="004253A7"/>
    <w:rsid w:val="00425F02"/>
    <w:rsid w:val="004267E4"/>
    <w:rsid w:val="0043014F"/>
    <w:rsid w:val="00433413"/>
    <w:rsid w:val="0043443C"/>
    <w:rsid w:val="00437C92"/>
    <w:rsid w:val="00437CE6"/>
    <w:rsid w:val="00443866"/>
    <w:rsid w:val="004507E0"/>
    <w:rsid w:val="00450F6D"/>
    <w:rsid w:val="00451126"/>
    <w:rsid w:val="00455A47"/>
    <w:rsid w:val="00457F9A"/>
    <w:rsid w:val="0046229E"/>
    <w:rsid w:val="00467914"/>
    <w:rsid w:val="0047419F"/>
    <w:rsid w:val="00476FEF"/>
    <w:rsid w:val="004775AE"/>
    <w:rsid w:val="00483624"/>
    <w:rsid w:val="004855B1"/>
    <w:rsid w:val="00486FBE"/>
    <w:rsid w:val="00487C3A"/>
    <w:rsid w:val="00487E06"/>
    <w:rsid w:val="00490F3C"/>
    <w:rsid w:val="00490FA9"/>
    <w:rsid w:val="00492785"/>
    <w:rsid w:val="00493508"/>
    <w:rsid w:val="00496EC0"/>
    <w:rsid w:val="00496F16"/>
    <w:rsid w:val="004A025B"/>
    <w:rsid w:val="004A1640"/>
    <w:rsid w:val="004A209B"/>
    <w:rsid w:val="004A2932"/>
    <w:rsid w:val="004A5FBA"/>
    <w:rsid w:val="004A7D77"/>
    <w:rsid w:val="004B22C6"/>
    <w:rsid w:val="004B2EDE"/>
    <w:rsid w:val="004B4B1C"/>
    <w:rsid w:val="004C06C4"/>
    <w:rsid w:val="004C0FD5"/>
    <w:rsid w:val="004C257D"/>
    <w:rsid w:val="004C561D"/>
    <w:rsid w:val="004C5DAB"/>
    <w:rsid w:val="004C5F07"/>
    <w:rsid w:val="004C7316"/>
    <w:rsid w:val="004D2150"/>
    <w:rsid w:val="004D35E0"/>
    <w:rsid w:val="004D3866"/>
    <w:rsid w:val="004D5233"/>
    <w:rsid w:val="004D6F31"/>
    <w:rsid w:val="004E41D1"/>
    <w:rsid w:val="004E4527"/>
    <w:rsid w:val="004F006C"/>
    <w:rsid w:val="004F2301"/>
    <w:rsid w:val="004F292E"/>
    <w:rsid w:val="004F62F2"/>
    <w:rsid w:val="004F7669"/>
    <w:rsid w:val="00501D3A"/>
    <w:rsid w:val="00501DD5"/>
    <w:rsid w:val="00502751"/>
    <w:rsid w:val="00503BFD"/>
    <w:rsid w:val="0051118F"/>
    <w:rsid w:val="00513D26"/>
    <w:rsid w:val="00515D4C"/>
    <w:rsid w:val="005200A2"/>
    <w:rsid w:val="00521A88"/>
    <w:rsid w:val="005235D8"/>
    <w:rsid w:val="00524198"/>
    <w:rsid w:val="00524735"/>
    <w:rsid w:val="00525B48"/>
    <w:rsid w:val="005268AB"/>
    <w:rsid w:val="0052712B"/>
    <w:rsid w:val="00530207"/>
    <w:rsid w:val="005312B9"/>
    <w:rsid w:val="005315E1"/>
    <w:rsid w:val="00533A1D"/>
    <w:rsid w:val="0053427E"/>
    <w:rsid w:val="00534FA7"/>
    <w:rsid w:val="005356BD"/>
    <w:rsid w:val="00537DF9"/>
    <w:rsid w:val="005400CB"/>
    <w:rsid w:val="00542F5A"/>
    <w:rsid w:val="0054424C"/>
    <w:rsid w:val="005509D1"/>
    <w:rsid w:val="00551AA0"/>
    <w:rsid w:val="005531A5"/>
    <w:rsid w:val="00554B5F"/>
    <w:rsid w:val="00556DAA"/>
    <w:rsid w:val="0055763D"/>
    <w:rsid w:val="00563A03"/>
    <w:rsid w:val="0056486C"/>
    <w:rsid w:val="00565C49"/>
    <w:rsid w:val="00566D8A"/>
    <w:rsid w:val="00566DC5"/>
    <w:rsid w:val="005672B7"/>
    <w:rsid w:val="0057558E"/>
    <w:rsid w:val="00577A6F"/>
    <w:rsid w:val="00580538"/>
    <w:rsid w:val="00581370"/>
    <w:rsid w:val="00581897"/>
    <w:rsid w:val="00584148"/>
    <w:rsid w:val="00586D1D"/>
    <w:rsid w:val="00587F07"/>
    <w:rsid w:val="0059164B"/>
    <w:rsid w:val="005953E7"/>
    <w:rsid w:val="00596CC8"/>
    <w:rsid w:val="005A1570"/>
    <w:rsid w:val="005A1A3B"/>
    <w:rsid w:val="005A27A3"/>
    <w:rsid w:val="005A40BE"/>
    <w:rsid w:val="005B067C"/>
    <w:rsid w:val="005B2490"/>
    <w:rsid w:val="005B3131"/>
    <w:rsid w:val="005B4785"/>
    <w:rsid w:val="005B65E6"/>
    <w:rsid w:val="005B6FF9"/>
    <w:rsid w:val="005B7D89"/>
    <w:rsid w:val="005C0511"/>
    <w:rsid w:val="005C1377"/>
    <w:rsid w:val="005C1428"/>
    <w:rsid w:val="005C2FED"/>
    <w:rsid w:val="005C451C"/>
    <w:rsid w:val="005C7FB7"/>
    <w:rsid w:val="005D0202"/>
    <w:rsid w:val="005D1182"/>
    <w:rsid w:val="005D1CEF"/>
    <w:rsid w:val="005D3AEA"/>
    <w:rsid w:val="005D491D"/>
    <w:rsid w:val="005D4C0E"/>
    <w:rsid w:val="005D69F6"/>
    <w:rsid w:val="005D6BCD"/>
    <w:rsid w:val="005D7D1A"/>
    <w:rsid w:val="005E1506"/>
    <w:rsid w:val="005E3608"/>
    <w:rsid w:val="005E3C20"/>
    <w:rsid w:val="005E428A"/>
    <w:rsid w:val="005E4C8E"/>
    <w:rsid w:val="005E5F56"/>
    <w:rsid w:val="005E66FC"/>
    <w:rsid w:val="005E7295"/>
    <w:rsid w:val="005F0A79"/>
    <w:rsid w:val="005F1E3D"/>
    <w:rsid w:val="005F3227"/>
    <w:rsid w:val="005F52E9"/>
    <w:rsid w:val="005F7B71"/>
    <w:rsid w:val="00602CC0"/>
    <w:rsid w:val="00603B08"/>
    <w:rsid w:val="00607344"/>
    <w:rsid w:val="006154B5"/>
    <w:rsid w:val="00615712"/>
    <w:rsid w:val="00620CD8"/>
    <w:rsid w:val="0062180B"/>
    <w:rsid w:val="0062502F"/>
    <w:rsid w:val="00631B94"/>
    <w:rsid w:val="00632093"/>
    <w:rsid w:val="006404C8"/>
    <w:rsid w:val="00642231"/>
    <w:rsid w:val="00642C95"/>
    <w:rsid w:val="00642FFD"/>
    <w:rsid w:val="00646754"/>
    <w:rsid w:val="00653073"/>
    <w:rsid w:val="00660547"/>
    <w:rsid w:val="006605BC"/>
    <w:rsid w:val="00660BD7"/>
    <w:rsid w:val="0066151C"/>
    <w:rsid w:val="00664F2D"/>
    <w:rsid w:val="00665215"/>
    <w:rsid w:val="00666D6C"/>
    <w:rsid w:val="00671F52"/>
    <w:rsid w:val="00676246"/>
    <w:rsid w:val="006847CD"/>
    <w:rsid w:val="006851D3"/>
    <w:rsid w:val="0068618A"/>
    <w:rsid w:val="00687441"/>
    <w:rsid w:val="006906A2"/>
    <w:rsid w:val="00691261"/>
    <w:rsid w:val="0069268A"/>
    <w:rsid w:val="00693B9A"/>
    <w:rsid w:val="00693FE5"/>
    <w:rsid w:val="006946D9"/>
    <w:rsid w:val="006972B8"/>
    <w:rsid w:val="006A0FCE"/>
    <w:rsid w:val="006A2D99"/>
    <w:rsid w:val="006A4E31"/>
    <w:rsid w:val="006A688F"/>
    <w:rsid w:val="006A69A2"/>
    <w:rsid w:val="006B29C3"/>
    <w:rsid w:val="006B3A9B"/>
    <w:rsid w:val="006B4F4A"/>
    <w:rsid w:val="006B555C"/>
    <w:rsid w:val="006B65C8"/>
    <w:rsid w:val="006B7F94"/>
    <w:rsid w:val="006C0A6A"/>
    <w:rsid w:val="006C0EA5"/>
    <w:rsid w:val="006C2757"/>
    <w:rsid w:val="006C482C"/>
    <w:rsid w:val="006C63B5"/>
    <w:rsid w:val="006C6535"/>
    <w:rsid w:val="006C74F5"/>
    <w:rsid w:val="006C7E9C"/>
    <w:rsid w:val="006D01B4"/>
    <w:rsid w:val="006D02E5"/>
    <w:rsid w:val="006D477E"/>
    <w:rsid w:val="006D5BD7"/>
    <w:rsid w:val="006D67D2"/>
    <w:rsid w:val="006E1530"/>
    <w:rsid w:val="006E2745"/>
    <w:rsid w:val="006E2DAE"/>
    <w:rsid w:val="006E40EF"/>
    <w:rsid w:val="006E6D51"/>
    <w:rsid w:val="006E6D89"/>
    <w:rsid w:val="006F2319"/>
    <w:rsid w:val="006F3BB5"/>
    <w:rsid w:val="006F463F"/>
    <w:rsid w:val="006F714F"/>
    <w:rsid w:val="00700A26"/>
    <w:rsid w:val="0070475B"/>
    <w:rsid w:val="00705368"/>
    <w:rsid w:val="00707026"/>
    <w:rsid w:val="00710CD2"/>
    <w:rsid w:val="00711F8C"/>
    <w:rsid w:val="007174A8"/>
    <w:rsid w:val="00717C3A"/>
    <w:rsid w:val="00721026"/>
    <w:rsid w:val="00721857"/>
    <w:rsid w:val="00721AA9"/>
    <w:rsid w:val="00730455"/>
    <w:rsid w:val="0073051A"/>
    <w:rsid w:val="007322B5"/>
    <w:rsid w:val="00732698"/>
    <w:rsid w:val="00733600"/>
    <w:rsid w:val="00734E89"/>
    <w:rsid w:val="00735125"/>
    <w:rsid w:val="00740382"/>
    <w:rsid w:val="00742888"/>
    <w:rsid w:val="007449AD"/>
    <w:rsid w:val="00746944"/>
    <w:rsid w:val="00746DEC"/>
    <w:rsid w:val="00746FC1"/>
    <w:rsid w:val="00747CC7"/>
    <w:rsid w:val="007503BE"/>
    <w:rsid w:val="00757305"/>
    <w:rsid w:val="00760C1F"/>
    <w:rsid w:val="0076115C"/>
    <w:rsid w:val="00761BA8"/>
    <w:rsid w:val="00761CEA"/>
    <w:rsid w:val="00763A52"/>
    <w:rsid w:val="00764C11"/>
    <w:rsid w:val="0076589E"/>
    <w:rsid w:val="0076781C"/>
    <w:rsid w:val="00770B04"/>
    <w:rsid w:val="00771AC6"/>
    <w:rsid w:val="0077299C"/>
    <w:rsid w:val="007748A2"/>
    <w:rsid w:val="00776C6B"/>
    <w:rsid w:val="007770C9"/>
    <w:rsid w:val="0077799E"/>
    <w:rsid w:val="007807A2"/>
    <w:rsid w:val="00781FAF"/>
    <w:rsid w:val="00782963"/>
    <w:rsid w:val="0078758F"/>
    <w:rsid w:val="007911D3"/>
    <w:rsid w:val="00791AF2"/>
    <w:rsid w:val="007920C8"/>
    <w:rsid w:val="0079266D"/>
    <w:rsid w:val="00792B9D"/>
    <w:rsid w:val="00794C32"/>
    <w:rsid w:val="00794C72"/>
    <w:rsid w:val="00795639"/>
    <w:rsid w:val="00796C58"/>
    <w:rsid w:val="007977F8"/>
    <w:rsid w:val="007A6BBB"/>
    <w:rsid w:val="007A6D41"/>
    <w:rsid w:val="007A6DD7"/>
    <w:rsid w:val="007A719B"/>
    <w:rsid w:val="007B0C89"/>
    <w:rsid w:val="007B25D2"/>
    <w:rsid w:val="007C097E"/>
    <w:rsid w:val="007C0F9F"/>
    <w:rsid w:val="007C182C"/>
    <w:rsid w:val="007C412E"/>
    <w:rsid w:val="007D1F86"/>
    <w:rsid w:val="007D2399"/>
    <w:rsid w:val="007D4C85"/>
    <w:rsid w:val="007D5B1C"/>
    <w:rsid w:val="007E009C"/>
    <w:rsid w:val="007E0339"/>
    <w:rsid w:val="007E2CAC"/>
    <w:rsid w:val="007E36D1"/>
    <w:rsid w:val="007E45A5"/>
    <w:rsid w:val="007E6132"/>
    <w:rsid w:val="007E6CA0"/>
    <w:rsid w:val="007F2663"/>
    <w:rsid w:val="007F372B"/>
    <w:rsid w:val="007F431A"/>
    <w:rsid w:val="0080037F"/>
    <w:rsid w:val="008005FF"/>
    <w:rsid w:val="00800F20"/>
    <w:rsid w:val="00801EA1"/>
    <w:rsid w:val="00804DA3"/>
    <w:rsid w:val="00806887"/>
    <w:rsid w:val="00814BFC"/>
    <w:rsid w:val="00815E54"/>
    <w:rsid w:val="008175F4"/>
    <w:rsid w:val="008244DB"/>
    <w:rsid w:val="00826A07"/>
    <w:rsid w:val="0083021E"/>
    <w:rsid w:val="0083098E"/>
    <w:rsid w:val="00834F59"/>
    <w:rsid w:val="0083775F"/>
    <w:rsid w:val="00843C85"/>
    <w:rsid w:val="00844FF4"/>
    <w:rsid w:val="008465E2"/>
    <w:rsid w:val="0084701C"/>
    <w:rsid w:val="00850319"/>
    <w:rsid w:val="00857DB7"/>
    <w:rsid w:val="00862092"/>
    <w:rsid w:val="00862A9D"/>
    <w:rsid w:val="00865475"/>
    <w:rsid w:val="00866F69"/>
    <w:rsid w:val="008710CE"/>
    <w:rsid w:val="008745C6"/>
    <w:rsid w:val="0088094A"/>
    <w:rsid w:val="008854B6"/>
    <w:rsid w:val="00886319"/>
    <w:rsid w:val="0088647C"/>
    <w:rsid w:val="008927BD"/>
    <w:rsid w:val="00893994"/>
    <w:rsid w:val="008968E2"/>
    <w:rsid w:val="008A0916"/>
    <w:rsid w:val="008A0C49"/>
    <w:rsid w:val="008A7340"/>
    <w:rsid w:val="008B2499"/>
    <w:rsid w:val="008B40B9"/>
    <w:rsid w:val="008B529D"/>
    <w:rsid w:val="008C0834"/>
    <w:rsid w:val="008C1861"/>
    <w:rsid w:val="008C37D3"/>
    <w:rsid w:val="008C63F9"/>
    <w:rsid w:val="008C7BFC"/>
    <w:rsid w:val="008D01E2"/>
    <w:rsid w:val="008D0207"/>
    <w:rsid w:val="008D12C9"/>
    <w:rsid w:val="008D2F4A"/>
    <w:rsid w:val="008D5C6E"/>
    <w:rsid w:val="008D7FF9"/>
    <w:rsid w:val="008E181C"/>
    <w:rsid w:val="008F1E5F"/>
    <w:rsid w:val="008F2057"/>
    <w:rsid w:val="008F5093"/>
    <w:rsid w:val="008F6062"/>
    <w:rsid w:val="009035CA"/>
    <w:rsid w:val="00904E5E"/>
    <w:rsid w:val="009063AB"/>
    <w:rsid w:val="00913686"/>
    <w:rsid w:val="00917190"/>
    <w:rsid w:val="00923D13"/>
    <w:rsid w:val="00923F47"/>
    <w:rsid w:val="00924846"/>
    <w:rsid w:val="0092597B"/>
    <w:rsid w:val="009317E0"/>
    <w:rsid w:val="0093215F"/>
    <w:rsid w:val="009352F0"/>
    <w:rsid w:val="009354D6"/>
    <w:rsid w:val="00943E39"/>
    <w:rsid w:val="0094793E"/>
    <w:rsid w:val="00956D65"/>
    <w:rsid w:val="00956EFC"/>
    <w:rsid w:val="00960AA6"/>
    <w:rsid w:val="00961F6F"/>
    <w:rsid w:val="00965C87"/>
    <w:rsid w:val="00967C2E"/>
    <w:rsid w:val="00974BF0"/>
    <w:rsid w:val="00985226"/>
    <w:rsid w:val="00992D4A"/>
    <w:rsid w:val="009940B6"/>
    <w:rsid w:val="009974F6"/>
    <w:rsid w:val="009A1505"/>
    <w:rsid w:val="009A153B"/>
    <w:rsid w:val="009A188B"/>
    <w:rsid w:val="009A4EC5"/>
    <w:rsid w:val="009B0166"/>
    <w:rsid w:val="009B0401"/>
    <w:rsid w:val="009B12C6"/>
    <w:rsid w:val="009B16BD"/>
    <w:rsid w:val="009B2BCA"/>
    <w:rsid w:val="009B3833"/>
    <w:rsid w:val="009C4788"/>
    <w:rsid w:val="009C5A3A"/>
    <w:rsid w:val="009C63E8"/>
    <w:rsid w:val="009D3B6B"/>
    <w:rsid w:val="009D5289"/>
    <w:rsid w:val="009D6E08"/>
    <w:rsid w:val="009E0B8A"/>
    <w:rsid w:val="009E1D3C"/>
    <w:rsid w:val="009E3713"/>
    <w:rsid w:val="009E431C"/>
    <w:rsid w:val="009E74E8"/>
    <w:rsid w:val="009F1F67"/>
    <w:rsid w:val="009F380F"/>
    <w:rsid w:val="00A019A5"/>
    <w:rsid w:val="00A0222E"/>
    <w:rsid w:val="00A02E03"/>
    <w:rsid w:val="00A11AED"/>
    <w:rsid w:val="00A13212"/>
    <w:rsid w:val="00A14617"/>
    <w:rsid w:val="00A14A23"/>
    <w:rsid w:val="00A15251"/>
    <w:rsid w:val="00A152E9"/>
    <w:rsid w:val="00A22960"/>
    <w:rsid w:val="00A237DF"/>
    <w:rsid w:val="00A25170"/>
    <w:rsid w:val="00A255DA"/>
    <w:rsid w:val="00A266A3"/>
    <w:rsid w:val="00A27684"/>
    <w:rsid w:val="00A328DA"/>
    <w:rsid w:val="00A32C28"/>
    <w:rsid w:val="00A33AAA"/>
    <w:rsid w:val="00A36E2A"/>
    <w:rsid w:val="00A3770C"/>
    <w:rsid w:val="00A402A5"/>
    <w:rsid w:val="00A4298B"/>
    <w:rsid w:val="00A43A2D"/>
    <w:rsid w:val="00A44844"/>
    <w:rsid w:val="00A4500B"/>
    <w:rsid w:val="00A45573"/>
    <w:rsid w:val="00A46924"/>
    <w:rsid w:val="00A47173"/>
    <w:rsid w:val="00A507BC"/>
    <w:rsid w:val="00A50AE7"/>
    <w:rsid w:val="00A522D3"/>
    <w:rsid w:val="00A543D6"/>
    <w:rsid w:val="00A55BAC"/>
    <w:rsid w:val="00A564DA"/>
    <w:rsid w:val="00A60358"/>
    <w:rsid w:val="00A60479"/>
    <w:rsid w:val="00A639ED"/>
    <w:rsid w:val="00A65C6C"/>
    <w:rsid w:val="00A6639E"/>
    <w:rsid w:val="00A66DC0"/>
    <w:rsid w:val="00A71457"/>
    <w:rsid w:val="00A75911"/>
    <w:rsid w:val="00A802DE"/>
    <w:rsid w:val="00A8055D"/>
    <w:rsid w:val="00A8116A"/>
    <w:rsid w:val="00A82645"/>
    <w:rsid w:val="00A82DB5"/>
    <w:rsid w:val="00A8549E"/>
    <w:rsid w:val="00A856FC"/>
    <w:rsid w:val="00A86FF0"/>
    <w:rsid w:val="00A87B1E"/>
    <w:rsid w:val="00A90845"/>
    <w:rsid w:val="00A93B89"/>
    <w:rsid w:val="00A9631A"/>
    <w:rsid w:val="00AA16B7"/>
    <w:rsid w:val="00AA1EA3"/>
    <w:rsid w:val="00AA3F61"/>
    <w:rsid w:val="00AA4B8E"/>
    <w:rsid w:val="00AA52E6"/>
    <w:rsid w:val="00AA546B"/>
    <w:rsid w:val="00AB0BA1"/>
    <w:rsid w:val="00AB2172"/>
    <w:rsid w:val="00AB273F"/>
    <w:rsid w:val="00AB32D4"/>
    <w:rsid w:val="00AB36EE"/>
    <w:rsid w:val="00AB5CEC"/>
    <w:rsid w:val="00AC109D"/>
    <w:rsid w:val="00AC45E1"/>
    <w:rsid w:val="00AC5F4B"/>
    <w:rsid w:val="00AC6690"/>
    <w:rsid w:val="00AD0401"/>
    <w:rsid w:val="00AD075F"/>
    <w:rsid w:val="00AD16D1"/>
    <w:rsid w:val="00AD5A6F"/>
    <w:rsid w:val="00AE117F"/>
    <w:rsid w:val="00AE360F"/>
    <w:rsid w:val="00AE399B"/>
    <w:rsid w:val="00AE3A02"/>
    <w:rsid w:val="00AE468F"/>
    <w:rsid w:val="00AF2F76"/>
    <w:rsid w:val="00AF5E3B"/>
    <w:rsid w:val="00AF60B0"/>
    <w:rsid w:val="00B00051"/>
    <w:rsid w:val="00B03F71"/>
    <w:rsid w:val="00B0615E"/>
    <w:rsid w:val="00B07153"/>
    <w:rsid w:val="00B10D28"/>
    <w:rsid w:val="00B1485E"/>
    <w:rsid w:val="00B216C9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54B"/>
    <w:rsid w:val="00B35A42"/>
    <w:rsid w:val="00B40A2E"/>
    <w:rsid w:val="00B42510"/>
    <w:rsid w:val="00B4347A"/>
    <w:rsid w:val="00B44200"/>
    <w:rsid w:val="00B4495A"/>
    <w:rsid w:val="00B50635"/>
    <w:rsid w:val="00B515D9"/>
    <w:rsid w:val="00B51B5D"/>
    <w:rsid w:val="00B53253"/>
    <w:rsid w:val="00B53B9D"/>
    <w:rsid w:val="00B5571A"/>
    <w:rsid w:val="00B579F1"/>
    <w:rsid w:val="00B57C96"/>
    <w:rsid w:val="00B60755"/>
    <w:rsid w:val="00B61218"/>
    <w:rsid w:val="00B63ACC"/>
    <w:rsid w:val="00B63B58"/>
    <w:rsid w:val="00B6536E"/>
    <w:rsid w:val="00B672DD"/>
    <w:rsid w:val="00B73E60"/>
    <w:rsid w:val="00B7567F"/>
    <w:rsid w:val="00B75CE3"/>
    <w:rsid w:val="00B76026"/>
    <w:rsid w:val="00B76EDB"/>
    <w:rsid w:val="00B77695"/>
    <w:rsid w:val="00B77C24"/>
    <w:rsid w:val="00B823A1"/>
    <w:rsid w:val="00B8276F"/>
    <w:rsid w:val="00B83058"/>
    <w:rsid w:val="00B8315B"/>
    <w:rsid w:val="00B866DC"/>
    <w:rsid w:val="00B86A6B"/>
    <w:rsid w:val="00B879E4"/>
    <w:rsid w:val="00B9114E"/>
    <w:rsid w:val="00B93118"/>
    <w:rsid w:val="00B9505C"/>
    <w:rsid w:val="00B95ECD"/>
    <w:rsid w:val="00BA005B"/>
    <w:rsid w:val="00BA15EE"/>
    <w:rsid w:val="00BA1CC6"/>
    <w:rsid w:val="00BA232D"/>
    <w:rsid w:val="00BA39F7"/>
    <w:rsid w:val="00BA414C"/>
    <w:rsid w:val="00BB1AD1"/>
    <w:rsid w:val="00BB69B3"/>
    <w:rsid w:val="00BB7690"/>
    <w:rsid w:val="00BC02D9"/>
    <w:rsid w:val="00BC14AF"/>
    <w:rsid w:val="00BC31DF"/>
    <w:rsid w:val="00BC3521"/>
    <w:rsid w:val="00BC3527"/>
    <w:rsid w:val="00BC4047"/>
    <w:rsid w:val="00BC5D89"/>
    <w:rsid w:val="00BD16CA"/>
    <w:rsid w:val="00BD30AC"/>
    <w:rsid w:val="00BE09F5"/>
    <w:rsid w:val="00BE2003"/>
    <w:rsid w:val="00BE2804"/>
    <w:rsid w:val="00BE3C44"/>
    <w:rsid w:val="00BE427A"/>
    <w:rsid w:val="00BE673D"/>
    <w:rsid w:val="00BE71AF"/>
    <w:rsid w:val="00BE7F7B"/>
    <w:rsid w:val="00BF0583"/>
    <w:rsid w:val="00BF2153"/>
    <w:rsid w:val="00BF465B"/>
    <w:rsid w:val="00BF4C75"/>
    <w:rsid w:val="00C02EEA"/>
    <w:rsid w:val="00C04DB0"/>
    <w:rsid w:val="00C05607"/>
    <w:rsid w:val="00C1125A"/>
    <w:rsid w:val="00C11A08"/>
    <w:rsid w:val="00C11BFE"/>
    <w:rsid w:val="00C14531"/>
    <w:rsid w:val="00C14899"/>
    <w:rsid w:val="00C20777"/>
    <w:rsid w:val="00C272E1"/>
    <w:rsid w:val="00C32BBE"/>
    <w:rsid w:val="00C33A92"/>
    <w:rsid w:val="00C34CC2"/>
    <w:rsid w:val="00C40A01"/>
    <w:rsid w:val="00C40BC6"/>
    <w:rsid w:val="00C410B4"/>
    <w:rsid w:val="00C42F47"/>
    <w:rsid w:val="00C44B7E"/>
    <w:rsid w:val="00C46F1D"/>
    <w:rsid w:val="00C478CA"/>
    <w:rsid w:val="00C514FE"/>
    <w:rsid w:val="00C54946"/>
    <w:rsid w:val="00C55EAF"/>
    <w:rsid w:val="00C61628"/>
    <w:rsid w:val="00C618EA"/>
    <w:rsid w:val="00C62730"/>
    <w:rsid w:val="00C63BB9"/>
    <w:rsid w:val="00C73274"/>
    <w:rsid w:val="00C74282"/>
    <w:rsid w:val="00C74E28"/>
    <w:rsid w:val="00C76059"/>
    <w:rsid w:val="00C763B6"/>
    <w:rsid w:val="00C80B0F"/>
    <w:rsid w:val="00C81A5E"/>
    <w:rsid w:val="00C84436"/>
    <w:rsid w:val="00C84C1F"/>
    <w:rsid w:val="00C8504B"/>
    <w:rsid w:val="00C90258"/>
    <w:rsid w:val="00C95738"/>
    <w:rsid w:val="00C97114"/>
    <w:rsid w:val="00CA27BE"/>
    <w:rsid w:val="00CA3D62"/>
    <w:rsid w:val="00CA60D1"/>
    <w:rsid w:val="00CA6229"/>
    <w:rsid w:val="00CA7B19"/>
    <w:rsid w:val="00CB617A"/>
    <w:rsid w:val="00CB66C9"/>
    <w:rsid w:val="00CC1560"/>
    <w:rsid w:val="00CC1EFE"/>
    <w:rsid w:val="00CC2C54"/>
    <w:rsid w:val="00CC2DBB"/>
    <w:rsid w:val="00CC36BA"/>
    <w:rsid w:val="00CC61C0"/>
    <w:rsid w:val="00CD68F7"/>
    <w:rsid w:val="00CE003D"/>
    <w:rsid w:val="00CE1406"/>
    <w:rsid w:val="00CE2FB2"/>
    <w:rsid w:val="00CE4297"/>
    <w:rsid w:val="00CE4717"/>
    <w:rsid w:val="00CE60C7"/>
    <w:rsid w:val="00CE635F"/>
    <w:rsid w:val="00CE6644"/>
    <w:rsid w:val="00CF19F0"/>
    <w:rsid w:val="00D0172C"/>
    <w:rsid w:val="00D0393B"/>
    <w:rsid w:val="00D045BE"/>
    <w:rsid w:val="00D05D41"/>
    <w:rsid w:val="00D06322"/>
    <w:rsid w:val="00D10703"/>
    <w:rsid w:val="00D131AD"/>
    <w:rsid w:val="00D15D61"/>
    <w:rsid w:val="00D17BCC"/>
    <w:rsid w:val="00D202CE"/>
    <w:rsid w:val="00D21629"/>
    <w:rsid w:val="00D217EB"/>
    <w:rsid w:val="00D22D29"/>
    <w:rsid w:val="00D22E39"/>
    <w:rsid w:val="00D25D5C"/>
    <w:rsid w:val="00D25ECB"/>
    <w:rsid w:val="00D273F7"/>
    <w:rsid w:val="00D31057"/>
    <w:rsid w:val="00D3129B"/>
    <w:rsid w:val="00D31D84"/>
    <w:rsid w:val="00D3206E"/>
    <w:rsid w:val="00D322F6"/>
    <w:rsid w:val="00D33792"/>
    <w:rsid w:val="00D33E85"/>
    <w:rsid w:val="00D3466E"/>
    <w:rsid w:val="00D364FF"/>
    <w:rsid w:val="00D40B06"/>
    <w:rsid w:val="00D419C1"/>
    <w:rsid w:val="00D42286"/>
    <w:rsid w:val="00D4344A"/>
    <w:rsid w:val="00D44666"/>
    <w:rsid w:val="00D44F36"/>
    <w:rsid w:val="00D47002"/>
    <w:rsid w:val="00D51C62"/>
    <w:rsid w:val="00D52D77"/>
    <w:rsid w:val="00D545D1"/>
    <w:rsid w:val="00D547CE"/>
    <w:rsid w:val="00D60683"/>
    <w:rsid w:val="00D615AF"/>
    <w:rsid w:val="00D63F0B"/>
    <w:rsid w:val="00D671CF"/>
    <w:rsid w:val="00D712CD"/>
    <w:rsid w:val="00D753CA"/>
    <w:rsid w:val="00D75F66"/>
    <w:rsid w:val="00D761F0"/>
    <w:rsid w:val="00D866A8"/>
    <w:rsid w:val="00D908F4"/>
    <w:rsid w:val="00D90E8F"/>
    <w:rsid w:val="00D92164"/>
    <w:rsid w:val="00D957E6"/>
    <w:rsid w:val="00D97B5F"/>
    <w:rsid w:val="00DA078C"/>
    <w:rsid w:val="00DA1AD3"/>
    <w:rsid w:val="00DA1EC3"/>
    <w:rsid w:val="00DA3B77"/>
    <w:rsid w:val="00DB10E5"/>
    <w:rsid w:val="00DB1D8E"/>
    <w:rsid w:val="00DB1F20"/>
    <w:rsid w:val="00DB4AB6"/>
    <w:rsid w:val="00DC1B13"/>
    <w:rsid w:val="00DC3EC4"/>
    <w:rsid w:val="00DC72C9"/>
    <w:rsid w:val="00DD00FC"/>
    <w:rsid w:val="00DD32DC"/>
    <w:rsid w:val="00DD3741"/>
    <w:rsid w:val="00DD3B35"/>
    <w:rsid w:val="00DD7CE5"/>
    <w:rsid w:val="00DE00B3"/>
    <w:rsid w:val="00DE31B2"/>
    <w:rsid w:val="00DE3F36"/>
    <w:rsid w:val="00DF0D5D"/>
    <w:rsid w:val="00DF370A"/>
    <w:rsid w:val="00DF5565"/>
    <w:rsid w:val="00DF57A9"/>
    <w:rsid w:val="00E008D4"/>
    <w:rsid w:val="00E02205"/>
    <w:rsid w:val="00E03116"/>
    <w:rsid w:val="00E04372"/>
    <w:rsid w:val="00E04570"/>
    <w:rsid w:val="00E10486"/>
    <w:rsid w:val="00E10E1D"/>
    <w:rsid w:val="00E12C0B"/>
    <w:rsid w:val="00E13E4F"/>
    <w:rsid w:val="00E14F35"/>
    <w:rsid w:val="00E15C7F"/>
    <w:rsid w:val="00E17A3E"/>
    <w:rsid w:val="00E17DAF"/>
    <w:rsid w:val="00E20C70"/>
    <w:rsid w:val="00E21E65"/>
    <w:rsid w:val="00E24996"/>
    <w:rsid w:val="00E2506B"/>
    <w:rsid w:val="00E2637E"/>
    <w:rsid w:val="00E26A9B"/>
    <w:rsid w:val="00E30522"/>
    <w:rsid w:val="00E3143B"/>
    <w:rsid w:val="00E3246E"/>
    <w:rsid w:val="00E3406E"/>
    <w:rsid w:val="00E34D26"/>
    <w:rsid w:val="00E351E6"/>
    <w:rsid w:val="00E3576E"/>
    <w:rsid w:val="00E46BFB"/>
    <w:rsid w:val="00E47151"/>
    <w:rsid w:val="00E544AE"/>
    <w:rsid w:val="00E6179C"/>
    <w:rsid w:val="00E641DD"/>
    <w:rsid w:val="00E6738B"/>
    <w:rsid w:val="00E67B46"/>
    <w:rsid w:val="00E67C88"/>
    <w:rsid w:val="00E704FD"/>
    <w:rsid w:val="00E72CBA"/>
    <w:rsid w:val="00E72E07"/>
    <w:rsid w:val="00E74473"/>
    <w:rsid w:val="00E75EB6"/>
    <w:rsid w:val="00E76E39"/>
    <w:rsid w:val="00E820BE"/>
    <w:rsid w:val="00E822F6"/>
    <w:rsid w:val="00E838E1"/>
    <w:rsid w:val="00E84F8D"/>
    <w:rsid w:val="00E95933"/>
    <w:rsid w:val="00E95F7C"/>
    <w:rsid w:val="00E9645A"/>
    <w:rsid w:val="00E9693C"/>
    <w:rsid w:val="00E978D6"/>
    <w:rsid w:val="00EA10AC"/>
    <w:rsid w:val="00EA3165"/>
    <w:rsid w:val="00EA695D"/>
    <w:rsid w:val="00EA76F2"/>
    <w:rsid w:val="00EA7832"/>
    <w:rsid w:val="00EB1B2D"/>
    <w:rsid w:val="00EB7202"/>
    <w:rsid w:val="00EC0867"/>
    <w:rsid w:val="00EC2E57"/>
    <w:rsid w:val="00EC465B"/>
    <w:rsid w:val="00EC47C1"/>
    <w:rsid w:val="00EC616A"/>
    <w:rsid w:val="00EC7899"/>
    <w:rsid w:val="00ED20A1"/>
    <w:rsid w:val="00ED2E9B"/>
    <w:rsid w:val="00ED57FF"/>
    <w:rsid w:val="00ED618F"/>
    <w:rsid w:val="00EE1388"/>
    <w:rsid w:val="00EE1C4B"/>
    <w:rsid w:val="00EE247B"/>
    <w:rsid w:val="00EE45E0"/>
    <w:rsid w:val="00EE500C"/>
    <w:rsid w:val="00EE5DE3"/>
    <w:rsid w:val="00EF04D0"/>
    <w:rsid w:val="00EF20FA"/>
    <w:rsid w:val="00EF33AA"/>
    <w:rsid w:val="00EF33BF"/>
    <w:rsid w:val="00F01552"/>
    <w:rsid w:val="00F03B37"/>
    <w:rsid w:val="00F04E6C"/>
    <w:rsid w:val="00F053D3"/>
    <w:rsid w:val="00F05A5E"/>
    <w:rsid w:val="00F0643F"/>
    <w:rsid w:val="00F06E88"/>
    <w:rsid w:val="00F07576"/>
    <w:rsid w:val="00F10A17"/>
    <w:rsid w:val="00F13BD5"/>
    <w:rsid w:val="00F16C1A"/>
    <w:rsid w:val="00F213CE"/>
    <w:rsid w:val="00F219AA"/>
    <w:rsid w:val="00F24208"/>
    <w:rsid w:val="00F2579D"/>
    <w:rsid w:val="00F30FE9"/>
    <w:rsid w:val="00F3272C"/>
    <w:rsid w:val="00F32A59"/>
    <w:rsid w:val="00F34EFD"/>
    <w:rsid w:val="00F3554B"/>
    <w:rsid w:val="00F35C53"/>
    <w:rsid w:val="00F36576"/>
    <w:rsid w:val="00F37BAD"/>
    <w:rsid w:val="00F409C4"/>
    <w:rsid w:val="00F4108C"/>
    <w:rsid w:val="00F42027"/>
    <w:rsid w:val="00F42511"/>
    <w:rsid w:val="00F42D06"/>
    <w:rsid w:val="00F43C63"/>
    <w:rsid w:val="00F43D57"/>
    <w:rsid w:val="00F45EEF"/>
    <w:rsid w:val="00F468AF"/>
    <w:rsid w:val="00F478BA"/>
    <w:rsid w:val="00F5086E"/>
    <w:rsid w:val="00F5246A"/>
    <w:rsid w:val="00F52A3E"/>
    <w:rsid w:val="00F534A9"/>
    <w:rsid w:val="00F557CA"/>
    <w:rsid w:val="00F566D5"/>
    <w:rsid w:val="00F615F6"/>
    <w:rsid w:val="00F675A4"/>
    <w:rsid w:val="00F74B18"/>
    <w:rsid w:val="00F74E88"/>
    <w:rsid w:val="00F7530C"/>
    <w:rsid w:val="00F75378"/>
    <w:rsid w:val="00F76A55"/>
    <w:rsid w:val="00F813D6"/>
    <w:rsid w:val="00F81C63"/>
    <w:rsid w:val="00F827B5"/>
    <w:rsid w:val="00F84DBD"/>
    <w:rsid w:val="00F85729"/>
    <w:rsid w:val="00F901AC"/>
    <w:rsid w:val="00F90B0D"/>
    <w:rsid w:val="00F919B3"/>
    <w:rsid w:val="00F93E86"/>
    <w:rsid w:val="00F9434B"/>
    <w:rsid w:val="00F97F98"/>
    <w:rsid w:val="00FA01F6"/>
    <w:rsid w:val="00FA08D5"/>
    <w:rsid w:val="00FA11C9"/>
    <w:rsid w:val="00FA5D55"/>
    <w:rsid w:val="00FA65F1"/>
    <w:rsid w:val="00FA6D7E"/>
    <w:rsid w:val="00FA788E"/>
    <w:rsid w:val="00FA7A5E"/>
    <w:rsid w:val="00FA7F97"/>
    <w:rsid w:val="00FB1437"/>
    <w:rsid w:val="00FD08E0"/>
    <w:rsid w:val="00FD2EFF"/>
    <w:rsid w:val="00FD32D6"/>
    <w:rsid w:val="00FD3763"/>
    <w:rsid w:val="00FD57EA"/>
    <w:rsid w:val="00FE4453"/>
    <w:rsid w:val="00FE47A5"/>
    <w:rsid w:val="00FF003D"/>
    <w:rsid w:val="00FF05E8"/>
    <w:rsid w:val="00FF5ABC"/>
    <w:rsid w:val="00FF5B68"/>
    <w:rsid w:val="00FF5D45"/>
    <w:rsid w:val="00FF785E"/>
    <w:rsid w:val="014FE0AD"/>
    <w:rsid w:val="0216736F"/>
    <w:rsid w:val="0355E25A"/>
    <w:rsid w:val="04B9D738"/>
    <w:rsid w:val="05AB5096"/>
    <w:rsid w:val="08FDC91A"/>
    <w:rsid w:val="0917D233"/>
    <w:rsid w:val="09E63413"/>
    <w:rsid w:val="0AD746C6"/>
    <w:rsid w:val="0B8C484C"/>
    <w:rsid w:val="0BB1688D"/>
    <w:rsid w:val="0BF67439"/>
    <w:rsid w:val="0CABB230"/>
    <w:rsid w:val="0D6E507C"/>
    <w:rsid w:val="0DE56438"/>
    <w:rsid w:val="0E5BB735"/>
    <w:rsid w:val="0F3F0FCD"/>
    <w:rsid w:val="0FEF1712"/>
    <w:rsid w:val="101C00A6"/>
    <w:rsid w:val="1051F376"/>
    <w:rsid w:val="1060A0D1"/>
    <w:rsid w:val="13D3EBA7"/>
    <w:rsid w:val="14F6F3EB"/>
    <w:rsid w:val="1AECB8E4"/>
    <w:rsid w:val="1C0A7E44"/>
    <w:rsid w:val="1C48CE39"/>
    <w:rsid w:val="1C72FE4B"/>
    <w:rsid w:val="20DF5814"/>
    <w:rsid w:val="21E0DEB9"/>
    <w:rsid w:val="229ACC63"/>
    <w:rsid w:val="229C498C"/>
    <w:rsid w:val="23E98464"/>
    <w:rsid w:val="25442806"/>
    <w:rsid w:val="2550CB02"/>
    <w:rsid w:val="2595916F"/>
    <w:rsid w:val="289B4ED5"/>
    <w:rsid w:val="2B1D707E"/>
    <w:rsid w:val="2D6926D9"/>
    <w:rsid w:val="2E1DB8E6"/>
    <w:rsid w:val="2F039BF1"/>
    <w:rsid w:val="323E60C8"/>
    <w:rsid w:val="32935115"/>
    <w:rsid w:val="33B46C16"/>
    <w:rsid w:val="347A7C2F"/>
    <w:rsid w:val="34C60E1B"/>
    <w:rsid w:val="34F1DEE2"/>
    <w:rsid w:val="3526FD0B"/>
    <w:rsid w:val="35510A2F"/>
    <w:rsid w:val="35A7BA21"/>
    <w:rsid w:val="38B25DC3"/>
    <w:rsid w:val="39A91DC7"/>
    <w:rsid w:val="39B53EE1"/>
    <w:rsid w:val="39FE9751"/>
    <w:rsid w:val="3BB092C4"/>
    <w:rsid w:val="3E53C804"/>
    <w:rsid w:val="3E97D6BC"/>
    <w:rsid w:val="40492DB0"/>
    <w:rsid w:val="41BA2F6D"/>
    <w:rsid w:val="426215D8"/>
    <w:rsid w:val="43773131"/>
    <w:rsid w:val="44584FEB"/>
    <w:rsid w:val="4727C963"/>
    <w:rsid w:val="47F82249"/>
    <w:rsid w:val="489E7067"/>
    <w:rsid w:val="4B04D174"/>
    <w:rsid w:val="4C0B174D"/>
    <w:rsid w:val="4C3D8866"/>
    <w:rsid w:val="4E17A0C4"/>
    <w:rsid w:val="4E6BC0DC"/>
    <w:rsid w:val="52528342"/>
    <w:rsid w:val="52D42040"/>
    <w:rsid w:val="53702935"/>
    <w:rsid w:val="5372D3E9"/>
    <w:rsid w:val="54938579"/>
    <w:rsid w:val="573ADEB6"/>
    <w:rsid w:val="5923B86C"/>
    <w:rsid w:val="5AD73A71"/>
    <w:rsid w:val="5B2AA199"/>
    <w:rsid w:val="5C42A3FE"/>
    <w:rsid w:val="5C5F4574"/>
    <w:rsid w:val="5D6EEA6A"/>
    <w:rsid w:val="5F115384"/>
    <w:rsid w:val="63D0F73D"/>
    <w:rsid w:val="63DE79A4"/>
    <w:rsid w:val="6415BAB3"/>
    <w:rsid w:val="646CA249"/>
    <w:rsid w:val="649C4192"/>
    <w:rsid w:val="6607EBDE"/>
    <w:rsid w:val="6623B768"/>
    <w:rsid w:val="66A8FC5B"/>
    <w:rsid w:val="67FD2F78"/>
    <w:rsid w:val="685A554C"/>
    <w:rsid w:val="68844FEC"/>
    <w:rsid w:val="69854BCC"/>
    <w:rsid w:val="6B0F592E"/>
    <w:rsid w:val="7007F8F0"/>
    <w:rsid w:val="70395A15"/>
    <w:rsid w:val="709F94FB"/>
    <w:rsid w:val="70ADF437"/>
    <w:rsid w:val="718F7F72"/>
    <w:rsid w:val="74630AD0"/>
    <w:rsid w:val="751431EB"/>
    <w:rsid w:val="7573E835"/>
    <w:rsid w:val="7596E27E"/>
    <w:rsid w:val="7670C2D4"/>
    <w:rsid w:val="78E8B6B3"/>
    <w:rsid w:val="79CD8E6C"/>
    <w:rsid w:val="7B724398"/>
    <w:rsid w:val="7CA797E1"/>
    <w:rsid w:val="7CB0F3E3"/>
    <w:rsid w:val="7CBC108B"/>
    <w:rsid w:val="7CCE3AC5"/>
    <w:rsid w:val="7E3B59BB"/>
    <w:rsid w:val="7E837C19"/>
    <w:rsid w:val="7E8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E7193"/>
  <w15:docId w15:val="{182CDE6E-332E-442A-9DC9-5081E37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C6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  <w:style w:type="paragraph" w:styleId="NormalWeb">
    <w:name w:val="Normal (Web)"/>
    <w:basedOn w:val="Normal"/>
    <w:uiPriority w:val="99"/>
    <w:unhideWhenUsed/>
    <w:rsid w:val="008F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/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3.xml><?xml version="1.0" encoding="utf-8"?>
<ds:datastoreItem xmlns:ds="http://schemas.openxmlformats.org/officeDocument/2006/customXml" ds:itemID="{AD969B16-1915-44FD-B276-32832E5E1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1111</Words>
  <Characters>7135</Characters>
  <Application>Microsoft Office Word</Application>
  <DocSecurity>0</DocSecurity>
  <Lines>285</Lines>
  <Paragraphs>201</Paragraphs>
  <ScaleCrop>false</ScaleCrop>
  <Company>European Commission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WILLAIN Jean (ENV)</cp:lastModifiedBy>
  <cp:revision>92</cp:revision>
  <cp:lastPrinted>2023-01-06T09:07:00Z</cp:lastPrinted>
  <dcterms:created xsi:type="dcterms:W3CDTF">2025-07-22T06:11:00Z</dcterms:created>
  <dcterms:modified xsi:type="dcterms:W3CDTF">2025-07-22T07:54:00Z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