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FBC2F6" w14:textId="77777777" w:rsidR="00F424BF" w:rsidRDefault="00000000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ВИСНОВКИ</w:t>
      </w:r>
    </w:p>
    <w:p w14:paraId="0173077A" w14:textId="77777777" w:rsidR="00F424BF" w:rsidRDefault="00F424BF">
      <w:pPr>
        <w:jc w:val="center"/>
        <w:rPr>
          <w:sz w:val="28"/>
          <w:szCs w:val="28"/>
          <w:lang w:val="uk-UA"/>
        </w:rPr>
      </w:pPr>
    </w:p>
    <w:p w14:paraId="34F28376" w14:textId="77777777" w:rsidR="00F424BF" w:rsidRDefault="00F424BF">
      <w:pPr>
        <w:jc w:val="center"/>
        <w:rPr>
          <w:sz w:val="28"/>
          <w:szCs w:val="28"/>
          <w:lang w:val="uk-UA"/>
        </w:rPr>
      </w:pPr>
    </w:p>
    <w:p w14:paraId="56AA2789" w14:textId="77777777" w:rsidR="00F424BF" w:rsidRDefault="00000000">
      <w:pPr>
        <w:jc w:val="center"/>
      </w:pPr>
      <w:r>
        <w:rPr>
          <w:sz w:val="28"/>
          <w:szCs w:val="28"/>
          <w:lang w:val="uk-UA"/>
        </w:rPr>
        <w:t xml:space="preserve">щодо остаточного звіту з теми плану </w:t>
      </w:r>
      <w:proofErr w:type="spellStart"/>
      <w:r>
        <w:rPr>
          <w:sz w:val="28"/>
          <w:szCs w:val="28"/>
          <w:lang w:val="uk-UA"/>
        </w:rPr>
        <w:t>НДР</w:t>
      </w:r>
      <w:proofErr w:type="spellEnd"/>
      <w:r>
        <w:rPr>
          <w:sz w:val="28"/>
          <w:szCs w:val="28"/>
          <w:lang w:val="uk-UA"/>
        </w:rPr>
        <w:t xml:space="preserve"> 1.3.1.436-22 (І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2022 р. — 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>. 2025 р.)</w:t>
      </w:r>
    </w:p>
    <w:p w14:paraId="58BBA269" w14:textId="77777777" w:rsidR="00F424BF" w:rsidRDefault="00000000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«Розв’язання плоских та просторових задач механіки руйнування для тріщин нормального відриву із когезійними зонами»</w:t>
      </w:r>
    </w:p>
    <w:p w14:paraId="315288B6" w14:textId="77777777" w:rsidR="00F424BF" w:rsidRDefault="00F424BF">
      <w:pPr>
        <w:jc w:val="center"/>
        <w:rPr>
          <w:sz w:val="28"/>
          <w:szCs w:val="28"/>
          <w:lang w:val="uk-UA"/>
        </w:rPr>
      </w:pPr>
    </w:p>
    <w:p w14:paraId="46537D8B" w14:textId="77777777" w:rsidR="00F424BF" w:rsidRDefault="00F424BF">
      <w:pPr>
        <w:jc w:val="center"/>
        <w:rPr>
          <w:sz w:val="28"/>
          <w:szCs w:val="28"/>
          <w:lang w:val="uk-UA"/>
        </w:rPr>
      </w:pPr>
    </w:p>
    <w:p w14:paraId="0C0405A8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 xml:space="preserve">Впровадження сучасних теоретичних моделей та розробка надійних алгоритмів для визначення параметрів тріщиностійкості й довговічності елементів конструкцій є критично важливою та актуальною задачею сучасної механіки деформівного твердого тіла. Особливого значення це набуває при використанні полімерних композитних матеріалів, складні </w:t>
      </w:r>
      <w:proofErr w:type="spellStart"/>
      <w:r>
        <w:rPr>
          <w:sz w:val="28"/>
          <w:szCs w:val="28"/>
          <w:lang w:val="uk-UA"/>
        </w:rPr>
        <w:t>нелінійно</w:t>
      </w:r>
      <w:proofErr w:type="spellEnd"/>
      <w:r>
        <w:rPr>
          <w:sz w:val="28"/>
          <w:szCs w:val="28"/>
          <w:lang w:val="uk-UA"/>
        </w:rPr>
        <w:t xml:space="preserve">-пружні та </w:t>
      </w:r>
      <w:proofErr w:type="spellStart"/>
      <w:r>
        <w:rPr>
          <w:sz w:val="28"/>
          <w:szCs w:val="28"/>
          <w:lang w:val="uk-UA"/>
        </w:rPr>
        <w:t>в’язкопружні</w:t>
      </w:r>
      <w:proofErr w:type="spellEnd"/>
      <w:r>
        <w:rPr>
          <w:sz w:val="28"/>
          <w:szCs w:val="28"/>
          <w:lang w:val="uk-UA"/>
        </w:rPr>
        <w:t xml:space="preserve"> властивості яких зумовлюють потребу в точному прогнозуванні процесів </w:t>
      </w:r>
      <w:proofErr w:type="spellStart"/>
      <w:r>
        <w:rPr>
          <w:sz w:val="28"/>
          <w:szCs w:val="28"/>
          <w:lang w:val="uk-UA"/>
        </w:rPr>
        <w:t>відтермінованого</w:t>
      </w:r>
      <w:proofErr w:type="spellEnd"/>
      <w:r>
        <w:rPr>
          <w:sz w:val="28"/>
          <w:szCs w:val="28"/>
          <w:lang w:val="uk-UA"/>
        </w:rPr>
        <w:t xml:space="preserve"> руйнування.</w:t>
      </w:r>
    </w:p>
    <w:p w14:paraId="1159AE70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 xml:space="preserve">Роботи, що виконувалися відповідно до плану </w:t>
      </w:r>
      <w:proofErr w:type="spellStart"/>
      <w:r>
        <w:rPr>
          <w:sz w:val="28"/>
          <w:szCs w:val="28"/>
          <w:lang w:val="uk-UA"/>
        </w:rPr>
        <w:t>НДР</w:t>
      </w:r>
      <w:proofErr w:type="spellEnd"/>
      <w:r>
        <w:rPr>
          <w:sz w:val="28"/>
          <w:szCs w:val="28"/>
          <w:lang w:val="uk-UA"/>
        </w:rPr>
        <w:t xml:space="preserve"> 1.3.1.436-22 (номер держреєстрації 0122U000828), на завершальному четвертому етапі мали на меті аналіз отриманих закономірностей руйнування </w:t>
      </w:r>
      <w:proofErr w:type="spellStart"/>
      <w:r>
        <w:rPr>
          <w:sz w:val="28"/>
          <w:szCs w:val="28"/>
          <w:lang w:val="uk-UA"/>
        </w:rPr>
        <w:t>нелінійно</w:t>
      </w:r>
      <w:proofErr w:type="spellEnd"/>
      <w:r>
        <w:rPr>
          <w:sz w:val="28"/>
          <w:szCs w:val="28"/>
          <w:lang w:val="uk-UA"/>
        </w:rPr>
        <w:t xml:space="preserve">-пружних та </w:t>
      </w:r>
      <w:proofErr w:type="spellStart"/>
      <w:r>
        <w:rPr>
          <w:sz w:val="28"/>
          <w:szCs w:val="28"/>
          <w:lang w:val="uk-UA"/>
        </w:rPr>
        <w:t>в’язкопружних</w:t>
      </w:r>
      <w:proofErr w:type="spellEnd"/>
      <w:r>
        <w:rPr>
          <w:sz w:val="28"/>
          <w:szCs w:val="28"/>
          <w:lang w:val="uk-UA"/>
        </w:rPr>
        <w:t xml:space="preserve"> тіл, а також розробку конкретних рекомендацій щодо застосування запропонованих методів для визначення характеристик тріщиностійкості та довговічності сучасних елементів конструкцій.</w:t>
      </w:r>
    </w:p>
    <w:p w14:paraId="3885BF34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>У межах виконання роботи на високому науковому рівні проведено синтез результатів, отриманих на попередніх етапах, зокрема:</w:t>
      </w:r>
    </w:p>
    <w:p w14:paraId="7E04F06C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 xml:space="preserve">• Проаналізовано вплив двовісного навантаження на процеси руйнування </w:t>
      </w:r>
      <w:proofErr w:type="spellStart"/>
      <w:r>
        <w:rPr>
          <w:sz w:val="28"/>
          <w:szCs w:val="28"/>
          <w:lang w:val="uk-UA"/>
        </w:rPr>
        <w:t>нелінійно</w:t>
      </w:r>
      <w:proofErr w:type="spellEnd"/>
      <w:r>
        <w:rPr>
          <w:sz w:val="28"/>
          <w:szCs w:val="28"/>
          <w:lang w:val="uk-UA"/>
        </w:rPr>
        <w:t>-пружних тіл, де було встановлено суттєву трансформацію зон нелінійності під впливом розтягування уздовж тріщини.</w:t>
      </w:r>
    </w:p>
    <w:p w14:paraId="1E886AD4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 xml:space="preserve">• Узагальнено методики моделювання довготривалого руйнування </w:t>
      </w:r>
      <w:proofErr w:type="spellStart"/>
      <w:r>
        <w:rPr>
          <w:sz w:val="28"/>
          <w:szCs w:val="28"/>
          <w:lang w:val="uk-UA"/>
        </w:rPr>
        <w:t>в’язкопружних</w:t>
      </w:r>
      <w:proofErr w:type="spellEnd"/>
      <w:r>
        <w:rPr>
          <w:sz w:val="28"/>
          <w:szCs w:val="28"/>
          <w:lang w:val="uk-UA"/>
        </w:rPr>
        <w:t xml:space="preserve"> елементів, що враховують етапи інкубації та квазістатичного поширення тріщини на основі моделі когезійної зони.</w:t>
      </w:r>
    </w:p>
    <w:p w14:paraId="727709C6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 xml:space="preserve">• Розглянуто нові підходи до розв’язання задач для крайових тріщин, включаючи використання методів </w:t>
      </w:r>
      <w:proofErr w:type="spellStart"/>
      <w:r>
        <w:rPr>
          <w:sz w:val="28"/>
          <w:szCs w:val="28"/>
          <w:lang w:val="uk-UA"/>
        </w:rPr>
        <w:t>регуляризації</w:t>
      </w:r>
      <w:proofErr w:type="spellEnd"/>
      <w:r>
        <w:rPr>
          <w:sz w:val="28"/>
          <w:szCs w:val="28"/>
          <w:lang w:val="uk-UA"/>
        </w:rPr>
        <w:t xml:space="preserve"> сингулярних інтегральних рівнянь для отримання фізично коректних результатів.</w:t>
      </w:r>
    </w:p>
    <w:p w14:paraId="5BBEEB10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 xml:space="preserve">Результатом етапу стала розробка комплексу рекомендацій, які охоплюють вибір реологічних моделей, застосування ітеративних алгоритмів для врахування контакту берегів тріщини та використання числових методів </w:t>
      </w:r>
      <w:proofErr w:type="spellStart"/>
      <w:r>
        <w:rPr>
          <w:sz w:val="28"/>
          <w:szCs w:val="28"/>
          <w:lang w:val="uk-UA"/>
        </w:rPr>
        <w:t>інкременталізації</w:t>
      </w:r>
      <w:proofErr w:type="spellEnd"/>
      <w:r>
        <w:rPr>
          <w:sz w:val="28"/>
          <w:szCs w:val="28"/>
          <w:lang w:val="uk-UA"/>
        </w:rPr>
        <w:t xml:space="preserve"> для прогнозування залишкового ресурсу конструкцій.</w:t>
      </w:r>
    </w:p>
    <w:p w14:paraId="464CA1A6" w14:textId="77777777" w:rsidR="00F424BF" w:rsidRDefault="00000000">
      <w:pPr>
        <w:spacing w:line="276" w:lineRule="auto"/>
        <w:ind w:firstLine="360"/>
        <w:jc w:val="both"/>
      </w:pPr>
      <w:r>
        <w:rPr>
          <w:sz w:val="28"/>
          <w:szCs w:val="28"/>
          <w:lang w:val="uk-UA"/>
        </w:rPr>
        <w:t xml:space="preserve">В цілому звіт з </w:t>
      </w:r>
      <w:proofErr w:type="spellStart"/>
      <w:r>
        <w:rPr>
          <w:sz w:val="28"/>
          <w:szCs w:val="28"/>
          <w:lang w:val="uk-UA"/>
        </w:rPr>
        <w:t>НДР</w:t>
      </w:r>
      <w:proofErr w:type="spellEnd"/>
      <w:r>
        <w:rPr>
          <w:sz w:val="28"/>
          <w:szCs w:val="28"/>
          <w:lang w:val="uk-UA"/>
        </w:rPr>
        <w:t xml:space="preserve"> підготовлено на високому науковому рівні; отримані в ньому результати мають значну практичну цінність. Вони можуть бути безпосередньо використані в інженерній практиці для підвищення точності </w:t>
      </w:r>
      <w:r>
        <w:rPr>
          <w:sz w:val="28"/>
          <w:szCs w:val="28"/>
          <w:lang w:val="uk-UA"/>
        </w:rPr>
        <w:lastRenderedPageBreak/>
        <w:t>розрахунків міцності, довговічності та надійності елементів конструкцій, виготовлених із сучасних полімерних та композитних матеріалів. Рівень проведених досліджень повністю відповідає міжнародним стандартам високого рівня.</w:t>
      </w:r>
    </w:p>
    <w:p w14:paraId="04E2392C" w14:textId="77777777" w:rsidR="00F424BF" w:rsidRDefault="00F424BF">
      <w:pPr>
        <w:spacing w:line="276" w:lineRule="auto"/>
        <w:ind w:firstLine="360"/>
        <w:jc w:val="both"/>
        <w:rPr>
          <w:sz w:val="28"/>
          <w:szCs w:val="28"/>
          <w:lang w:val="uk-UA"/>
        </w:rPr>
      </w:pPr>
    </w:p>
    <w:p w14:paraId="75B7F49E" w14:textId="77777777" w:rsidR="00F424BF" w:rsidRDefault="00F424BF">
      <w:pPr>
        <w:spacing w:line="276" w:lineRule="auto"/>
        <w:ind w:firstLine="360"/>
        <w:jc w:val="both"/>
        <w:rPr>
          <w:sz w:val="28"/>
          <w:szCs w:val="28"/>
          <w:lang w:val="uk-UA"/>
        </w:rPr>
      </w:pPr>
    </w:p>
    <w:p w14:paraId="2D3054F9" w14:textId="77777777" w:rsidR="00F424BF" w:rsidRDefault="00F424BF">
      <w:pPr>
        <w:spacing w:line="276" w:lineRule="auto"/>
        <w:ind w:firstLine="360"/>
        <w:jc w:val="both"/>
        <w:rPr>
          <w:sz w:val="28"/>
          <w:szCs w:val="28"/>
          <w:lang w:val="uk-UA"/>
        </w:rPr>
      </w:pPr>
    </w:p>
    <w:p w14:paraId="3238ACCC" w14:textId="77777777" w:rsidR="00F424BF" w:rsidRDefault="00000000">
      <w:pPr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Представник замовника,</w:t>
      </w:r>
    </w:p>
    <w:p w14:paraId="4349EDDE" w14:textId="25B2BEC8" w:rsidR="00F424BF" w:rsidRDefault="002100BE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академік-секретар</w:t>
      </w:r>
      <w:proofErr w:type="spellEnd"/>
      <w:r w:rsidR="00000000">
        <w:rPr>
          <w:sz w:val="28"/>
          <w:szCs w:val="28"/>
          <w:lang w:val="uk-UA"/>
        </w:rPr>
        <w:t xml:space="preserve"> відділення</w:t>
      </w:r>
    </w:p>
    <w:p w14:paraId="06373CBC" w14:textId="39B3F1B1" w:rsidR="00F424BF" w:rsidRDefault="00000000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механіки</w:t>
      </w:r>
      <w:r w:rsidR="002100BE">
        <w:rPr>
          <w:sz w:val="28"/>
          <w:szCs w:val="28"/>
          <w:lang w:val="uk-UA"/>
        </w:rPr>
        <w:t xml:space="preserve"> і машинознавства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НАН</w:t>
      </w:r>
      <w:proofErr w:type="spellEnd"/>
      <w:r>
        <w:rPr>
          <w:sz w:val="28"/>
          <w:szCs w:val="28"/>
          <w:lang w:val="uk-UA"/>
        </w:rPr>
        <w:t xml:space="preserve"> України,</w:t>
      </w:r>
    </w:p>
    <w:p w14:paraId="1021BF08" w14:textId="77777777" w:rsidR="00F424BF" w:rsidRDefault="00000000">
      <w:pPr>
        <w:tabs>
          <w:tab w:val="right" w:pos="9360"/>
        </w:tabs>
        <w:ind w:firstLine="360"/>
        <w:jc w:val="both"/>
      </w:pPr>
      <w:r>
        <w:rPr>
          <w:sz w:val="28"/>
          <w:szCs w:val="28"/>
          <w:lang w:val="uk-UA"/>
        </w:rPr>
        <w:t xml:space="preserve">академік </w:t>
      </w:r>
      <w:proofErr w:type="spellStart"/>
      <w:r>
        <w:rPr>
          <w:sz w:val="28"/>
          <w:szCs w:val="28"/>
          <w:lang w:val="uk-UA"/>
        </w:rPr>
        <w:t>НАН</w:t>
      </w:r>
      <w:proofErr w:type="spellEnd"/>
      <w:r>
        <w:rPr>
          <w:sz w:val="28"/>
          <w:szCs w:val="28"/>
          <w:lang w:val="uk-UA"/>
        </w:rPr>
        <w:t xml:space="preserve"> України</w:t>
      </w:r>
      <w:r>
        <w:rPr>
          <w:sz w:val="28"/>
          <w:szCs w:val="28"/>
          <w:lang w:val="uk-UA"/>
        </w:rPr>
        <w:tab/>
      </w:r>
      <w:proofErr w:type="spellStart"/>
      <w:r>
        <w:rPr>
          <w:sz w:val="28"/>
          <w:szCs w:val="28"/>
          <w:lang w:val="uk-UA"/>
        </w:rPr>
        <w:t>В.М</w:t>
      </w:r>
      <w:proofErr w:type="spellEnd"/>
      <w:r>
        <w:rPr>
          <w:sz w:val="28"/>
          <w:szCs w:val="28"/>
          <w:lang w:val="uk-UA"/>
        </w:rPr>
        <w:t>. Назаренко</w:t>
      </w:r>
    </w:p>
    <w:sectPr w:rsidR="00F424B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9"/>
  <w:autoHyphenation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4BF"/>
    <w:rsid w:val="002100BE"/>
    <w:rsid w:val="004228DC"/>
    <w:rsid w:val="00F4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C2AEB"/>
  <w15:docId w15:val="{03609F62-2DAC-4777-B754-93111466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qFormat/>
  </w:style>
  <w:style w:type="character" w:customStyle="1" w:styleId="1">
    <w:name w:val="Шрифт абзацу за промовчанням1"/>
    <w:qFormat/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;Arial" w:eastAsia="Lucida Sans Unicode" w:hAnsi="Liberation Sans;Arial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a8">
    <w:name w:val="Покажчик"/>
    <w:basedOn w:val="a"/>
    <w:qFormat/>
    <w:pPr>
      <w:suppressLineNumbers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301</Words>
  <Characters>2320</Characters>
  <Application>Microsoft Office Word</Application>
  <DocSecurity>0</DocSecurity>
  <Lines>52</Lines>
  <Paragraphs>17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user0193</cp:lastModifiedBy>
  <cp:revision>2</cp:revision>
  <dcterms:created xsi:type="dcterms:W3CDTF">2025-12-25T10:29:00Z</dcterms:created>
  <dcterms:modified xsi:type="dcterms:W3CDTF">2025-12-25T10:31:00Z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2011-12-02T11:07:00Z</dcterms:created>
  <dc:creator> </dc:creator>
  <dc:description/>
  <dc:language>uk-UA</dc:language>
  <cp:lastModifiedBy/>
  <cp:lastPrinted>2016-12-27T12:09:00Z</cp:lastPrinted>
  <dcterms:modified xsi:type="dcterms:W3CDTF">2025-12-21T12:31:51Z</dcterms:modified>
  <cp:revision>4</cp:revision>
  <dc:subject/>
  <dc:title>РЕЦЕНЗІЯ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fe8f57c3-f5af-4b28-922a-70918c4ebdd4</vt:lpwstr>
  </property>
</Properties>
</file>