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0B76B34" w14:textId="77777777" w:rsidR="00F05C1B" w:rsidRDefault="00000000">
      <w:pPr>
        <w:spacing w:line="276" w:lineRule="auto"/>
        <w:jc w:val="center"/>
      </w:pPr>
      <w:proofErr w:type="spellStart"/>
      <w:r>
        <w:rPr>
          <w:b/>
          <w:bCs/>
          <w:sz w:val="28"/>
          <w:szCs w:val="28"/>
        </w:rPr>
        <w:t>РЕЦЕНЗ</w:t>
      </w:r>
      <w:r>
        <w:rPr>
          <w:b/>
          <w:bCs/>
          <w:sz w:val="28"/>
          <w:szCs w:val="28"/>
          <w:lang w:val="uk-UA"/>
        </w:rPr>
        <w:t>ІЯ</w:t>
      </w:r>
      <w:proofErr w:type="spellEnd"/>
    </w:p>
    <w:p w14:paraId="479893B0" w14:textId="77777777" w:rsidR="00F05C1B" w:rsidRDefault="00F05C1B">
      <w:pPr>
        <w:spacing w:line="276" w:lineRule="auto"/>
        <w:jc w:val="center"/>
        <w:rPr>
          <w:sz w:val="28"/>
          <w:szCs w:val="28"/>
          <w:lang w:val="uk-UA"/>
        </w:rPr>
      </w:pPr>
    </w:p>
    <w:p w14:paraId="4366B30F" w14:textId="77777777" w:rsidR="00F05C1B" w:rsidRDefault="00F05C1B">
      <w:pPr>
        <w:spacing w:line="276" w:lineRule="auto"/>
        <w:jc w:val="center"/>
        <w:rPr>
          <w:sz w:val="28"/>
          <w:szCs w:val="28"/>
          <w:lang w:val="uk-UA"/>
        </w:rPr>
      </w:pPr>
    </w:p>
    <w:p w14:paraId="55F02469" w14:textId="77777777" w:rsidR="00F05C1B" w:rsidRDefault="00000000">
      <w:pPr>
        <w:spacing w:line="276" w:lineRule="auto"/>
        <w:jc w:val="center"/>
      </w:pPr>
      <w:r>
        <w:rPr>
          <w:i/>
          <w:iCs/>
          <w:sz w:val="28"/>
          <w:szCs w:val="28"/>
          <w:lang w:val="uk-UA"/>
        </w:rPr>
        <w:t xml:space="preserve">на звіт щодо виконання наукових досліджень з теми </w:t>
      </w:r>
      <w:proofErr w:type="spellStart"/>
      <w:r>
        <w:rPr>
          <w:i/>
          <w:iCs/>
          <w:sz w:val="28"/>
          <w:szCs w:val="28"/>
          <w:lang w:val="uk-UA"/>
        </w:rPr>
        <w:t>НДР</w:t>
      </w:r>
      <w:proofErr w:type="spellEnd"/>
      <w:r>
        <w:rPr>
          <w:i/>
          <w:iCs/>
          <w:sz w:val="28"/>
          <w:szCs w:val="28"/>
          <w:lang w:val="uk-UA"/>
        </w:rPr>
        <w:t xml:space="preserve"> 1.3.1.436-22 (І </w:t>
      </w:r>
      <w:proofErr w:type="spellStart"/>
      <w:r>
        <w:rPr>
          <w:i/>
          <w:iCs/>
          <w:sz w:val="28"/>
          <w:szCs w:val="28"/>
          <w:lang w:val="uk-UA"/>
        </w:rPr>
        <w:t>кв</w:t>
      </w:r>
      <w:proofErr w:type="spellEnd"/>
      <w:r>
        <w:rPr>
          <w:i/>
          <w:iCs/>
          <w:sz w:val="28"/>
          <w:szCs w:val="28"/>
          <w:lang w:val="uk-UA"/>
        </w:rPr>
        <w:t xml:space="preserve">. 2022 р. — IV </w:t>
      </w:r>
      <w:proofErr w:type="spellStart"/>
      <w:r>
        <w:rPr>
          <w:i/>
          <w:iCs/>
          <w:sz w:val="28"/>
          <w:szCs w:val="28"/>
          <w:lang w:val="uk-UA"/>
        </w:rPr>
        <w:t>кв</w:t>
      </w:r>
      <w:proofErr w:type="spellEnd"/>
      <w:r>
        <w:rPr>
          <w:i/>
          <w:iCs/>
          <w:sz w:val="28"/>
          <w:szCs w:val="28"/>
          <w:lang w:val="uk-UA"/>
        </w:rPr>
        <w:t>. 2025 р.) «Розв’язання плоских та просторових задач механіки руйнування для тріщин нормального відриву із когезійними зонами» (остаточний)</w:t>
      </w:r>
    </w:p>
    <w:p w14:paraId="78B1A170" w14:textId="77777777" w:rsidR="00F05C1B" w:rsidRDefault="00F05C1B">
      <w:pPr>
        <w:spacing w:line="276" w:lineRule="auto"/>
        <w:jc w:val="center"/>
        <w:rPr>
          <w:sz w:val="28"/>
          <w:szCs w:val="28"/>
          <w:lang w:val="uk-UA"/>
        </w:rPr>
      </w:pPr>
    </w:p>
    <w:p w14:paraId="518B48F6" w14:textId="77777777" w:rsidR="00F05C1B" w:rsidRDefault="00F05C1B">
      <w:pPr>
        <w:spacing w:line="276" w:lineRule="auto"/>
        <w:jc w:val="center"/>
        <w:rPr>
          <w:sz w:val="28"/>
          <w:szCs w:val="28"/>
          <w:lang w:val="uk-UA"/>
        </w:rPr>
      </w:pPr>
    </w:p>
    <w:p w14:paraId="677AE832" w14:textId="77777777" w:rsidR="00F05C1B" w:rsidRDefault="00F05C1B">
      <w:pPr>
        <w:spacing w:line="276" w:lineRule="auto"/>
        <w:jc w:val="center"/>
        <w:rPr>
          <w:sz w:val="28"/>
          <w:szCs w:val="28"/>
          <w:lang w:val="uk-UA"/>
        </w:rPr>
      </w:pPr>
    </w:p>
    <w:p w14:paraId="712AB667" w14:textId="77777777" w:rsidR="00F05C1B" w:rsidRDefault="00F05C1B">
      <w:pPr>
        <w:spacing w:line="276" w:lineRule="auto"/>
        <w:jc w:val="center"/>
        <w:rPr>
          <w:sz w:val="28"/>
          <w:szCs w:val="28"/>
          <w:lang w:val="uk-UA"/>
        </w:rPr>
      </w:pPr>
    </w:p>
    <w:p w14:paraId="0EA4915F" w14:textId="77777777" w:rsidR="00F05C1B" w:rsidRDefault="00F05C1B">
      <w:pPr>
        <w:jc w:val="center"/>
        <w:rPr>
          <w:sz w:val="28"/>
          <w:szCs w:val="28"/>
          <w:lang w:val="uk-UA"/>
        </w:rPr>
      </w:pPr>
    </w:p>
    <w:p w14:paraId="5A69980A" w14:textId="77777777" w:rsidR="00F05C1B" w:rsidRDefault="00000000">
      <w:pPr>
        <w:spacing w:line="276" w:lineRule="auto"/>
        <w:ind w:firstLine="85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Загальновідомим є те, що руйнування елементів конструкцій, виготовлених із сучасних полімерних та композитних матеріалів, відбувається внаслідок складної взаємодії механічних чинників та специфічних властивостей матеріалів, таких як нелінійна пружність та </w:t>
      </w:r>
      <w:proofErr w:type="spellStart"/>
      <w:r>
        <w:rPr>
          <w:sz w:val="28"/>
          <w:szCs w:val="28"/>
          <w:lang w:val="uk-UA"/>
        </w:rPr>
        <w:t>в’язкопружність</w:t>
      </w:r>
      <w:proofErr w:type="spellEnd"/>
      <w:r>
        <w:rPr>
          <w:sz w:val="28"/>
          <w:szCs w:val="28"/>
          <w:lang w:val="uk-UA"/>
        </w:rPr>
        <w:t xml:space="preserve">. Аналіз сукупності факторів, що призводять до </w:t>
      </w:r>
      <w:proofErr w:type="spellStart"/>
      <w:r>
        <w:rPr>
          <w:sz w:val="28"/>
          <w:szCs w:val="28"/>
          <w:lang w:val="uk-UA"/>
        </w:rPr>
        <w:t>відтермінованого</w:t>
      </w:r>
      <w:proofErr w:type="spellEnd"/>
      <w:r>
        <w:rPr>
          <w:sz w:val="28"/>
          <w:szCs w:val="28"/>
          <w:lang w:val="uk-UA"/>
        </w:rPr>
        <w:t xml:space="preserve"> руйнування, та побудова на цій основі прикладних </w:t>
      </w:r>
      <w:proofErr w:type="spellStart"/>
      <w:r>
        <w:rPr>
          <w:sz w:val="28"/>
          <w:szCs w:val="28"/>
          <w:lang w:val="uk-UA"/>
        </w:rPr>
        <w:t>методик</w:t>
      </w:r>
      <w:proofErr w:type="spellEnd"/>
      <w:r>
        <w:rPr>
          <w:sz w:val="28"/>
          <w:szCs w:val="28"/>
          <w:lang w:val="uk-UA"/>
        </w:rPr>
        <w:t xml:space="preserve"> розрахунку має сприяти точнішому визначенню ресурсу конструкцій та зменшенню їхньої матеріаломісткості. Тому тема наукових досліджень, якій присвячено остаточний звіт, є надзвичайно актуальною.</w:t>
      </w:r>
    </w:p>
    <w:p w14:paraId="1FFAB01F" w14:textId="77777777" w:rsidR="00F05C1B" w:rsidRDefault="00000000">
      <w:pPr>
        <w:spacing w:line="276" w:lineRule="auto"/>
        <w:ind w:firstLine="85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Виконавцями роботи на завершальному четвертому етапі проведено комплексний аналіз закономірностей руйнування, вивчених на попередніх стадіях </w:t>
      </w:r>
      <w:proofErr w:type="spellStart"/>
      <w:r>
        <w:rPr>
          <w:sz w:val="28"/>
          <w:szCs w:val="28"/>
          <w:lang w:val="uk-UA"/>
        </w:rPr>
        <w:t>НДР</w:t>
      </w:r>
      <w:proofErr w:type="spellEnd"/>
      <w:r>
        <w:rPr>
          <w:sz w:val="28"/>
          <w:szCs w:val="28"/>
          <w:lang w:val="uk-UA"/>
        </w:rPr>
        <w:t>, та визначено оптимальні сучасні підходи до моделювання поведінки елементів конструкцій із тріщинами. Зокрема, у звіті:</w:t>
      </w:r>
    </w:p>
    <w:p w14:paraId="6F434BBB" w14:textId="77777777" w:rsidR="00F05C1B" w:rsidRDefault="00000000">
      <w:pPr>
        <w:spacing w:line="276" w:lineRule="auto"/>
        <w:ind w:firstLine="85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• Проаналізовано вплив двовісного навантаження на </w:t>
      </w:r>
      <w:proofErr w:type="spellStart"/>
      <w:r>
        <w:rPr>
          <w:sz w:val="28"/>
          <w:szCs w:val="28"/>
          <w:lang w:val="uk-UA"/>
        </w:rPr>
        <w:t>нелінійно</w:t>
      </w:r>
      <w:proofErr w:type="spellEnd"/>
      <w:r>
        <w:rPr>
          <w:sz w:val="28"/>
          <w:szCs w:val="28"/>
          <w:lang w:val="uk-UA"/>
        </w:rPr>
        <w:t>-пружні тіла, де встановлено, що розтягування уздовж тріщини суттєво трансформує геометрію та розміри зони нелінійності навколо зони передруйнування, що є критичним для визначення міцності.</w:t>
      </w:r>
    </w:p>
    <w:p w14:paraId="03BD472A" w14:textId="77777777" w:rsidR="00F05C1B" w:rsidRDefault="00000000">
      <w:pPr>
        <w:spacing w:line="276" w:lineRule="auto"/>
        <w:ind w:firstLine="85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• Наведено методику розрахунку довготривалого руйнування в’язкопружних елементів, яка базується на моделі когезійної зони та дозволяє чітко розмежовувати етапи інкубації тріщини та її квазістатичного розвитку.</w:t>
      </w:r>
    </w:p>
    <w:p w14:paraId="0F5FBE0C" w14:textId="77777777" w:rsidR="00F05C1B" w:rsidRDefault="00000000">
      <w:pPr>
        <w:spacing w:line="276" w:lineRule="auto"/>
        <w:ind w:firstLine="85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• Описано результати дослідження крайових тріщин, де застосування </w:t>
      </w:r>
      <w:proofErr w:type="spellStart"/>
      <w:r>
        <w:rPr>
          <w:sz w:val="28"/>
          <w:szCs w:val="28"/>
          <w:lang w:val="uk-UA"/>
        </w:rPr>
        <w:t>регуляризації</w:t>
      </w:r>
      <w:proofErr w:type="spellEnd"/>
      <w:r>
        <w:rPr>
          <w:sz w:val="28"/>
          <w:szCs w:val="28"/>
          <w:lang w:val="uk-UA"/>
        </w:rPr>
        <w:t xml:space="preserve"> сингулярного інтегрального рівняння дозволило усунути фізично некоректні коливання розв’язку та отримати адекватні характеристики тріщиностійкості для докритичного стану.</w:t>
      </w:r>
    </w:p>
    <w:p w14:paraId="670A9724" w14:textId="77777777" w:rsidR="00F05C1B" w:rsidRDefault="00000000">
      <w:pPr>
        <w:spacing w:line="276" w:lineRule="auto"/>
        <w:ind w:firstLine="85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Отримані у роботі теоретичні результати підтверджуються порівнянням із відомими з літератури розв’язками для ізотропних матеріалів та відповідають якісній поведінці в’язкопружних матеріалів у процесі руйнування. Результати </w:t>
      </w:r>
      <w:r>
        <w:rPr>
          <w:sz w:val="28"/>
          <w:szCs w:val="28"/>
          <w:lang w:val="uk-UA"/>
        </w:rPr>
        <w:lastRenderedPageBreak/>
        <w:t xml:space="preserve">досліджень підсумовано у формі конкретних рекомендацій щодо використання розроблених методів (зокрема, методу операторних ланцюгових </w:t>
      </w:r>
      <w:proofErr w:type="spellStart"/>
      <w:r>
        <w:rPr>
          <w:sz w:val="28"/>
          <w:szCs w:val="28"/>
          <w:lang w:val="uk-UA"/>
        </w:rPr>
        <w:t>дробів</w:t>
      </w:r>
      <w:proofErr w:type="spellEnd"/>
      <w:r>
        <w:rPr>
          <w:sz w:val="28"/>
          <w:szCs w:val="28"/>
          <w:lang w:val="uk-UA"/>
        </w:rPr>
        <w:t xml:space="preserve"> та </w:t>
      </w:r>
      <w:proofErr w:type="spellStart"/>
      <w:r>
        <w:rPr>
          <w:sz w:val="28"/>
          <w:szCs w:val="28"/>
          <w:lang w:val="uk-UA"/>
        </w:rPr>
        <w:t>інкременталізації</w:t>
      </w:r>
      <w:proofErr w:type="spellEnd"/>
      <w:r>
        <w:rPr>
          <w:sz w:val="28"/>
          <w:szCs w:val="28"/>
          <w:lang w:val="uk-UA"/>
        </w:rPr>
        <w:t xml:space="preserve"> конститутивних рівнянь) для проєктування сучасних конструкцій.</w:t>
      </w:r>
    </w:p>
    <w:p w14:paraId="1C55368B" w14:textId="77777777" w:rsidR="00F05C1B" w:rsidRDefault="00000000">
      <w:pPr>
        <w:spacing w:line="276" w:lineRule="auto"/>
        <w:ind w:firstLine="85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 огляду на вищезазначене, можна вважати, що зміст звіту повністю відповідає тематичній карті </w:t>
      </w:r>
      <w:proofErr w:type="spellStart"/>
      <w:r>
        <w:rPr>
          <w:sz w:val="28"/>
          <w:szCs w:val="28"/>
          <w:lang w:val="uk-UA"/>
        </w:rPr>
        <w:t>НДР</w:t>
      </w:r>
      <w:proofErr w:type="spellEnd"/>
      <w:r>
        <w:rPr>
          <w:sz w:val="28"/>
          <w:szCs w:val="28"/>
          <w:lang w:val="uk-UA"/>
        </w:rPr>
        <w:t xml:space="preserve">. Наведені у звіті результати є важливими з практичної і прикладної точки зору, оскільки вони дозволяють точніше визначати залишковий ресурс та довговічність елементів конструкцій, виготовлених із </w:t>
      </w:r>
      <w:proofErr w:type="spellStart"/>
      <w:r>
        <w:rPr>
          <w:sz w:val="28"/>
          <w:szCs w:val="28"/>
          <w:lang w:val="uk-UA"/>
        </w:rPr>
        <w:t>нелінійно</w:t>
      </w:r>
      <w:proofErr w:type="spellEnd"/>
      <w:r>
        <w:rPr>
          <w:sz w:val="28"/>
          <w:szCs w:val="28"/>
          <w:lang w:val="uk-UA"/>
        </w:rPr>
        <w:t>-пружних матеріалів, полімерів та композитів.</w:t>
      </w:r>
    </w:p>
    <w:p w14:paraId="0C1A2CA5" w14:textId="77777777" w:rsidR="00F05C1B" w:rsidRDefault="00F05C1B">
      <w:pPr>
        <w:ind w:firstLine="360"/>
        <w:jc w:val="both"/>
      </w:pPr>
    </w:p>
    <w:p w14:paraId="632F679E" w14:textId="77777777" w:rsidR="00F05C1B" w:rsidRDefault="00F05C1B">
      <w:pPr>
        <w:ind w:firstLine="360"/>
        <w:jc w:val="both"/>
      </w:pPr>
    </w:p>
    <w:p w14:paraId="2CA702A6" w14:textId="77777777" w:rsidR="00F05C1B" w:rsidRDefault="00F05C1B">
      <w:pPr>
        <w:ind w:firstLine="360"/>
        <w:jc w:val="both"/>
        <w:rPr>
          <w:sz w:val="28"/>
          <w:szCs w:val="28"/>
          <w:lang w:val="uk-UA"/>
        </w:rPr>
      </w:pPr>
    </w:p>
    <w:p w14:paraId="1E1D6383" w14:textId="77777777" w:rsidR="00F05C1B" w:rsidRDefault="00F05C1B">
      <w:pPr>
        <w:ind w:firstLine="360"/>
        <w:jc w:val="both"/>
        <w:rPr>
          <w:sz w:val="28"/>
          <w:szCs w:val="28"/>
          <w:lang w:val="uk-UA"/>
        </w:rPr>
      </w:pPr>
    </w:p>
    <w:p w14:paraId="687F5DD2" w14:textId="027152F4" w:rsidR="00F05C1B" w:rsidRDefault="00000000">
      <w:pPr>
        <w:tabs>
          <w:tab w:val="right" w:pos="9360"/>
        </w:tabs>
        <w:ind w:firstLine="360"/>
        <w:jc w:val="both"/>
      </w:pPr>
      <w:proofErr w:type="spellStart"/>
      <w:r>
        <w:rPr>
          <w:sz w:val="28"/>
          <w:szCs w:val="28"/>
          <w:lang w:val="uk-UA"/>
        </w:rPr>
        <w:t>д.</w:t>
      </w:r>
      <w:r w:rsidR="007D6282">
        <w:rPr>
          <w:sz w:val="28"/>
          <w:szCs w:val="28"/>
          <w:lang w:val="uk-UA"/>
        </w:rPr>
        <w:t>т</w:t>
      </w:r>
      <w:r>
        <w:rPr>
          <w:sz w:val="28"/>
          <w:szCs w:val="28"/>
          <w:lang w:val="uk-UA"/>
        </w:rPr>
        <w:t>.н</w:t>
      </w:r>
      <w:proofErr w:type="spellEnd"/>
      <w:r>
        <w:rPr>
          <w:sz w:val="28"/>
          <w:szCs w:val="28"/>
          <w:lang w:val="uk-UA"/>
        </w:rPr>
        <w:t>., професор,</w:t>
      </w:r>
    </w:p>
    <w:p w14:paraId="67BC425D" w14:textId="77777777" w:rsidR="007D6282" w:rsidRDefault="007D6282">
      <w:pPr>
        <w:tabs>
          <w:tab w:val="right" w:pos="9360"/>
        </w:tabs>
        <w:ind w:firstLine="360"/>
        <w:jc w:val="both"/>
        <w:rPr>
          <w:sz w:val="28"/>
          <w:szCs w:val="28"/>
          <w:lang w:val="uk-UA"/>
        </w:rPr>
      </w:pPr>
      <w:r w:rsidRPr="007D6282">
        <w:rPr>
          <w:sz w:val="28"/>
          <w:szCs w:val="28"/>
          <w:lang w:val="uk-UA"/>
        </w:rPr>
        <w:t xml:space="preserve">завідувач кафедри мостів, </w:t>
      </w:r>
    </w:p>
    <w:p w14:paraId="75C709E3" w14:textId="77777777" w:rsidR="007D6282" w:rsidRDefault="007D6282">
      <w:pPr>
        <w:tabs>
          <w:tab w:val="right" w:pos="9360"/>
        </w:tabs>
        <w:ind w:firstLine="360"/>
        <w:jc w:val="both"/>
        <w:rPr>
          <w:sz w:val="28"/>
          <w:szCs w:val="28"/>
          <w:lang w:val="uk-UA"/>
        </w:rPr>
      </w:pPr>
      <w:r w:rsidRPr="007D6282">
        <w:rPr>
          <w:sz w:val="28"/>
          <w:szCs w:val="28"/>
          <w:lang w:val="uk-UA"/>
        </w:rPr>
        <w:t>тунелів та гідротехнічних споруд</w:t>
      </w:r>
    </w:p>
    <w:p w14:paraId="5FC04023" w14:textId="070D676B" w:rsidR="00F05C1B" w:rsidRDefault="007D6282">
      <w:pPr>
        <w:tabs>
          <w:tab w:val="right" w:pos="9360"/>
        </w:tabs>
        <w:ind w:firstLine="36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Національного транспортного університету</w:t>
      </w:r>
      <w:r>
        <w:rPr>
          <w:sz w:val="28"/>
          <w:szCs w:val="28"/>
          <w:lang w:val="uk-UA"/>
        </w:rPr>
        <w:tab/>
      </w:r>
      <w:proofErr w:type="spellStart"/>
      <w:r>
        <w:rPr>
          <w:sz w:val="28"/>
          <w:szCs w:val="28"/>
          <w:lang w:val="uk-UA"/>
        </w:rPr>
        <w:t>А.М</w:t>
      </w:r>
      <w:proofErr w:type="spellEnd"/>
      <w:r>
        <w:rPr>
          <w:sz w:val="28"/>
          <w:szCs w:val="28"/>
          <w:lang w:val="uk-UA"/>
        </w:rPr>
        <w:t>. Он</w:t>
      </w:r>
      <w:r w:rsidR="00CE560C">
        <w:rPr>
          <w:sz w:val="28"/>
          <w:szCs w:val="28"/>
          <w:lang w:val="uk-UA"/>
        </w:rPr>
        <w:t>и</w:t>
      </w:r>
      <w:r>
        <w:rPr>
          <w:sz w:val="28"/>
          <w:szCs w:val="28"/>
          <w:lang w:val="uk-UA"/>
        </w:rPr>
        <w:t>щенко</w:t>
      </w:r>
    </w:p>
    <w:p w14:paraId="6D6961C5" w14:textId="77777777" w:rsidR="00F05C1B" w:rsidRDefault="00F05C1B">
      <w:pPr>
        <w:tabs>
          <w:tab w:val="right" w:pos="9360"/>
        </w:tabs>
        <w:ind w:firstLine="360"/>
        <w:jc w:val="both"/>
        <w:rPr>
          <w:sz w:val="28"/>
          <w:szCs w:val="28"/>
          <w:lang w:val="uk-UA"/>
        </w:rPr>
      </w:pPr>
    </w:p>
    <w:p w14:paraId="7ED8A159" w14:textId="77777777" w:rsidR="00F05C1B" w:rsidRDefault="00F05C1B">
      <w:pPr>
        <w:tabs>
          <w:tab w:val="right" w:pos="9360"/>
        </w:tabs>
        <w:ind w:firstLine="360"/>
        <w:jc w:val="both"/>
        <w:rPr>
          <w:sz w:val="28"/>
          <w:szCs w:val="28"/>
          <w:lang w:val="uk-UA"/>
        </w:rPr>
      </w:pPr>
    </w:p>
    <w:p w14:paraId="57B2CAFE" w14:textId="77777777" w:rsidR="00F05C1B" w:rsidRDefault="00F05C1B">
      <w:pPr>
        <w:tabs>
          <w:tab w:val="right" w:pos="9360"/>
        </w:tabs>
        <w:ind w:firstLine="360"/>
        <w:jc w:val="both"/>
        <w:rPr>
          <w:sz w:val="28"/>
          <w:szCs w:val="28"/>
          <w:lang w:val="uk-UA"/>
        </w:rPr>
      </w:pPr>
    </w:p>
    <w:p w14:paraId="01224F43" w14:textId="77777777" w:rsidR="00F05C1B" w:rsidRDefault="00F05C1B">
      <w:pPr>
        <w:tabs>
          <w:tab w:val="right" w:pos="9360"/>
        </w:tabs>
        <w:ind w:firstLine="360"/>
        <w:jc w:val="both"/>
        <w:rPr>
          <w:sz w:val="28"/>
          <w:szCs w:val="28"/>
          <w:lang w:val="uk-UA"/>
        </w:rPr>
      </w:pPr>
    </w:p>
    <w:p w14:paraId="1C4780C7" w14:textId="017DC6F7" w:rsidR="00F05C1B" w:rsidRDefault="00000000">
      <w:pPr>
        <w:tabs>
          <w:tab w:val="right" w:pos="9360"/>
        </w:tabs>
        <w:ind w:firstLine="36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Підпис </w:t>
      </w:r>
      <w:proofErr w:type="spellStart"/>
      <w:r w:rsidR="007D6282">
        <w:rPr>
          <w:sz w:val="28"/>
          <w:szCs w:val="28"/>
          <w:lang w:val="uk-UA"/>
        </w:rPr>
        <w:t>А.М</w:t>
      </w:r>
      <w:proofErr w:type="spellEnd"/>
      <w:r w:rsidR="007D6282">
        <w:rPr>
          <w:sz w:val="28"/>
          <w:szCs w:val="28"/>
          <w:lang w:val="uk-UA"/>
        </w:rPr>
        <w:t>. </w:t>
      </w:r>
      <w:proofErr w:type="spellStart"/>
      <w:r w:rsidR="007D6282">
        <w:rPr>
          <w:sz w:val="28"/>
          <w:szCs w:val="28"/>
          <w:lang w:val="uk-UA"/>
        </w:rPr>
        <w:t>Оніщенка</w:t>
      </w:r>
      <w:proofErr w:type="spellEnd"/>
      <w:r>
        <w:rPr>
          <w:sz w:val="28"/>
          <w:szCs w:val="28"/>
          <w:lang w:val="uk-UA"/>
        </w:rPr>
        <w:t xml:space="preserve"> засвідчую,</w:t>
      </w:r>
    </w:p>
    <w:p w14:paraId="7E24180D" w14:textId="77777777" w:rsidR="00F05C1B" w:rsidRDefault="00F05C1B">
      <w:pPr>
        <w:tabs>
          <w:tab w:val="right" w:pos="9360"/>
        </w:tabs>
        <w:ind w:firstLine="360"/>
        <w:jc w:val="both"/>
        <w:rPr>
          <w:sz w:val="28"/>
          <w:szCs w:val="28"/>
          <w:lang w:val="uk-UA"/>
        </w:rPr>
      </w:pPr>
    </w:p>
    <w:p w14:paraId="49BB942F" w14:textId="77777777" w:rsidR="00F05C1B" w:rsidRDefault="00F05C1B">
      <w:pPr>
        <w:tabs>
          <w:tab w:val="right" w:pos="9360"/>
        </w:tabs>
        <w:ind w:firstLine="360"/>
        <w:jc w:val="both"/>
        <w:rPr>
          <w:sz w:val="28"/>
          <w:szCs w:val="28"/>
          <w:lang w:val="uk-UA"/>
        </w:rPr>
      </w:pPr>
    </w:p>
    <w:sectPr w:rsidR="00F05C1B">
      <w:pgSz w:w="11906" w:h="16838"/>
      <w:pgMar w:top="1134" w:right="851" w:bottom="1134" w:left="1418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;Arial">
    <w:panose1 w:val="00000000000000000000"/>
    <w:charset w:val="00"/>
    <w:family w:val="roman"/>
    <w:notTrueType/>
    <w:pitch w:val="default"/>
  </w:font>
  <w:font w:name="SimSun;宋体"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83202"/>
    <w:multiLevelType w:val="multilevel"/>
    <w:tmpl w:val="443C1DEA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05652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spelling="clean" w:grammar="clean"/>
  <w:doNotTrackMoves/>
  <w:defaultTabStop w:val="708"/>
  <w:autoHyphenation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5C1B"/>
    <w:rsid w:val="00433038"/>
    <w:rsid w:val="007D6282"/>
    <w:rsid w:val="00C44CD1"/>
    <w:rsid w:val="00CE560C"/>
    <w:rsid w:val="00F05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708CC"/>
  <w15:docId w15:val="{3AE6B158-E3AF-4885-8038-4AF77657B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ru-RU" w:eastAsia="zh-CN"/>
    </w:rPr>
  </w:style>
  <w:style w:type="paragraph" w:styleId="Heading1">
    <w:name w:val="heading 1"/>
    <w:basedOn w:val="a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a"/>
    <w:next w:val="BodyText"/>
    <w:uiPriority w:val="9"/>
    <w:semiHidden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a"/>
    <w:next w:val="BodyText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a0">
    <w:name w:val="Шрифт абзацу за промовчанням"/>
    <w:qFormat/>
  </w:style>
  <w:style w:type="character" w:customStyle="1" w:styleId="1">
    <w:name w:val="Шрифт абзацу за промовчанням1"/>
    <w:qFormat/>
  </w:style>
  <w:style w:type="character" w:customStyle="1" w:styleId="a1">
    <w:name w:val="Основной шрифт абзаца"/>
    <w:qFormat/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Liberation Sans;Arial" w:eastAsia="SimSun;宋体" w:hAnsi="Liberation Sans;Arial" w:cs="Mangal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a2">
    <w:name w:val="Покажчик"/>
    <w:basedOn w:val="Normal"/>
    <w:qFormat/>
    <w:pPr>
      <w:suppressLineNumbers/>
    </w:pPr>
    <w:rPr>
      <w:rFonts w:cs="Mangal"/>
    </w:rPr>
  </w:style>
  <w:style w:type="paragraph" w:customStyle="1" w:styleId="10">
    <w:name w:val="Назва об'єкта1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Quotations">
    <w:name w:val="Quotations"/>
    <w:basedOn w:val="Normal"/>
    <w:qFormat/>
    <w:pPr>
      <w:spacing w:after="283"/>
      <w:ind w:left="567" w:right="567"/>
    </w:pPr>
  </w:style>
  <w:style w:type="paragraph" w:styleId="Title">
    <w:name w:val="Title"/>
    <w:basedOn w:val="a"/>
    <w:next w:val="BodyText"/>
    <w:uiPriority w:val="10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a"/>
    <w:next w:val="BodyText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11">
    <w:name w:val="Звичайна таблиця1"/>
    <w:qFormat/>
    <w:pPr>
      <w:suppressAutoHyphens/>
    </w:pPr>
    <w:rPr>
      <w:rFonts w:ascii="Calibri" w:eastAsia="Times New Roman" w:hAnsi="Calibri" w:cs="Calibri"/>
      <w:sz w:val="22"/>
      <w:szCs w:val="22"/>
      <w:lang w:val="uk-UA" w:eastAsia="uk-UA"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Mikhailo Selivanov</cp:lastModifiedBy>
  <cp:revision>3</cp:revision>
  <dcterms:created xsi:type="dcterms:W3CDTF">2025-12-23T16:37:00Z</dcterms:created>
  <dcterms:modified xsi:type="dcterms:W3CDTF">2025-12-24T19:28:00Z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2015-11-30T12:34:00Z</dcterms:created>
  <dc:creator> </dc:creator>
  <dc:description/>
  <dc:language>uk-UA</dc:language>
  <cp:lastModifiedBy/>
  <cp:lastPrinted>1995-11-21T17:41:00Z</cp:lastPrinted>
  <dcterms:modified xsi:type="dcterms:W3CDTF">2025-12-21T12:41:37Z</dcterms:modified>
  <cp:revision>6</cp:revision>
  <dc:subject/>
  <dc:title>РЕЦЕНЗІЯ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04d61bd4-178c-4adf-8364-25eda4ec24ab</vt:lpwstr>
  </property>
</Properties>
</file>