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t>Механіка руйнування та втрати стійкості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pP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r>
      <w:r w:rsidDel="00000000" w:rsidR="00000000" w:rsidRPr="00000000">
        <w:rPr>
          <w:rtl w:val="0"/>
        </w:rPr>
      </w: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tab/>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t>механіка руйнування; стійкість; метаматеріально-орієнтовані композити; інфраструктурні композити; аеродромне та дорожнє покриття; когезійна зона; біфуркація.</w:t>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Одними з головних механізмів втрати їхньої довговічності є зародження і поширення тріщин у матриці матеріалу або на міжфазних межах, а також втрата стійкості багатошарових систем за температурно-силового стиску. Тому актуальним є створення механіко-математичних підходів, які дають змогу не лише описувати руйнування, а й прогнозувати критичні стани рівноваги, керувати траєкторіями тріщин та підвищувати опір пошкодженню інфраструктурних композитів.</w:t>
      </w:r>
    </w:p>
    <w:p>
      <w:pPr/>
      <w: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і довговічність.</w:t>
      </w:r>
    </w:p>
    <w:p>
      <w:pPr/>
      <w:r>
        <w:t>Планується розробити скінченноелементні, когезійно-зонні, енергетичні та аналітичні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міжфазну деградацію в системах полімер-цемент, армування-матриця та ремонтний шар-основа, а також втрату стійкості і хвилеутворення в гіперпружних метаматеріальних прошарках багатошарових дорожніх систем.</w:t>
      </w:r>
    </w:p>
    <w:p>
      <w:pPr/>
      <w:r>
        <w:t>Очікуваними результатами є механіко-математичні моделі руйнування та втрати стійкості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і втрати стійкості для характерних архітектур, методики експериментальної ідентифікації параметрів тріщиностійкості, а також методика прогнозування критичних біфуркаційних параметрів багатошарових композитів із гіперпружними метаматеріальними прошарками. Результати можуть бути використані при створенні тріщиностійких і формостабільних дорожніх систем, мостових настилів, ремонтних і захисних шарів, а також при подальшому розвитку механіки руйнування та стійкості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t>Метою роботи є розроблення механіко-математичних моделей, чисельних методик та критеріїв оцінювання руйнування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crack-bridging механізмів, взаємодії тріщин з архітектурними елементами матеріалу та критичних біфуркаційних станів багатошарових систем.</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Обґрунтувати раціональні геометричні та механічні параметри проміжних метаматеріальних прошарків у багатошарових системах аеродромного та дорожнього покриття для підвищення опору втраті стійкості при поздовжньому стиску.</w:t>
      </w:r>
    </w:p>
    <w:p>
      <w:pPr/>
      <w:r>
        <w:t>9.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міжфазного руйнування та критичних станів деформування.</w:t>
      </w:r>
    </w:p>
    <w:p>
      <w:pPr/>
      <w:r>
        <w:t>10. Побудувати чисельні карти руйнування та втрати стійкості для вибраних типів метаматеріально-орієнтованих інфраструктурних композитів і сформулювати рекомендації щодо вибору геометричних, матеріальних і міжфазних параметрів, які забезпечують підвищений опір зародженню тріщин, їх поширенню та втраті формостабільності.</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Найбільш релевантними джерелами із наявного переліку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pP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та втрати стійкості таких матеріалів, особливо для аеродромних і дорожніх покриттів, мостових настилів, плитних елементів, захисних і ремонтних шарів, де зародження тріщин, міжфазне відшарування та втрата формостабільності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недостатня розробленість моделей втрати стійкості багатошарових інфраструктурних композитів із гіперпружними метаматеріальними прошарками. Здатність проміжного шару до інтенсивного розсіювання енергії деформації може бути визначальним чинником для гасіння поздовжніх напружень і запобігання хвилеутворенню, однак критичні біфуркаційні параметри таких систем, їх залежність від геометрії прошарків, конститутивних співвідношень і стану міжфазного зчеплення залишаються недостатньо встановленими.</w:t>
      </w:r>
    </w:p>
    <w:p>
      <w:pPr/>
      <w:r>
        <w:t>П'ятою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втрати зчеплення та локальної втрати стійкості.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Отже, ключова наукова проблема полягає у відсутності цілісного підходу механіки руйнування та стійкості до аналізу й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динамічне навантаження, критичні стани втрати формостабільності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pPr/>
      <w:r>
        <w:t>Авторський колектив має безпосередній науковий доробок у механіці руйнування, стійкості, міжфазної деградації та моделюванні неоднорідних, композитних і квазікрихких матеріалів, що є методичною основою для запропонованої теми. Найважливішими для цієї роботи є результати з когезійно-зонного моделювання, аналізу міжфазних тріщин, зон передруйнування, кiнкування тріщин, дебондингу в сендвічевих системах, а також аналітичного прогнозування втрати стійкості гіперпружних шаруватих тіл із послабленими інтерфейсами.</w:t>
      </w:r>
    </w:p>
    <w:p>
      <w:pPr/>
      <w:r>
        <w:t>Найбільш релевантними результатами авторського колективу є:</w:t>
      </w:r>
    </w:p>
    <w:p>
      <w:pPr/>
      <w:r>
        <w:t>1. 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w:t>
      </w:r>
    </w:p>
    <w:p>
      <w:pPr/>
      <w:r>
        <w:t>2. Kaminsky A., Dudyk M., Reshitnyk Yu., Chornoivan Yu. An analytical method of modeling the process zone near the tip of an interface crack due to its kinking from the interface of quasi-elastic materials // International Journal of Solids and Structures. 2023. Vol. 267. 112117.</w:t>
      </w:r>
    </w:p>
    <w:p>
      <w:pPr/>
      <w:r>
        <w:t>3. Selivanov M., Bogdanov V., Altenbach H. Solving some problems of crack mechanics for a normal edge crack in orthotropic solid within the cohesive zone model approach // Mechanics of Composite Materials. 2023. Vol. 59, No. 2. P. 335-362.</w:t>
      </w:r>
    </w:p>
    <w:p>
      <w:pPr/>
      <w:r>
        <w:t>4. Bogdanov V.L., Nazarenko V.M., Kipnis A.L. Wrinkling-buckling interaction in a hyperelastic bilayer with interfacial delamination under compression: critical load analysis and comparison with approximate models // International Journal of Fracture. 2026. Vol. 250. Article 13.</w:t>
      </w:r>
    </w:p>
    <w:p>
      <w:pPr/>
      <w:r>
        <w:t>5. Kipnis A.L. Stability of a piecewise-homogeneous half-plane with sliding components under compression along an interface crack // Mechanics of Composite Materials. 2025. Vol. 61. P. 409-424.</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когезійно-зонних та аналітичних моделей, визначення основних механізмів зародження тріщин і втрати стійкості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та середовищних чинників, чисельно-експериментальній верифікації результатів і формулюванню рекомендацій щодо створення тріщиностійких і формостабільних інфраструктурних композитів.</w:t>
      </w:r>
    </w:p>
    <w:p>
      <w:pPr/>
      <w:r>
        <w:t>Етап 1 (2027 р.). Теоретико-чисельні моделі руйнування, втрати стійкості та вибір архітектур метаматеріально-орієнтованих композитів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базові когезійно-зонні моделі зародження тріщин, руйнування інтерфейсів і посттріщинної поведінки, а також аналітичні моделі стійкості багатошарових систем із гіперпружними метаматеріальними прошарками. Буде виконано параметричний аналіз впливу геометрії внутрішньої архітектури на локалізацію напружень, траєкторії тріщин, критичні біфуркаційні параметри та ефективність архітектурних «пасток тріщин».</w:t>
      </w:r>
    </w:p>
    <w:p>
      <w:pPr/>
      <w:r/>
      <w:r/>
      <w:r/>
      <w:r/>
      <w:r/>
      <w:r/>
      <w:r>
        <w:t>Етап 2 (2028 р.). Динамічне, міжфазне та експериментально верифіковане моделювання тріщиностійкості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t>1. Актуальність та економічна значущість. Сучасна дорожня, транспортна та цивільна інфраструктура працює в умовах накопичення пошкоджень, де головними чинниками втрати працездатності є зародження та розвиток тріщин, міжфазне відшарування і втрата стійкості верхніх шарів покриття за температурно-силових навантажень.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критичними станами рівноваги,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та формостабільності,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і стійкості.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а також прогнозування критичних біфуркаційних параметрів багатошарових систем. Вона включає когезійно-зонні моделі, критерії ефективності архітектурних «пасток тріщин», аналіз міжфазної деградації, оцінку впливу динамічної функціональності на локальні параметри руйнування та вибір конститутивних співвідношень для визначення точок втрати стійкості.</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і формостабільних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
              <w:t>Механіко-математичні моделі руйнування та втрати стійкості метаматеріально-орієнтованих інфраструктурних композитів; когезійно-зонні моделі міжфазної деградації; чисельні карти руйнування і втрати стійкості; критерії ефективності архітектурних «пасток тріщин»; методика визначення критичних параметрів біфуркації; рекомендації щодо вибору геометричних, матеріальних і міжфазних параметрів композитів.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у наукових звітах, методиках розрахунку, рекомендаціях щодо проєктування тріщиностійких і формостабільних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
              <w:t>Моделі, алгоритми та рекомендації з оцінювання тріщиностійкості і втрати стійкості метаматеріально-орієнтованих інфраструктурних композитів; чисельні карти руйнування; методики визначення параметрів міжфазної деградації, посттріщинної поведінки та критичних біфуркаційних станів.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під час попереднього проєктування, порівняльного аналізу архітектурних рішень, оцінювання ресурсу, довговічності та формостабільності аеродромних 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моделей, чисельних методик та критеріїв оцінювання руйнування і втрати стійкості метаматеріально-орієнтованих інфраструктурних композитів з урахуванням внутрішньої архітектури, міжфазної деградації, критичних біфуркаційних станів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b/>
                <w:rtl w:val="0"/>
              </w:rPr>
            </w:r>
            <w:r>
              <w:rPr>
                <w:b/>
              </w:rPr>
            </w:r>
            <w:r>
              <w:rPr>
                <w:b/>
              </w:rPr>
            </w:r>
            <w:r>
              <w:rPr>
                <w:b/>
              </w:rPr>
              <w:t>№ з/п</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b/>
                <w:rtl w:val="0"/>
              </w:rPr>
            </w:r>
            <w:r>
              <w:rPr>
                <w:b/>
              </w:rPr>
            </w:r>
            <w:r>
              <w:rPr>
                <w:b/>
              </w:rPr>
            </w:r>
            <w:r>
              <w:rPr>
                <w:b/>
              </w:rPr>
              <w:t>Найменування основного етапу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b/>
                <w:rtl w:val="0"/>
              </w:rPr>
            </w:r>
            <w:r>
              <w:rPr>
                <w:b/>
              </w:rPr>
            </w:r>
            <w:r>
              <w:rPr>
                <w:b/>
              </w:rPr>
            </w:r>
            <w:r>
              <w:rPr>
                <w:b/>
              </w:rPr>
              <w:t>Термін виконання</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b/>
                <w:rtl w:val="0"/>
              </w:rPr>
            </w:r>
            <w:r>
              <w:rPr>
                <w:b/>
              </w:rPr>
            </w:r>
            <w:r>
              <w:rPr>
                <w:b/>
              </w:rPr>
            </w:r>
            <w:r>
              <w:rPr>
                <w:b/>
              </w:rPr>
              <w:t>Відповідальний виконавець</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r/>
            <w:r/>
            <w:r>
              <w:t>1</w:t>
            </w:r>
          </w:p>
        </w:tc>
        <w:tc>
          <w:tcPr>
            <w:tcBorders>
              <w:top w:color="000000" w:space="0" w:sz="4" w:val="single"/>
              <w:left w:color="000000" w:space="0" w:sz="4" w:val="single"/>
              <w:bottom w:color="000000" w:space="0" w:sz="4" w:val="single"/>
              <w:right w:color="000000" w:space="0" w:sz="4" w:val="single"/>
            </w:tcBorders>
            <w:shd w:fill="auto" w:val="clear"/>
            <w:vAlign w:val="center"/>
          </w:tcPr>
          <w:p>
            <w:r>
              <w:t>Теоретико-чисельні моделі руйнування, втрати стійкості та вибір архітектур метаматеріально-орієнтованих композитів для аеродромних і дорожніх покриттів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r/>
            <w:r/>
            <w:r>
              <w:t>01 січня 2027 р. - 31 грудня 2027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r/>
            <w:r/>
            <w:r>
              <w:t>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
            <w:r>
              <w:t>Динамічне, міжфазне та експериментально верифіковане моделювання тріщиностійкості інфраструктурних метакомпозитів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r/>
            <w:r/>
            <w:r>
              <w:t>01 січня 2028 р. - 31 грудня 2028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t>Дослідження мають теоретичну, чисельну та чисельно-експериментальну спрямованість і присвячені розробленню механіко-математичних моделей, чисельних методик та критеріїв оцінювання руйнування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гіперпружні метаматеріальні прошарки,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критичні стани рівноваги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моделі міжфазної деградації, параметричний аналіз геометрії комірок, включень і метаматеріальних прошарків, аналітичне визначення критичних біфуркаційних параметрів,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багатофункціональних бетонополімерних композитів і стійкості гіперпружних шаруватих систем.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втрати стійкості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скінченноелементних та аналітичних моделей руйнування і втрати стійкості метаматеріально-орієнтованих інфраструктурних композитів за статичного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визначення критеріїв ефективності архітектурних «пасток тріщин»; формування чисельних карт локалізації напружень, зон зародження тріщин і можливих траєкторій їхнього поширення; розроблення методики прогнозування критичних біфуркаційних параметрів багатошарових систем із гіперпружними метаматеріальними прошарками.</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 створення цілісного підходу до проєктування тріщиностійких і формостабільних метаматеріально-орієнтованих інфраструктурних композитів. Основними результатами стануть:</w:t>
      </w:r>
    </w:p>
    <w:p>
      <w:pPr/>
      <w:r>
        <w:t>1. Механіко-математична модель руйнування та втрати стійкості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тріщин, їх поширення та критичні стани рівноваги.</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та втрати стійкості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метаматеріальних прошарків і міжфазних меж із тріщиностійкістю, енергопоглинанням, критичними біфуркаційними параметрами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t>6. Рекомендації щодо вибору геометричних, матеріальних і міжфазних параметрів тріщиностійких та формостабільних композитів для аеродромних і дорожніх покриттів, мостових настилів, плитних елементів, захисних і ремонтних шарів інфраструктурних об'єктів.</w:t>
      </w:r>
    </w:p>
    <w:p>
      <w:pPr/>
      <w:r>
        <w:t>7. Методика визначення критичних параметрів біфуркації з можливістю адаптивного вибору нелінійно-пружних конститутивних моделей, що забезпечує прогнозування порогів втрати стійкості багатошарових композитів при стиску.</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r>
      <w:r w:rsidDel="00000000" w:rsidR="00000000" w:rsidRPr="00000000">
        <w:rPr>
          <w:b w:val="1"/>
          <w:bCs w:val="1"/>
          <w:rtl w:val="0"/>
        </w:rPr>
      </w:r>
      <w:r w:rsidDel="00000000" w:rsidR="00000000" w:rsidRPr="00000000">
        <w:rPr>
          <w:rtl w:val="0"/>
        </w:rPr>
      </w: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