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34538DD5"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one-to-many communications, where a single agent communicates with multiple client agents. This </w:t>
      </w:r>
      <w:r w:rsidRPr="00363972">
        <w:rPr>
          <w:rFonts w:eastAsiaTheme="minorEastAsia"/>
          <w:szCs w:val="20"/>
          <w:lang w:eastAsia="zh-TW"/>
        </w:rPr>
        <w:lastRenderedPageBreak/>
        <w:t>often results in server agents broadcasting responses using a common topic, forcing client agents to sift through messages irrelevant to their needs, thereby generating unnecessary message traffic. Furthermore, load balancing poses a challenge in many-to-one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1B077A9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Our initial approach involves developing a Multi-Agent Systems model based on the Holonic Agent concept, incorporating Microservices and Distributed Ledger Technology to tackle specific communication dynamics. For one-to-many communication challenges, we will employ a Microservices architecture to improve scalability and manageability, facilitating efficient message distribution and processing to multiple clients. Conversely, DLT will address the challenges associated with many-to-one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23BBBB2" w:rsidR="00BB4AA0"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D740FD" w:rsidRPr="00D740FD">
        <w:t>Architectural Design of the MAS Framework</w:t>
      </w:r>
    </w:p>
    <w:p w14:paraId="138ABC28" w14:textId="5BE8E762" w:rsidR="007F2A1A" w:rsidRPr="007F2A1A" w:rsidRDefault="007F2A1A" w:rsidP="007F2A1A">
      <w:pPr>
        <w:pStyle w:val="MDPI23heading3"/>
        <w:suppressAutoHyphens/>
        <w:spacing w:line="240" w:lineRule="auto"/>
        <w:rPr>
          <w:rFonts w:eastAsiaTheme="minorEastAsia" w:hint="eastAsia"/>
          <w:lang w:eastAsia="zh-TW"/>
        </w:rPr>
      </w:pPr>
      <w:r w:rsidRPr="007F2A1A">
        <w:rPr>
          <w:rFonts w:hint="eastAsia"/>
        </w:rPr>
        <w:t>2.1.1</w:t>
      </w:r>
      <w:r w:rsidRPr="009B7054">
        <w:t>.</w:t>
      </w:r>
      <w:r w:rsidRPr="007F2A1A">
        <w:rPr>
          <w:rFonts w:hint="eastAsia"/>
        </w:rPr>
        <w:t xml:space="preserve"> </w:t>
      </w:r>
      <w:r>
        <w:rPr>
          <w:rFonts w:eastAsiaTheme="minorEastAsia" w:hint="eastAsia"/>
          <w:lang w:eastAsia="zh-TW"/>
        </w:rPr>
        <w:t>Holonic Agents</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70CB3062" w:rsidR="00BB49D1" w:rsidRDefault="00502DC7" w:rsidP="00D32E20">
      <w:pPr>
        <w:pStyle w:val="MDPI31text"/>
        <w:suppressAutoHyphens/>
        <w:spacing w:line="240" w:lineRule="auto"/>
        <w:rPr>
          <w:rFonts w:eastAsiaTheme="minorEastAsia"/>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37EE2D4B" w14:textId="7D011CD2" w:rsidR="00960F7C" w:rsidRPr="00A31838" w:rsidRDefault="00960F7C" w:rsidP="00D32E20">
      <w:pPr>
        <w:pStyle w:val="MDPI31text"/>
        <w:suppressAutoHyphens/>
        <w:spacing w:line="240" w:lineRule="auto"/>
        <w:rPr>
          <w:rFonts w:eastAsiaTheme="minorEastAsia" w:hint="eastAsia"/>
          <w:lang w:eastAsia="zh-TW"/>
        </w:rPr>
      </w:pPr>
      <w:r>
        <w:rPr>
          <w:rFonts w:eastAsiaTheme="minorEastAsia" w:hint="eastAsia"/>
          <w:lang w:eastAsia="zh-TW"/>
        </w:rPr>
        <w:t>綜上所述我們規範</w:t>
      </w:r>
    </w:p>
    <w:p w14:paraId="0DF80CB3" w14:textId="0D09A758" w:rsidR="007F2A1A" w:rsidRDefault="00B9547D" w:rsidP="00D32E20">
      <w:pPr>
        <w:pStyle w:val="MDPI31text"/>
        <w:suppressAutoHyphens/>
        <w:spacing w:line="240" w:lineRule="auto"/>
        <w:rPr>
          <w:rFonts w:eastAsiaTheme="minorEastAsia"/>
          <w:lang w:eastAsia="zh-TW"/>
        </w:rPr>
      </w:pPr>
      <w:r w:rsidRPr="00B9547D">
        <w:rPr>
          <w:rFonts w:eastAsiaTheme="minorEastAsia"/>
          <w:lang w:eastAsia="zh-TW"/>
        </w:rPr>
        <w:drawing>
          <wp:inline distT="0" distB="0" distL="0" distR="0" wp14:anchorId="466591D1" wp14:editId="71FE79AE">
            <wp:extent cx="1062355" cy="1311124"/>
            <wp:effectExtent l="0" t="0" r="4445" b="3810"/>
            <wp:docPr id="948108178"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08178" name="圖片 1" descr="一張含有 文字, 字型, 螢幕擷取畫面, 數字 的圖片&#10;&#10;自動產生的描述"/>
                    <pic:cNvPicPr/>
                  </pic:nvPicPr>
                  <pic:blipFill>
                    <a:blip r:embed="rId12"/>
                    <a:stretch>
                      <a:fillRect/>
                    </a:stretch>
                  </pic:blipFill>
                  <pic:spPr>
                    <a:xfrm>
                      <a:off x="0" y="0"/>
                      <a:ext cx="1075620" cy="1327495"/>
                    </a:xfrm>
                    <a:prstGeom prst="rect">
                      <a:avLst/>
                    </a:prstGeom>
                  </pic:spPr>
                </pic:pic>
              </a:graphicData>
            </a:graphic>
          </wp:inline>
        </w:drawing>
      </w:r>
    </w:p>
    <w:p w14:paraId="06E728E4" w14:textId="133D6A04" w:rsidR="00930B2B" w:rsidRPr="007F2A1A" w:rsidRDefault="00930B2B" w:rsidP="00D32E20">
      <w:pPr>
        <w:pStyle w:val="MDPI31text"/>
        <w:suppressAutoHyphens/>
        <w:spacing w:line="240" w:lineRule="auto"/>
        <w:rPr>
          <w:rFonts w:eastAsiaTheme="minorEastAsia" w:hint="eastAsia"/>
          <w:lang w:eastAsia="zh-TW"/>
        </w:rPr>
      </w:pPr>
      <w:r w:rsidRPr="00930B2B">
        <w:rPr>
          <w:rFonts w:eastAsiaTheme="minorEastAsia"/>
          <w:lang w:eastAsia="zh-TW"/>
        </w:rPr>
        <w:drawing>
          <wp:inline distT="0" distB="0" distL="0" distR="0" wp14:anchorId="3618EA34" wp14:editId="74DDA30E">
            <wp:extent cx="1971675" cy="1304925"/>
            <wp:effectExtent l="0" t="0" r="9525" b="9525"/>
            <wp:docPr id="534697823" name="圖片 1" descr="一張含有 文字, 字型, 螢幕擷取畫面,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97823" name="圖片 1" descr="一張含有 文字, 字型, 螢幕擷取畫面, Rectangle 的圖片&#10;&#10;自動產生的描述"/>
                    <pic:cNvPicPr/>
                  </pic:nvPicPr>
                  <pic:blipFill>
                    <a:blip r:embed="rId13"/>
                    <a:stretch>
                      <a:fillRect/>
                    </a:stretch>
                  </pic:blipFill>
                  <pic:spPr>
                    <a:xfrm>
                      <a:off x="0" y="0"/>
                      <a:ext cx="1971675" cy="1304925"/>
                    </a:xfrm>
                    <a:prstGeom prst="rect">
                      <a:avLst/>
                    </a:prstGeom>
                  </pic:spPr>
                </pic:pic>
              </a:graphicData>
            </a:graphic>
          </wp:inline>
        </w:drawing>
      </w:r>
    </w:p>
    <w:p w14:paraId="78DA5AC2" w14:textId="78928794" w:rsidR="00AA62D1" w:rsidRPr="00C023F9" w:rsidRDefault="00AA62D1" w:rsidP="00D32E20">
      <w:pPr>
        <w:pStyle w:val="MDPI22heading2"/>
        <w:suppressAutoHyphens/>
        <w:spacing w:before="240" w:line="240" w:lineRule="auto"/>
      </w:pPr>
      <w:bookmarkStart w:id="9" w:name="OLE_LINK7"/>
      <w:r w:rsidRPr="00C023F9">
        <w:t xml:space="preserve">2.2. </w:t>
      </w:r>
      <w:r w:rsidR="00D740FD" w:rsidRPr="00D740FD">
        <w:t>Tackling One-to-Many Communication Challenges</w:t>
      </w:r>
    </w:p>
    <w:bookmarkEnd w:id="9"/>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0"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0"/>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 xml:space="preserve">The circulatory system transports life-sustaining substances throughout the body, such as oxygen, hormones, and antibodies. It uniformly delivers nutrients to all organs and tissues. The heart serves as the central generator of the circulatory system. Although </w:t>
      </w:r>
      <w:r w:rsidRPr="00812E3B">
        <w:rPr>
          <w:lang w:eastAsia="zh-TW"/>
        </w:rPr>
        <w:lastRenderedPageBreak/>
        <w:t>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D9ED36D" w:rsidR="00C2694A" w:rsidRPr="00C023F9" w:rsidRDefault="00C2694A" w:rsidP="00D32E20">
      <w:pPr>
        <w:pStyle w:val="MDPI23heading3"/>
        <w:suppressAutoHyphens/>
        <w:spacing w:line="240" w:lineRule="auto"/>
      </w:pPr>
      <w:r w:rsidRPr="00C023F9">
        <w:t>2.3.</w:t>
      </w:r>
      <w:r w:rsidR="00572376" w:rsidRPr="00C023F9">
        <w:t xml:space="preserve"> </w:t>
      </w:r>
      <w:r w:rsidR="00D740FD" w:rsidRPr="00D740FD">
        <w:t>Strategies for Many-to-One Communication Efficiency</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1"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1"/>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2" w:name="OLE_LINK28"/>
      <w:r w:rsidRPr="00BF6F36">
        <w:rPr>
          <w:b/>
        </w:rPr>
        <w:t>Fig. 5 Agent and DDS Integration Scenario</w:t>
      </w:r>
    </w:p>
    <w:bookmarkEnd w:id="12"/>
    <w:p w14:paraId="20C27FB2" w14:textId="1BE061E5" w:rsidR="003C77FC" w:rsidRDefault="003C77FC" w:rsidP="003C77FC">
      <w:pPr>
        <w:pStyle w:val="MDPI22heading2"/>
        <w:suppressAutoHyphens/>
        <w:spacing w:before="240" w:line="240" w:lineRule="auto"/>
      </w:pPr>
      <w:r w:rsidRPr="00C023F9">
        <w:t>2.</w:t>
      </w:r>
      <w:r w:rsidR="00C76180">
        <w:rPr>
          <w:rFonts w:eastAsiaTheme="minorEastAsia" w:hint="eastAsia"/>
          <w:lang w:eastAsia="zh-TW"/>
        </w:rPr>
        <w:t>4</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lastRenderedPageBreak/>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3"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3"/>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0"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4"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4"/>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w:t>
      </w:r>
      <w:r>
        <w:rPr>
          <w:lang w:eastAsia="zh-TW"/>
        </w:rPr>
        <w:lastRenderedPageBreak/>
        <w:t xml:space="preserve">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5" w:name="OLE_LINK18"/>
            <w:r w:rsidRPr="00C023F9">
              <w:rPr>
                <w:rFonts w:eastAsia="新細明體" w:cs="新細明體"/>
                <w:b/>
                <w:snapToGrid/>
                <w:sz w:val="18"/>
                <w:lang w:eastAsia="zh-TW"/>
              </w:rPr>
              <w:t>Agent</w:t>
            </w:r>
            <w:bookmarkEnd w:id="15"/>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6"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6"/>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7"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7"/>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8"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8"/>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9" w:name="OLE_LINK34"/>
            <w:r w:rsidRPr="00C023F9">
              <w:rPr>
                <w:rFonts w:eastAsia="新細明體" w:cs="新細明體"/>
                <w:b/>
                <w:snapToGrid/>
                <w:sz w:val="18"/>
                <w:lang w:eastAsia="zh-TW"/>
              </w:rPr>
              <w:t>Agents with topics flow</w:t>
            </w:r>
            <w:bookmarkEnd w:id="19"/>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1" w:name="OLE_LINK12"/>
            <w:r w:rsidRPr="00C023F9">
              <w:rPr>
                <w:sz w:val="14"/>
                <w:szCs w:val="14"/>
              </w:rPr>
              <w:sym w:font="Wingdings" w:char="F0E0"/>
            </w:r>
            <w:r w:rsidRPr="00C023F9">
              <w:rPr>
                <w:sz w:val="14"/>
                <w:szCs w:val="14"/>
              </w:rPr>
              <w:t xml:space="preserve"> B03</w:t>
            </w:r>
            <w:bookmarkEnd w:id="20"/>
            <w:bookmarkEnd w:id="21"/>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2"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2"/>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3"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3"/>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4"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5" w:name="OLE_LINK22"/>
            <w:bookmarkEnd w:id="24"/>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5"/>
            <w:bookmarkStart w:id="27"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5"/>
            <w:bookmarkEnd w:id="26"/>
            <w:r w:rsidRPr="00C023F9">
              <w:rPr>
                <w:sz w:val="14"/>
                <w:szCs w:val="14"/>
              </w:rPr>
              <w:t>1</w:t>
            </w:r>
            <w:bookmarkEnd w:id="27"/>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8"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8"/>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9"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9"/>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0" w:name="OLE_LINK31"/>
            <w:bookmarkStart w:id="31" w:name="OLE_LINK23"/>
            <w:bookmarkStart w:id="32"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0"/>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1"/>
            <w:r w:rsidRPr="00C023F9">
              <w:rPr>
                <w:sz w:val="14"/>
                <w:szCs w:val="14"/>
              </w:rPr>
              <w:t>3</w:t>
            </w:r>
            <w:bookmarkEnd w:id="32"/>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3"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3"/>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4"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5" w:name="OLE_LINK43"/>
      <w:bookmarkEnd w:id="34"/>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5"/>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6"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 xml:space="preserve">According to physiology, distributed, hierarchical, regional, and global communication are essential mechanisms of complex intelligent agents. In this study, these insights were applied to the coordination of organizational structure and </w:t>
      </w:r>
      <w:r>
        <w:rPr>
          <w:lang w:eastAsia="zh-TW"/>
        </w:rPr>
        <w:lastRenderedPageBreak/>
        <w:t>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6"/>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2"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3"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lastRenderedPageBreak/>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4"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5"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6"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7"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8"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29"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0"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1"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2"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3"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4"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5"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6"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7"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8"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9"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0"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1"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2"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lastRenderedPageBreak/>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3"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4"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5"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46"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7"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8"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9"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7" w:name="OLE_LINK6"/>
      <w:r w:rsidRPr="00C023F9">
        <w:t>pp</w:t>
      </w:r>
      <w:bookmarkEnd w:id="37"/>
      <w:r w:rsidRPr="00C023F9">
        <w:t xml:space="preserve">. 130-141. </w:t>
      </w:r>
      <w:hyperlink r:id="rId50"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1"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2"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3"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4"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55"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8" w:name="OLE_LINK40"/>
      <w:r w:rsidRPr="00EF23A1">
        <w:rPr>
          <w:rFonts w:ascii="Times New Roman" w:hAnsi="Times New Roman" w:cs="Times New Roman"/>
          <w:i/>
        </w:rPr>
        <w:t xml:space="preserve">biological </w:t>
      </w:r>
      <w:bookmarkEnd w:id="38"/>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9"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0" w:name="OLE_LINK42"/>
      <w:bookmarkEnd w:id="39"/>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1" w:name="OLE_LINK46"/>
    </w:p>
    <w:bookmarkEnd w:id="41"/>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2" w:name="OLE_LINK47"/>
      <w:bookmarkEnd w:id="40"/>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3" w:name="OLE_LINK48"/>
      <w:bookmarkEnd w:id="42"/>
      <w:r w:rsidRPr="00A275FE">
        <w:rPr>
          <w:rFonts w:ascii="Times New Roman" w:hAnsi="Times New Roman" w:cs="Times New Roman"/>
          <w:b/>
          <w:bCs/>
        </w:rPr>
        <w:t>Code availability</w:t>
      </w:r>
      <w:bookmarkEnd w:id="43"/>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4" w:name="OLE_LINK51"/>
      <w:bookmarkStart w:id="45" w:name="OLE_LINK50"/>
      <w:r w:rsidRPr="00A275FE">
        <w:rPr>
          <w:rFonts w:ascii="Times New Roman" w:hAnsi="Times New Roman" w:cs="Times New Roman"/>
          <w:b/>
          <w:bCs/>
        </w:rPr>
        <w:lastRenderedPageBreak/>
        <w:t>Authors' contributions</w:t>
      </w:r>
      <w:bookmarkEnd w:id="44"/>
    </w:p>
    <w:p w14:paraId="731E8BA0" w14:textId="77777777" w:rsidR="009B08C9" w:rsidRPr="00EF23A1" w:rsidRDefault="009B08C9" w:rsidP="009B08C9">
      <w:pPr>
        <w:pStyle w:val="aff"/>
        <w:ind w:left="720"/>
        <w:rPr>
          <w:rFonts w:ascii="Times New Roman" w:hAnsi="Times New Roman" w:cs="Times New Roman"/>
        </w:rPr>
      </w:pPr>
      <w:bookmarkStart w:id="46" w:name="OLE_LINK56"/>
      <w:bookmarkStart w:id="47" w:name="OLE_LINK52"/>
      <w:r w:rsidRPr="00EF23A1">
        <w:rPr>
          <w:rFonts w:ascii="Times New Roman" w:hAnsi="Times New Roman" w:cs="Times New Roman"/>
        </w:rPr>
        <w:t>Ching Han Chen</w:t>
      </w:r>
      <w:bookmarkEnd w:id="46"/>
      <w:r w:rsidRPr="00EF23A1">
        <w:rPr>
          <w:rFonts w:ascii="Times New Roman" w:hAnsi="Times New Roman" w:cs="Times New Roman"/>
        </w:rPr>
        <w:t xml:space="preserve"> and </w:t>
      </w:r>
      <w:bookmarkStart w:id="48" w:name="OLE_LINK55"/>
      <w:r w:rsidRPr="00EF23A1">
        <w:rPr>
          <w:rFonts w:ascii="Times New Roman" w:hAnsi="Times New Roman" w:cs="Times New Roman"/>
        </w:rPr>
        <w:t>Ming Fang Shiu</w:t>
      </w:r>
      <w:bookmarkEnd w:id="48"/>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9" w:name="OLE_LINK59"/>
      <w:bookmarkEnd w:id="45"/>
      <w:bookmarkEnd w:id="47"/>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9"/>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743D8A">
      <w:headerReference w:type="even" r:id="rId56"/>
      <w:headerReference w:type="default" r:id="rId57"/>
      <w:headerReference w:type="first" r:id="rId58"/>
      <w:footerReference w:type="first" r:id="rId59"/>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A2E7D" w14:textId="77777777" w:rsidR="00743D8A" w:rsidRDefault="00743D8A">
      <w:r>
        <w:separator/>
      </w:r>
    </w:p>
  </w:endnote>
  <w:endnote w:type="continuationSeparator" w:id="0">
    <w:p w14:paraId="2668FDE9" w14:textId="77777777" w:rsidR="00743D8A" w:rsidRDefault="00743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CB15" w14:textId="77777777" w:rsidR="00743D8A" w:rsidRDefault="00743D8A">
      <w:r>
        <w:separator/>
      </w:r>
    </w:p>
  </w:footnote>
  <w:footnote w:type="continuationSeparator" w:id="0">
    <w:p w14:paraId="2122D548" w14:textId="77777777" w:rsidR="00743D8A" w:rsidRDefault="00743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0" w:name="OLE_LINK10"/>
    <w:r>
      <w:rPr>
        <w:sz w:val="16"/>
      </w:rPr>
      <w:t>FOR PEER REVIEW</w:t>
    </w:r>
    <w:bookmarkEnd w:id="50"/>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557"/>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2A1A"/>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A"/>
    <w:rsid w:val="00CA4D35"/>
    <w:rsid w:val="00CA4FB3"/>
    <w:rsid w:val="00CA5531"/>
    <w:rsid w:val="00CA55F8"/>
    <w:rsid w:val="00CA6502"/>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187E"/>
    <w:rsid w:val="00D725C2"/>
    <w:rsid w:val="00D73CC8"/>
    <w:rsid w:val="00D740FD"/>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16/j.simpat.2008.08.015" TargetMode="External"/><Relationship Id="rId39" Type="http://schemas.openxmlformats.org/officeDocument/2006/relationships/hyperlink" Target="https://doi.org/10.1109/COMSWA.2008.4554519" TargetMode="External"/><Relationship Id="rId21" Type="http://schemas.openxmlformats.org/officeDocument/2006/relationships/image" Target="media/image10.png"/><Relationship Id="rId34" Type="http://schemas.openxmlformats.org/officeDocument/2006/relationships/hyperlink" Target="https://doi.org/10.1109/IECON.2010.5675295" TargetMode="External"/><Relationship Id="rId42" Type="http://schemas.openxmlformats.org/officeDocument/2006/relationships/hyperlink" Target="https://doi.org/10.1007/11537847_20" TargetMode="External"/><Relationship Id="rId47" Type="http://schemas.openxmlformats.org/officeDocument/2006/relationships/hyperlink" Target="https://doi.org/10.3390/app11136057" TargetMode="External"/><Relationship Id="rId50" Type="http://schemas.openxmlformats.org/officeDocument/2006/relationships/hyperlink" Target="https://doi.org/10.1145/2611286.2611300" TargetMode="External"/><Relationship Id="rId55" Type="http://schemas.openxmlformats.org/officeDocument/2006/relationships/hyperlink" Target="https://doi.org/10.48550/arXiv.1709.0843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371/journal.pcbi.1004829" TargetMode="External"/><Relationship Id="rId11" Type="http://schemas.openxmlformats.org/officeDocument/2006/relationships/image" Target="media/image1.png"/><Relationship Id="rId24" Type="http://schemas.openxmlformats.org/officeDocument/2006/relationships/hyperlink" Target="https://doi.org/10.2200/S00091ED1V01Y200705AIM002" TargetMode="External"/><Relationship Id="rId32" Type="http://schemas.openxmlformats.org/officeDocument/2006/relationships/hyperlink" Target="https://doi.org/10.1109/CEC.2007.4424683" TargetMode="External"/><Relationship Id="rId37" Type="http://schemas.openxmlformats.org/officeDocument/2006/relationships/hyperlink" Target="https://doi.org/10.1007/s10845-019-01478-9" TargetMode="External"/><Relationship Id="rId40" Type="http://schemas.openxmlformats.org/officeDocument/2006/relationships/hyperlink" Target="https://doi.org/10.1145/2637365.2517216" TargetMode="External"/><Relationship Id="rId45" Type="http://schemas.openxmlformats.org/officeDocument/2006/relationships/hyperlink" Target="https://doi.org/10.1109/ICDCSW.2003.1203555" TargetMode="External"/><Relationship Id="rId53" Type="http://schemas.openxmlformats.org/officeDocument/2006/relationships/hyperlink" Target="https://doi.org/10.1007/s40747-021-00352-7"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doi.org/10.1007/BF00155579" TargetMode="External"/><Relationship Id="rId27" Type="http://schemas.openxmlformats.org/officeDocument/2006/relationships/hyperlink" Target="https://doi.org/10.1016/j.micpro.2022.104507" TargetMode="External"/><Relationship Id="rId30" Type="http://schemas.openxmlformats.org/officeDocument/2006/relationships/hyperlink" Target="https://doi.org/10.1287/mnsc.44.11.S65" TargetMode="External"/><Relationship Id="rId35" Type="http://schemas.openxmlformats.org/officeDocument/2006/relationships/hyperlink" Target="https://doi.org/10.1109/PSCE.2009.4840087" TargetMode="External"/><Relationship Id="rId43" Type="http://schemas.openxmlformats.org/officeDocument/2006/relationships/hyperlink" Target="https://doi.org/10.1007/11537847_21" TargetMode="External"/><Relationship Id="rId48" Type="http://schemas.openxmlformats.org/officeDocument/2006/relationships/hyperlink" Target="https://doi.org/10.3390/app112110026" TargetMode="External"/><Relationship Id="rId56" Type="http://schemas.openxmlformats.org/officeDocument/2006/relationships/header" Target="header1.xml"/><Relationship Id="rId8" Type="http://schemas.openxmlformats.org/officeDocument/2006/relationships/hyperlink" Target="mailto:pierre@g.ncu.edu.tw" TargetMode="External"/><Relationship Id="rId51" Type="http://schemas.openxmlformats.org/officeDocument/2006/relationships/hyperlink" Target="https://doi.org/10.1007/978-3-540-25928-2_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978-3-540-25928-2_6" TargetMode="External"/><Relationship Id="rId33" Type="http://schemas.openxmlformats.org/officeDocument/2006/relationships/hyperlink" Target="https://doi.org/10.1016/j.trc.2008.04.003" TargetMode="External"/><Relationship Id="rId38" Type="http://schemas.openxmlformats.org/officeDocument/2006/relationships/hyperlink" Target="https://doi.org/10.1109/ROBOT.1997.620108" TargetMode="External"/><Relationship Id="rId46" Type="http://schemas.openxmlformats.org/officeDocument/2006/relationships/hyperlink" Target="https://doi.org/10.1007/978-3-642-16256-5_11" TargetMode="External"/><Relationship Id="rId59" Type="http://schemas.openxmlformats.org/officeDocument/2006/relationships/footer" Target="footer1.xml"/><Relationship Id="rId20" Type="http://schemas.openxmlformats.org/officeDocument/2006/relationships/hyperlink" Target="https://github.com/mfshiu/abdi.git" TargetMode="External"/><Relationship Id="rId41" Type="http://schemas.openxmlformats.org/officeDocument/2006/relationships/hyperlink" Target="https://doi.org/10.1007/978-3-642-17348-6_11" TargetMode="External"/><Relationship Id="rId54" Type="http://schemas.openxmlformats.org/officeDocument/2006/relationships/hyperlink" Target="https://doi.org/10.1007/s13218-014-0314-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642-14435-6_1" TargetMode="External"/><Relationship Id="rId28" Type="http://schemas.openxmlformats.org/officeDocument/2006/relationships/hyperlink" Target="https://doi.org/10.1007/s40747-015-0003-3" TargetMode="External"/><Relationship Id="rId36" Type="http://schemas.openxmlformats.org/officeDocument/2006/relationships/hyperlink" Target="https://doi.org/10.48550/arXiv.2109.12386" TargetMode="External"/><Relationship Id="rId49" Type="http://schemas.openxmlformats.org/officeDocument/2006/relationships/hyperlink" Target="https://doi.org/10.1007/s40747-020-00147-2" TargetMode="External"/><Relationship Id="rId57" Type="http://schemas.openxmlformats.org/officeDocument/2006/relationships/header" Target="header2.xml"/><Relationship Id="rId10" Type="http://schemas.openxmlformats.org/officeDocument/2006/relationships/hyperlink" Target="mailto:108582003@cc.ncu.edu.tw" TargetMode="External"/><Relationship Id="rId31" Type="http://schemas.openxmlformats.org/officeDocument/2006/relationships/hyperlink" Target="https://doi.org/10.1017/S0269888900000205" TargetMode="External"/><Relationship Id="rId44" Type="http://schemas.openxmlformats.org/officeDocument/2006/relationships/hyperlink" Target="https://doi.org/10.5815/ijcnis.2014.10.02" TargetMode="External"/><Relationship Id="rId52" Type="http://schemas.openxmlformats.org/officeDocument/2006/relationships/hyperlink" Target="https://doi.org/10.1007/978-81-322-3972-7_19"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15</Pages>
  <Words>6122</Words>
  <Characters>34899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2</cp:revision>
  <cp:lastPrinted>2022-09-05T16:55:00Z</cp:lastPrinted>
  <dcterms:created xsi:type="dcterms:W3CDTF">2024-03-26T13:24:00Z</dcterms:created>
  <dcterms:modified xsi:type="dcterms:W3CDTF">2024-03-28T15:33:00Z</dcterms:modified>
</cp:coreProperties>
</file>