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6E7EFC3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xml:space="preserve">. This often results in server agents broadcasting responses using a common topic, forcing client agents to sift through messages irrelevant to their needs, thereby generating unnecessary message traffic.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699454F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Holonic Agent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3A3E073C"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4B892979" w14:textId="001AA21D" w:rsidR="00C81BA6" w:rsidRDefault="00C81BA6" w:rsidP="00C81BA6">
      <w:pPr>
        <w:pStyle w:val="MDPI31text"/>
        <w:suppressAutoHyphens/>
        <w:rPr>
          <w:lang w:eastAsia="zh-TW"/>
        </w:rPr>
      </w:pPr>
      <w:r>
        <w:rPr>
          <w:lang w:eastAsia="zh-TW"/>
        </w:rPr>
        <w:t>In the realm of Multi-Agent Systems, the Many-to-One communication model, as depicted in Figure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he topics published and subscribed by each agent</w:t>
      </w:r>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027137EB" w:rsidR="00C21289" w:rsidRDefault="00060E12"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4C7AEB64" wp14:editId="09B8305F">
            <wp:extent cx="3169234" cy="1481358"/>
            <wp:effectExtent l="0" t="0" r="0" b="0"/>
            <wp:docPr id="176648290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2909" name="圖片 17664829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5977" cy="1498532"/>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r>
    </w:tbl>
    <w:p w14:paraId="0FF00CD8" w14:textId="4400B5A2" w:rsidR="00B17488" w:rsidRPr="00A519BB" w:rsidRDefault="00A519BB"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A44E942" wp14:editId="2FAE2EEE">
            <wp:extent cx="4773102" cy="1460753"/>
            <wp:effectExtent l="0" t="0" r="0" b="0"/>
            <wp:docPr id="21273124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2497" name="圖片 2127312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1194" cy="1487713"/>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As depicted in Fig. 7, the logistics foundation recognizes an Agent and facilitates the delegation of 'publish' and 'subscribe' actions on its behalf. Specifically, the RequestLogistic is endowed with a request_id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32881F61" w:rsidR="00F7068C" w:rsidRDefault="00266E21" w:rsidP="00F7068C">
      <w:pPr>
        <w:pStyle w:val="MDPI31text"/>
        <w:suppressAutoHyphens/>
        <w:rPr>
          <w:lang w:eastAsia="zh-TW"/>
        </w:rPr>
      </w:pPr>
      <w:bookmarkStart w:id="10" w:name="OLE_LINK28"/>
      <w:r w:rsidRPr="00266E21">
        <w:rPr>
          <w:lang w:eastAsia="zh-TW"/>
        </w:rPr>
        <w:t>In the realm of Multi-Agent Systems, One-to-Many communications, as illustrated in Fig. 9,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6326C565" w:rsidR="008A3C67" w:rsidRDefault="00A519BB"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16F9FD0" wp14:editId="0DBD3BDC">
            <wp:extent cx="3555531" cy="1927583"/>
            <wp:effectExtent l="0" t="0" r="0" b="0"/>
            <wp:docPr id="3497547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4788" name="圖片 3497547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2715" cy="1964006"/>
                    </a:xfrm>
                    <a:prstGeom prst="rect">
                      <a:avLst/>
                    </a:prstGeom>
                  </pic:spPr>
                </pic:pic>
              </a:graphicData>
            </a:graphic>
          </wp:inline>
        </w:drawing>
      </w:r>
    </w:p>
    <w:p w14:paraId="7D496056" w14:textId="77777777"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3DF98087" w:rsidR="00180B7B" w:rsidRDefault="005A7194" w:rsidP="00180B7B">
      <w:pPr>
        <w:pStyle w:val="MDPI31text"/>
        <w:suppressAutoHyphens/>
        <w:spacing w:line="240" w:lineRule="auto"/>
        <w:rPr>
          <w:rFonts w:eastAsiaTheme="minorEastAsia"/>
          <w:lang w:eastAsia="zh-TW"/>
        </w:rPr>
      </w:pPr>
      <w:r w:rsidRPr="005A7194">
        <w:rPr>
          <w:lang w:eastAsia="zh-TW"/>
        </w:rPr>
        <w:t xml:space="preserve">In the MAS framework, a specially designed logistic object is employed as a crucial intermediary to coordinate all agents offering the same service, aligning with the </w:t>
      </w:r>
      <w:r w:rsidRPr="005A7194">
        <w:rPr>
          <w:lang w:eastAsia="zh-TW"/>
        </w:rPr>
        <w:lastRenderedPageBreak/>
        <w:t>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as illustrated in Fig. 10</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68C2C6AA">
            <wp:extent cx="4293897" cy="2388188"/>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75" cy="2402748"/>
                    </a:xfrm>
                    <a:prstGeom prst="rect">
                      <a:avLst/>
                    </a:prstGeom>
                  </pic:spPr>
                </pic:pic>
              </a:graphicData>
            </a:graphic>
          </wp:inline>
        </w:drawing>
      </w:r>
    </w:p>
    <w:p w14:paraId="65B3C251" w14:textId="4BFDEE59"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10</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t xml:space="preserve">This decentralized approach, which is a consensus algorithm, ensures that tasks are allocated fairly and efficiently, leveraging the system's distributed nature to optimize performance and responsiveness. The ranking algorithm is based on the contributions of </w:t>
      </w:r>
      <w:r w:rsidRPr="00014341">
        <w:rPr>
          <w:lang w:eastAsia="zh-TW"/>
        </w:rPr>
        <w:lastRenderedPageBreak/>
        <w:t>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p w14:paraId="5222481B" w14:textId="4372874C" w:rsidR="007E60CB" w:rsidRPr="00AF613E" w:rsidRDefault="00AF613E" w:rsidP="00377EBF">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1BBD5111" wp14:editId="43C91A0E">
            <wp:extent cx="2664404" cy="2169506"/>
            <wp:effectExtent l="0" t="0" r="0" b="0"/>
            <wp:docPr id="15741195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958" name="圖片 157411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7926" cy="2188659"/>
                    </a:xfrm>
                    <a:prstGeom prst="rect">
                      <a:avLst/>
                    </a:prstGeom>
                  </pic:spPr>
                </pic:pic>
              </a:graphicData>
            </a:graphic>
          </wp:inline>
        </w:drawing>
      </w:r>
    </w:p>
    <w:p w14:paraId="431817EC" w14:textId="48F05AD4" w:rsidR="00377EBF" w:rsidRPr="00377EBF" w:rsidRDefault="00377EBF" w:rsidP="00377EBF">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11</w:t>
      </w:r>
      <w:r w:rsidRPr="00502DC7">
        <w:rPr>
          <w:b/>
        </w:rPr>
        <w:t xml:space="preserve"> </w:t>
      </w:r>
      <w:r w:rsidRPr="002A4AC7">
        <w:rPr>
          <w:b/>
        </w:rPr>
        <w:t xml:space="preserve">Class </w:t>
      </w:r>
      <w:r>
        <w:rPr>
          <w:b/>
        </w:rPr>
        <w:t>d</w:t>
      </w:r>
      <w:r w:rsidRPr="002A4AC7">
        <w:rPr>
          <w:b/>
        </w:rPr>
        <w:t xml:space="preserve">iagram of </w:t>
      </w:r>
      <w:r>
        <w:rPr>
          <w:b/>
        </w:rPr>
        <w:t>LoadingCoordinator</w:t>
      </w:r>
      <w:r w:rsidRPr="002A4AC7">
        <w:rPr>
          <w:b/>
        </w:rPr>
        <w:t xml:space="preserve"> </w:t>
      </w:r>
      <w:r>
        <w:rPr>
          <w:b/>
        </w:rPr>
        <w:t>l</w:t>
      </w:r>
      <w:r w:rsidRPr="002A4AC7">
        <w:rPr>
          <w:b/>
        </w:rPr>
        <w:t>ogistics</w:t>
      </w:r>
    </w:p>
    <w:p w14:paraId="5CED497F" w14:textId="03BCB1BD" w:rsidR="00104FC3" w:rsidRPr="00A03BA4" w:rsidRDefault="00992ABD" w:rsidP="00A03BA4">
      <w:pPr>
        <w:pStyle w:val="MDPI31text"/>
        <w:suppressAutoHyphens/>
        <w:spacing w:beforeLines="50" w:before="163" w:line="240" w:lineRule="auto"/>
        <w:rPr>
          <w:lang w:eastAsia="zh-TW"/>
        </w:rPr>
      </w:pPr>
      <w:r w:rsidRPr="00992ABD">
        <w:rPr>
          <w:lang w:eastAsia="zh-TW"/>
        </w:rPr>
        <w:t>The class diagram in Fig. 11 shows the LoadingCoordinator as a subclass of the BaseLogistic, and it is utilized by the HolonicAgent.</w:t>
      </w:r>
      <w:r w:rsidR="00C8036D">
        <w:rPr>
          <w:lang w:eastAsia="zh-TW"/>
        </w:rPr>
        <w:t xml:space="preserve"> This section</w:t>
      </w:r>
      <w:r w:rsidR="00C8036D" w:rsidRPr="00C8036D">
        <w:rPr>
          <w:lang w:eastAsia="zh-TW"/>
        </w:rPr>
        <w:t xml:space="preserve"> discusses challenges and solutions for coordinating One-to-Many communications in Multi-Agent Systems to ensure efficient load balancing and dynamic agent participation. It highlights the decentralized coordination, employing consensus algorithms to autonomously determine the executing agent, ensuring equitable load distribution.</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5E19AC4E" w14:textId="4B6B6916" w:rsidR="00672C82" w:rsidRDefault="00F64488" w:rsidP="00F62FE0">
      <w:pPr>
        <w:pStyle w:val="MDPI31text"/>
        <w:suppressAutoHyphens/>
        <w:rPr>
          <w:lang w:eastAsia="zh-TW"/>
        </w:rPr>
      </w:pPr>
      <w:r w:rsidRPr="00F64488">
        <w:rPr>
          <w:lang w:eastAsia="zh-TW"/>
        </w:rPr>
        <w:t>In the domain of Multi-Agent Systems, the Many-to-Many communication model combines the selective messaging characteristic of the Many-to-One model, as depicted in Figure 12, with the dynamic coordination featured in the One-to-Many model. This architecture employs both the Request-Response and LoadingCoordinator logistic objects to accurately guide messages and manage load balancing among multiple agents.</w:t>
      </w:r>
    </w:p>
    <w:p w14:paraId="4B767B20" w14:textId="07FA0C51" w:rsidR="003C77FC" w:rsidRDefault="00FE3F4B" w:rsidP="00D32E20">
      <w:pPr>
        <w:pStyle w:val="MDPI21heading1"/>
        <w:suppressAutoHyphens/>
        <w:spacing w:line="240" w:lineRule="auto"/>
        <w:rPr>
          <w:lang w:eastAsia="zh-TW"/>
        </w:rPr>
      </w:pPr>
      <w:r>
        <w:rPr>
          <w:noProof/>
          <w:snapToGrid/>
          <w:lang w:eastAsia="zh-TW"/>
        </w:rPr>
        <w:drawing>
          <wp:inline distT="0" distB="0" distL="0" distR="0" wp14:anchorId="1EB730BB" wp14:editId="513E8D4C">
            <wp:extent cx="3271921" cy="1613139"/>
            <wp:effectExtent l="0" t="0" r="0" b="0"/>
            <wp:docPr id="1099007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7223" name="圖片 10990072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2291" cy="1637973"/>
                    </a:xfrm>
                    <a:prstGeom prst="rect">
                      <a:avLst/>
                    </a:prstGeom>
                  </pic:spPr>
                </pic:pic>
              </a:graphicData>
            </a:graphic>
          </wp:inline>
        </w:drawing>
      </w:r>
    </w:p>
    <w:p w14:paraId="3C2D9399" w14:textId="1FDCF5B5"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sidR="002E2384">
        <w:rPr>
          <w:b/>
        </w:rPr>
        <w:t>12</w:t>
      </w:r>
      <w:r w:rsidRPr="00C023F9">
        <w:rPr>
          <w:b/>
        </w:rPr>
        <w:t xml:space="preserve"> </w:t>
      </w:r>
      <w:r w:rsidR="002E2384">
        <w:rPr>
          <w:rFonts w:eastAsiaTheme="minorEastAsia"/>
          <w:b/>
          <w:lang w:eastAsia="zh-TW"/>
        </w:rPr>
        <w:t>Many</w:t>
      </w:r>
      <w:r w:rsidR="002E2384">
        <w:rPr>
          <w:rFonts w:eastAsiaTheme="minorEastAsia" w:hint="eastAsia"/>
          <w:b/>
          <w:lang w:eastAsia="zh-TW"/>
        </w:rPr>
        <w:t>-to-Many</w:t>
      </w:r>
      <w:r w:rsidR="002E2384" w:rsidRPr="0099185B">
        <w:rPr>
          <w:rFonts w:eastAsiaTheme="minorEastAsia"/>
          <w:b/>
          <w:lang w:eastAsia="zh-TW"/>
        </w:rPr>
        <w:t xml:space="preserve"> </w:t>
      </w:r>
      <w:r w:rsidR="00FE3F4B">
        <w:rPr>
          <w:rFonts w:eastAsiaTheme="minorEastAsia"/>
          <w:b/>
          <w:lang w:eastAsia="zh-TW"/>
        </w:rPr>
        <w:t>c</w:t>
      </w:r>
      <w:r w:rsidR="002E2384" w:rsidRPr="0099185B">
        <w:rPr>
          <w:rFonts w:eastAsiaTheme="minorEastAsia"/>
          <w:b/>
          <w:lang w:eastAsia="zh-TW"/>
        </w:rPr>
        <w:t>ommunication</w:t>
      </w:r>
      <w:r w:rsidR="00FE3F4B">
        <w:rPr>
          <w:rFonts w:eastAsiaTheme="minorEastAsia"/>
          <w:b/>
          <w:lang w:eastAsia="zh-TW"/>
        </w:rPr>
        <w:t xml:space="preserve"> model</w:t>
      </w:r>
    </w:p>
    <w:p w14:paraId="4772C11F" w14:textId="0E12D5AA" w:rsidR="009F226D" w:rsidRPr="009F226D" w:rsidRDefault="00F62FE0" w:rsidP="008E0F1C">
      <w:pPr>
        <w:pStyle w:val="MDPI31text"/>
        <w:suppressAutoHyphens/>
        <w:spacing w:line="240" w:lineRule="auto"/>
        <w:rPr>
          <w:lang w:eastAsia="zh-TW"/>
        </w:rPr>
      </w:pPr>
      <w:r w:rsidRPr="00F62FE0">
        <w:rPr>
          <w:lang w:eastAsia="zh-TW"/>
        </w:rPr>
        <w:t xml:space="preserve">The Many-to-Many communication model in Multi-Agent Systems, as detailed in Fig. 13, successfully integrates a pair of Request-Response Logistics with the LoadingCoordinator Logistic to facilitate a sophisticated network operation. The Request-Response Logistics pair is responsible for handling point-to-point </w:t>
      </w:r>
      <w:r w:rsidRPr="00F62FE0">
        <w:rPr>
          <w:lang w:eastAsia="zh-TW"/>
        </w:rPr>
        <w:lastRenderedPageBreak/>
        <w:t>communication between client and service agents, ensuring that each request and corresponding response are accurately matched and efficiently managed. Concurrently, the LoadingCoordinator Logistic operates in the background, orchestrating the distribution of tasks among service agents based on current load and capacity.</w:t>
      </w:r>
    </w:p>
    <w:bookmarkEnd w:id="11"/>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17B2ABE1" w:rsidR="004354B7" w:rsidRDefault="006F2C3B" w:rsidP="004354B7">
      <w:pPr>
        <w:pStyle w:val="MDPI35textbeforelist"/>
        <w:suppressAutoHyphens/>
        <w:spacing w:afterLines="100" w:after="326" w:line="240" w:lineRule="auto"/>
        <w:ind w:firstLine="85"/>
        <w:rPr>
          <w:b/>
        </w:rPr>
      </w:pPr>
      <w:r w:rsidRPr="006F2C3B">
        <w:rPr>
          <w:b/>
        </w:rPr>
        <w:t xml:space="preserve">Fig. </w:t>
      </w:r>
      <w:r w:rsidR="00785044">
        <w:rPr>
          <w:b/>
        </w:rPr>
        <w:t>13</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4C84302A" w:rsidR="00E0392E" w:rsidRPr="00C023F9" w:rsidRDefault="00130584" w:rsidP="00D32E20">
      <w:pPr>
        <w:pStyle w:val="MDPI31text"/>
        <w:suppressAutoHyphens/>
        <w:spacing w:line="240" w:lineRule="auto"/>
        <w:rPr>
          <w:lang w:eastAsia="zh-TW"/>
        </w:rPr>
      </w:pPr>
      <w:bookmarkStart w:id="12" w:name="OLE_LINK8"/>
      <w:r w:rsidRPr="00130584">
        <w:rPr>
          <w:lang w:eastAsia="zh-TW"/>
        </w:rPr>
        <w:t>In this experiment section, we rigorously evaluate the efficacy of our proposed Multi-Agent Systems architecture, which integrates Microservices and Distributed Ledger Technology to optimize message distribution and load balancing. Through a series of methodically designed tests, we aim to quantitatively assess how our innovative design impacts system performance under various operational conditions. The experiments are structured to measure key performance indicators such as message overhead and load distribution efficiency, providing empirical data to validate our architectural solutions. This chapter not only demonstrates the practical capabilities of our design but also highlights areas for future enhancement.</w:t>
      </w:r>
    </w:p>
    <w:bookmarkEnd w:id="12"/>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standard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A186B6E" w14:textId="4C3915DE"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 xml:space="preserve">Objective: </w:t>
      </w:r>
      <w:r w:rsidRPr="004B09A8">
        <w:rPr>
          <w:rFonts w:eastAsiaTheme="minorEastAsia"/>
          <w:lang w:eastAsia="zh-TW"/>
        </w:rPr>
        <w:t xml:space="preserve">Compare the response time and message throughput between </w:t>
      </w:r>
      <w:r w:rsidR="000F5CE9">
        <w:rPr>
          <w:rFonts w:eastAsiaTheme="minorEastAsia" w:hint="eastAsia"/>
          <w:lang w:eastAsia="zh-TW"/>
        </w:rPr>
        <w:t>normal</w:t>
      </w:r>
      <w:r w:rsidRPr="004B09A8">
        <w:rPr>
          <w:rFonts w:eastAsiaTheme="minorEastAsia"/>
          <w:lang w:eastAsia="zh-TW"/>
        </w:rPr>
        <w:t xml:space="preserve"> communication and many-to-one techniques under varying loads from multiple client nodes.</w:t>
      </w:r>
    </w:p>
    <w:p w14:paraId="5A263C6D" w14:textId="1162132B"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Number of Client Nodes: 10, 50, 100 (to test under different scales).</w:t>
      </w:r>
    </w:p>
    <w:p w14:paraId="362F269D"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Messages per Client: 100, 500, 1000 (to vary the load).</w:t>
      </w:r>
    </w:p>
    <w:p w14:paraId="49E930F9" w14:textId="77777777" w:rsidR="004B09A8" w:rsidRPr="00A85E02" w:rsidRDefault="004B09A8" w:rsidP="004B09A8">
      <w:pPr>
        <w:pStyle w:val="MDPI31text"/>
        <w:numPr>
          <w:ilvl w:val="0"/>
          <w:numId w:val="24"/>
        </w:numPr>
        <w:suppressAutoHyphens/>
        <w:spacing w:beforeLines="50" w:before="163" w:line="240" w:lineRule="auto"/>
        <w:rPr>
          <w:lang w:eastAsia="zh-TW"/>
        </w:rPr>
      </w:pPr>
      <w:r w:rsidRPr="004B09A8">
        <w:rPr>
          <w:lang w:eastAsia="zh-TW"/>
        </w:rPr>
        <w:lastRenderedPageBreak/>
        <w:t>Message Size: Fixed at 1 KB to maintain consistency in data size across tests.</w:t>
      </w:r>
    </w:p>
    <w:p w14:paraId="18CBDDD5" w14:textId="7CF16A88" w:rsidR="00A85E02" w:rsidRPr="00A85E02"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Service Efficiency: 100 messages per second.</w:t>
      </w:r>
    </w:p>
    <w:p w14:paraId="6E594FAF" w14:textId="447087F6"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Response Time: Time taken from sending a request to receiving a response.</w:t>
      </w:r>
    </w:p>
    <w:p w14:paraId="7CF9E7BB" w14:textId="429BD9E2" w:rsidR="00B31F27"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0C94A9EE" w:rsidR="002624EE" w:rsidRPr="000E5955" w:rsidRDefault="002624EE" w:rsidP="002624EE">
      <w:pPr>
        <w:pStyle w:val="MDPI41tablecaption"/>
        <w:suppressAutoHyphens/>
        <w:spacing w:line="240" w:lineRule="auto"/>
        <w:rPr>
          <w:b/>
        </w:rPr>
      </w:pPr>
      <w:r w:rsidRPr="00C023F9">
        <w:rPr>
          <w:b/>
        </w:rPr>
        <w:t>Table 1.</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(ms/message)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1E4E0C6C" w:rsidR="00B63B41" w:rsidRDefault="00B64F8F" w:rsidP="003C2713">
      <w:pPr>
        <w:pStyle w:val="MDPI31text"/>
        <w:numPr>
          <w:ilvl w:val="0"/>
          <w:numId w:val="26"/>
        </w:numPr>
        <w:suppressAutoHyphens/>
        <w:spacing w:beforeLines="50" w:before="163" w:line="240" w:lineRule="auto"/>
        <w:rPr>
          <w:lang w:eastAsia="zh-TW"/>
        </w:rPr>
      </w:pPr>
      <w:r w:rsidRPr="00B64F8F">
        <w:rPr>
          <w:lang w:eastAsia="zh-TW"/>
        </w:rPr>
        <w:t>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maintains stable, low response times by handling only the exact number of messages sent, reducing overhead and improving efficiency.</w:t>
      </w:r>
    </w:p>
    <w:p w14:paraId="72BAD9E6" w14:textId="328DB2DC" w:rsidR="00B63B41" w:rsidRPr="00B64F8F" w:rsidRDefault="00B64F8F" w:rsidP="00ED6994">
      <w:pPr>
        <w:pStyle w:val="MDPI31text"/>
        <w:numPr>
          <w:ilvl w:val="0"/>
          <w:numId w:val="26"/>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4B6162A1" w14:textId="35DFB22F" w:rsidR="00DF619D" w:rsidRPr="00C023F9" w:rsidRDefault="00B64F8F" w:rsidP="00B64F8F">
      <w:pPr>
        <w:pStyle w:val="MDPI31text"/>
        <w:suppressAutoHyphens/>
        <w:spacing w:beforeLines="50" w:before="163" w:line="240" w:lineRule="auto"/>
        <w:rPr>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3"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2E8E0C00" w14:textId="54E86DE6"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 xml:space="preserve">Objective: </w:t>
      </w:r>
      <w:r w:rsidR="000B704D">
        <w:t>To evaluate the efficiency and effectiveness of the LoadingCoordinator logistic model in managing a high volume of requests from a single client to multiple service agents in a One-to-Many communication model, focusing on optimizing response times and resource utilization.</w:t>
      </w:r>
    </w:p>
    <w:p w14:paraId="1A6F1912"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lastRenderedPageBreak/>
        <w:t>Parameters:</w:t>
      </w:r>
    </w:p>
    <w:p w14:paraId="6D84FBA6" w14:textId="015A4FD3" w:rsidR="000F0A9B" w:rsidRDefault="000F0A9B" w:rsidP="000F0A9B">
      <w:pPr>
        <w:pStyle w:val="MDPI31text"/>
        <w:numPr>
          <w:ilvl w:val="0"/>
          <w:numId w:val="27"/>
        </w:numPr>
        <w:suppressAutoHyphens/>
        <w:spacing w:beforeLines="50" w:before="163"/>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0F0A9B">
      <w:pPr>
        <w:pStyle w:val="MDPI31text"/>
        <w:numPr>
          <w:ilvl w:val="0"/>
          <w:numId w:val="27"/>
        </w:numPr>
        <w:suppressAutoHyphens/>
        <w:spacing w:beforeLines="50" w:before="163"/>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0F0A9B">
      <w:pPr>
        <w:pStyle w:val="MDPI31text"/>
        <w:numPr>
          <w:ilvl w:val="0"/>
          <w:numId w:val="27"/>
        </w:numPr>
        <w:suppressAutoHyphens/>
        <w:spacing w:beforeLines="50" w:before="163"/>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0F0A9B">
      <w:pPr>
        <w:pStyle w:val="MDPI31text"/>
        <w:numPr>
          <w:ilvl w:val="0"/>
          <w:numId w:val="27"/>
        </w:numPr>
        <w:suppressAutoHyphens/>
        <w:spacing w:beforeLines="50" w:before="163" w:line="240" w:lineRule="auto"/>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Response Time: Time taken from sending a request to receiving a response.</w:t>
      </w:r>
    </w:p>
    <w:p w14:paraId="4A00BEEE" w14:textId="6B272FC7" w:rsidR="00294FC9" w:rsidRPr="00A94068" w:rsidRDefault="00D5212F" w:rsidP="004358DE">
      <w:pPr>
        <w:pStyle w:val="MDPI31text"/>
        <w:numPr>
          <w:ilvl w:val="0"/>
          <w:numId w:val="28"/>
        </w:numPr>
        <w:suppressAutoHyphens/>
        <w:spacing w:beforeLines="50" w:before="163" w:line="240" w:lineRule="auto"/>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248663D2" w14:textId="0490CE7B" w:rsidR="00F90641" w:rsidRPr="000E5955" w:rsidRDefault="00F90641" w:rsidP="00F90641">
      <w:pPr>
        <w:pStyle w:val="MDPI41tablecaption"/>
        <w:suppressAutoHyphens/>
        <w:spacing w:line="240" w:lineRule="auto"/>
        <w:rPr>
          <w:b/>
        </w:rPr>
      </w:pPr>
      <w:r w:rsidRPr="00C023F9">
        <w:rPr>
          <w:b/>
        </w:rPr>
        <w:t xml:space="preserve">Table </w:t>
      </w:r>
      <w:r>
        <w:rPr>
          <w:rFonts w:eastAsiaTheme="minorEastAsia" w:hint="eastAsia"/>
          <w:b/>
          <w:lang w:eastAsia="zh-TW"/>
        </w:rPr>
        <w:t>2</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(ms)</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 xml:space="preserve">m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 xml:space="preserve">s </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3B346D2B" w14:textId="6C862BB9"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20320DA2" w:rsidR="00294FC9" w:rsidRDefault="008B3BA1" w:rsidP="0051592F">
      <w:pPr>
        <w:pStyle w:val="MDPI31text"/>
        <w:numPr>
          <w:ilvl w:val="0"/>
          <w:numId w:val="29"/>
        </w:numPr>
        <w:suppressAutoHyphens/>
        <w:spacing w:beforeLines="50" w:before="163" w:line="240" w:lineRule="auto"/>
        <w:rPr>
          <w:lang w:eastAsia="zh-TW"/>
        </w:rPr>
      </w:pPr>
      <w:r w:rsidRPr="008B3BA1">
        <w:rPr>
          <w:b/>
          <w:bCs/>
          <w:lang w:eastAsia="zh-TW"/>
        </w:rPr>
        <w:t>Total Processing Time</w:t>
      </w:r>
      <w:r w:rsidRPr="008B3BA1">
        <w:rPr>
          <w:lang w:eastAsia="zh-TW"/>
        </w:rPr>
        <w:t>: As the number of services increases from 1 to 50, the total processing time significantly decreases, highlighting improved parallel processing capabilities. Specifically, processing time drops from over 1 million milliseconds with a single service to approximately 34,554 milliseconds with 50 services. However, there is a noticeable increase in processing time when the number of services reaches 100, indicating potential overhead or resource contention issues.</w:t>
      </w:r>
    </w:p>
    <w:p w14:paraId="4EC9185D" w14:textId="0DDBCAEF" w:rsidR="00294FC9"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hint="eastAsia"/>
          <w:b/>
          <w:bCs/>
          <w:lang w:eastAsia="zh-TW"/>
        </w:rPr>
        <w:t>E</w:t>
      </w:r>
      <w:r w:rsidRPr="008B3BA1">
        <w:rPr>
          <w:b/>
          <w:bCs/>
          <w:lang w:eastAsia="zh-TW"/>
        </w:rPr>
        <w:t xml:space="preserve">fficiency per unit service: </w:t>
      </w:r>
      <w:r>
        <w:t>Efficiency seems to inversely correlate with the number of services. With only one service, efficiency is highest at 99</w:t>
      </w:r>
      <w:r>
        <w:rPr>
          <w:rFonts w:asciiTheme="minorEastAsia" w:eastAsiaTheme="minorEastAsia" w:hAnsiTheme="minorEastAsia" w:hint="eastAsia"/>
          <w:lang w:eastAsia="zh-TW"/>
        </w:rPr>
        <w:t>.12</w:t>
      </w:r>
      <w:r>
        <w:t>% but drops to 18</w:t>
      </w:r>
      <w:r>
        <w:rPr>
          <w:rFonts w:asciiTheme="minorEastAsia" w:eastAsiaTheme="minorEastAsia" w:hAnsiTheme="minorEastAsia" w:hint="eastAsia"/>
          <w:lang w:eastAsia="zh-TW"/>
        </w:rPr>
        <w:t>.47</w:t>
      </w:r>
      <w:r>
        <w:t xml:space="preserve">% when the number of services is increased to 100. This suggests </w:t>
      </w:r>
      <w:r>
        <w:lastRenderedPageBreak/>
        <w:t>diminishing returns on efficiency as more services are added, possibly due to increased complexity and coordination overhead.</w:t>
      </w:r>
    </w:p>
    <w:p w14:paraId="13E33AA3" w14:textId="1A7F645F" w:rsidR="008B3BA1" w:rsidRPr="00B64F8F"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eastAsiaTheme="minorEastAsia"/>
          <w:b/>
          <w:bCs/>
          <w:lang w:eastAsia="zh-TW"/>
        </w:rPr>
        <w:t>Increased CPU and Memory Usage</w:t>
      </w:r>
      <w:r w:rsidRPr="008B3BA1">
        <w:rPr>
          <w:rFonts w:eastAsiaTheme="minorEastAsia"/>
          <w:lang w:eastAsia="zh-TW"/>
        </w:rPr>
        <w:t>: As the number of services increases from 1 to 100, CPU usage rises from 0.83% to 14.20%, and memory usage grows from 0.209 GB to 2.313 GB. This indicates higher resource demands due to the complexity of managing multiple services concurrently.</w:t>
      </w:r>
    </w:p>
    <w:p w14:paraId="74D50A85" w14:textId="52E2F095" w:rsidR="00351D45" w:rsidRPr="00294FC9" w:rsidRDefault="00CF3B6A" w:rsidP="0051592F">
      <w:pPr>
        <w:pStyle w:val="MDPI31text"/>
        <w:suppressAutoHyphens/>
        <w:spacing w:beforeLines="50" w:before="163" w:line="240" w:lineRule="auto"/>
        <w:rPr>
          <w:rFonts w:eastAsiaTheme="minorEastAsia"/>
          <w:lang w:eastAsia="zh-TW"/>
        </w:rPr>
      </w:pPr>
      <w:r>
        <w:t>In conclusion, while increasing the number of services improves the total processing time up to a certain point, it also leads to higher CPU and memory usage, and decreased efficiency. The results suggest an optimal point between resource usage and performance gains, which needs careful consideration when designing systems with one-to-many communication models.</w:t>
      </w:r>
    </w:p>
    <w:bookmarkEnd w:id="13"/>
    <w:p w14:paraId="6A9BB524" w14:textId="5A3133A7" w:rsidR="008E5E12" w:rsidRDefault="00107D4E" w:rsidP="008E5E12">
      <w:pPr>
        <w:pStyle w:val="MDPI21heading1"/>
        <w:suppressAutoHyphens/>
        <w:spacing w:line="240" w:lineRule="auto"/>
        <w:rPr>
          <w:lang w:eastAsia="zh-TW"/>
        </w:rPr>
      </w:pPr>
      <w:r w:rsidRPr="00C023F9">
        <w:t>5. Conclusions</w:t>
      </w:r>
    </w:p>
    <w:p w14:paraId="3F646753" w14:textId="05BA6A26" w:rsidR="00326AEC" w:rsidRDefault="00326AEC" w:rsidP="00326AEC">
      <w:pPr>
        <w:pStyle w:val="MDPI31text"/>
        <w:suppressAutoHyphens/>
        <w:spacing w:beforeLines="50" w:before="163"/>
      </w:pPr>
      <w:r w:rsidRPr="001F7F5A">
        <w:rPr>
          <w:lang w:eastAsia="zh-TW"/>
        </w:rPr>
        <w:t>This research has thoroughly explored the integration of Multi-Agent Systems with Microservices and Distributed Ledger Technology to enhance distributed computing environments.</w:t>
      </w:r>
      <w:r>
        <w:t xml:space="preserve"> We developed a practical framework that significantly enhances the scalability, robustness, and efficiency of systems through strategic deployment of these technologies. The framework features a holonic agent organization with a publish-subscribe communication model, facilitating flexible and dynamic system design for managing complex agent interactions.</w:t>
      </w:r>
    </w:p>
    <w:p w14:paraId="6FE50ACD" w14:textId="2C4AF150" w:rsidR="00326AEC" w:rsidRPr="00326AEC" w:rsidRDefault="00326AEC" w:rsidP="00326AEC">
      <w:pPr>
        <w:pStyle w:val="MDPI31text"/>
        <w:suppressAutoHyphens/>
        <w:spacing w:beforeLines="50" w:before="163"/>
        <w:rPr>
          <w:rFonts w:eastAsiaTheme="minorEastAsia" w:hint="eastAsia"/>
          <w:lang w:eastAsia="zh-TW"/>
        </w:rPr>
      </w:pPr>
      <w:r>
        <w:t xml:space="preserve">Microservices, realized through MAS, play a crucial role in minimizing message overhead and enhancing load balancing by decomposing complex systems into smaller, autonomous services. This modular strategy facilitates system management, improves resource efficiency, and supports dynamic scaling under fluctuating loads. The implementation of </w:t>
      </w:r>
      <w:r>
        <w:rPr>
          <w:rFonts w:eastAsiaTheme="minorEastAsia" w:hint="eastAsia"/>
          <w:lang w:eastAsia="zh-TW"/>
        </w:rPr>
        <w:t>load balancing</w:t>
      </w:r>
      <w:r>
        <w:t xml:space="preserve"> further strengthens this framework by enabling decentralized consensus and interactions between autonomous agents. This not only boosts system resilience and privacy but also mitigates risks associated with centralized control</w:t>
      </w:r>
      <w:r>
        <w:rPr>
          <w:rFonts w:eastAsiaTheme="minorEastAsia" w:hint="eastAsia"/>
          <w:lang w:eastAsia="zh-TW"/>
        </w:rPr>
        <w:t>.</w:t>
      </w:r>
    </w:p>
    <w:p w14:paraId="26ACE4A6" w14:textId="36E11AD9" w:rsidR="001F7F5A" w:rsidRPr="00716FC2" w:rsidRDefault="00326AEC" w:rsidP="00326AEC">
      <w:pPr>
        <w:pStyle w:val="MDPI31text"/>
        <w:suppressAutoHyphens/>
        <w:spacing w:beforeLines="50" w:before="163" w:line="240" w:lineRule="auto"/>
      </w:pPr>
      <w:r>
        <w:t>Experimental results show our framework effectively addresses MAS challenges, particularly in communication efficiency and system responsiveness. Future research will aim to refine these integrations for scaling and evolving systems, with a focus on AI-driven decision-making, fault tolerance, and new consensus algorithms. Implementing our framework in various industries could reveal additional refinements and challenges, guiding future research.</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8"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lastRenderedPageBreak/>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9"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30"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1"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2"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3"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4"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5"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6"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7"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8"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9"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0"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1"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2"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3"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4"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5"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6"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47"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lastRenderedPageBreak/>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8"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9"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0"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14" w:name="OLE_LINK6"/>
      <w:r w:rsidRPr="00C023F9">
        <w:t>pp</w:t>
      </w:r>
      <w:bookmarkEnd w:id="14"/>
      <w:r w:rsidRPr="00C023F9">
        <w:t xml:space="preserve">. 130-141. </w:t>
      </w:r>
      <w:hyperlink r:id="rId51"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2"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3"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4"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5"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56"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15" w:name="OLE_LINK40"/>
      <w:r w:rsidRPr="00EF23A1">
        <w:rPr>
          <w:rFonts w:ascii="Times New Roman" w:hAnsi="Times New Roman" w:cs="Times New Roman"/>
          <w:i/>
        </w:rPr>
        <w:t xml:space="preserve">biological </w:t>
      </w:r>
      <w:bookmarkEnd w:id="15"/>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16"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17" w:name="OLE_LINK42"/>
      <w:bookmarkEnd w:id="16"/>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18" w:name="OLE_LINK46"/>
    </w:p>
    <w:bookmarkEnd w:id="18"/>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19" w:name="OLE_LINK47"/>
      <w:bookmarkEnd w:id="17"/>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20" w:name="OLE_LINK48"/>
      <w:bookmarkEnd w:id="19"/>
      <w:r w:rsidRPr="00A275FE">
        <w:rPr>
          <w:rFonts w:ascii="Times New Roman" w:hAnsi="Times New Roman" w:cs="Times New Roman"/>
          <w:b/>
          <w:bCs/>
        </w:rPr>
        <w:t>Code availability</w:t>
      </w:r>
      <w:bookmarkEnd w:id="20"/>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21" w:name="OLE_LINK51"/>
      <w:bookmarkStart w:id="22" w:name="OLE_LINK50"/>
      <w:r w:rsidRPr="00A275FE">
        <w:rPr>
          <w:rFonts w:ascii="Times New Roman" w:hAnsi="Times New Roman" w:cs="Times New Roman"/>
          <w:b/>
          <w:bCs/>
        </w:rPr>
        <w:t>Authors' contributions</w:t>
      </w:r>
      <w:bookmarkEnd w:id="21"/>
    </w:p>
    <w:p w14:paraId="731E8BA0" w14:textId="77777777" w:rsidR="009B08C9" w:rsidRPr="00EF23A1" w:rsidRDefault="009B08C9" w:rsidP="009B08C9">
      <w:pPr>
        <w:pStyle w:val="aff"/>
        <w:ind w:left="720"/>
        <w:rPr>
          <w:rFonts w:ascii="Times New Roman" w:hAnsi="Times New Roman" w:cs="Times New Roman"/>
        </w:rPr>
      </w:pPr>
      <w:bookmarkStart w:id="23" w:name="OLE_LINK56"/>
      <w:bookmarkStart w:id="24" w:name="OLE_LINK52"/>
      <w:r w:rsidRPr="00EF23A1">
        <w:rPr>
          <w:rFonts w:ascii="Times New Roman" w:hAnsi="Times New Roman" w:cs="Times New Roman"/>
        </w:rPr>
        <w:t>Ching Han Chen</w:t>
      </w:r>
      <w:bookmarkEnd w:id="23"/>
      <w:r w:rsidRPr="00EF23A1">
        <w:rPr>
          <w:rFonts w:ascii="Times New Roman" w:hAnsi="Times New Roman" w:cs="Times New Roman"/>
        </w:rPr>
        <w:t xml:space="preserve"> and </w:t>
      </w:r>
      <w:bookmarkStart w:id="25" w:name="OLE_LINK55"/>
      <w:r w:rsidRPr="00EF23A1">
        <w:rPr>
          <w:rFonts w:ascii="Times New Roman" w:hAnsi="Times New Roman" w:cs="Times New Roman"/>
        </w:rPr>
        <w:t>Ming Fang Shiu</w:t>
      </w:r>
      <w:bookmarkEnd w:id="25"/>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26" w:name="OLE_LINK59"/>
      <w:bookmarkEnd w:id="22"/>
      <w:bookmarkEnd w:id="24"/>
      <w:r w:rsidRPr="00B9144A">
        <w:rPr>
          <w:rFonts w:ascii="Times New Roman" w:hAnsi="Times New Roman" w:cs="Times New Roman"/>
          <w:b/>
        </w:rPr>
        <w:lastRenderedPageBreak/>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26"/>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F6DE2">
      <w:headerReference w:type="even" r:id="rId57"/>
      <w:headerReference w:type="default" r:id="rId58"/>
      <w:headerReference w:type="first" r:id="rId59"/>
      <w:footerReference w:type="first" r:id="rId6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EE326" w14:textId="77777777" w:rsidR="00DD370F" w:rsidRDefault="00DD370F">
      <w:r>
        <w:separator/>
      </w:r>
    </w:p>
  </w:endnote>
  <w:endnote w:type="continuationSeparator" w:id="0">
    <w:p w14:paraId="08C24F23" w14:textId="77777777" w:rsidR="00DD370F" w:rsidRDefault="00DD3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E2219" w14:textId="77777777" w:rsidR="00DD370F" w:rsidRDefault="00DD370F">
      <w:r>
        <w:separator/>
      </w:r>
    </w:p>
  </w:footnote>
  <w:footnote w:type="continuationSeparator" w:id="0">
    <w:p w14:paraId="198BA980" w14:textId="77777777" w:rsidR="00DD370F" w:rsidRDefault="00DD3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27" w:name="OLE_LINK10"/>
    <w:r>
      <w:rPr>
        <w:sz w:val="16"/>
      </w:rPr>
      <w:t>FOR PEER REVIEW</w:t>
    </w:r>
    <w:bookmarkEnd w:id="27"/>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oNotDisplayPageBoundarie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4341"/>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E1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13B4"/>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1DCF"/>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2384"/>
    <w:rsid w:val="002E508C"/>
    <w:rsid w:val="002E5D98"/>
    <w:rsid w:val="002E65CA"/>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AEC"/>
    <w:rsid w:val="00326E88"/>
    <w:rsid w:val="0033024C"/>
    <w:rsid w:val="00330390"/>
    <w:rsid w:val="00331886"/>
    <w:rsid w:val="00331A80"/>
    <w:rsid w:val="003350E5"/>
    <w:rsid w:val="00335B99"/>
    <w:rsid w:val="00337DFD"/>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36C59"/>
    <w:rsid w:val="006409B9"/>
    <w:rsid w:val="00642A56"/>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6FC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390C"/>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07D0"/>
    <w:rsid w:val="00883656"/>
    <w:rsid w:val="00883C6B"/>
    <w:rsid w:val="0088606E"/>
    <w:rsid w:val="00887037"/>
    <w:rsid w:val="00887422"/>
    <w:rsid w:val="00891907"/>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1EB4"/>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6513"/>
    <w:rsid w:val="00A36D43"/>
    <w:rsid w:val="00A3748F"/>
    <w:rsid w:val="00A37BDF"/>
    <w:rsid w:val="00A40DC0"/>
    <w:rsid w:val="00A426CF"/>
    <w:rsid w:val="00A43821"/>
    <w:rsid w:val="00A44A99"/>
    <w:rsid w:val="00A46E6F"/>
    <w:rsid w:val="00A477F6"/>
    <w:rsid w:val="00A47C44"/>
    <w:rsid w:val="00A519BB"/>
    <w:rsid w:val="00A5218B"/>
    <w:rsid w:val="00A53FB2"/>
    <w:rsid w:val="00A54211"/>
    <w:rsid w:val="00A54B73"/>
    <w:rsid w:val="00A5538C"/>
    <w:rsid w:val="00A5737A"/>
    <w:rsid w:val="00A5768F"/>
    <w:rsid w:val="00A60E08"/>
    <w:rsid w:val="00A61C39"/>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00C9"/>
    <w:rsid w:val="00B046CE"/>
    <w:rsid w:val="00B05CAF"/>
    <w:rsid w:val="00B06459"/>
    <w:rsid w:val="00B07D56"/>
    <w:rsid w:val="00B1185C"/>
    <w:rsid w:val="00B126FF"/>
    <w:rsid w:val="00B134A0"/>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27CD"/>
    <w:rsid w:val="00CE292C"/>
    <w:rsid w:val="00CE3FDE"/>
    <w:rsid w:val="00CE42CE"/>
    <w:rsid w:val="00CE5148"/>
    <w:rsid w:val="00CE671C"/>
    <w:rsid w:val="00CF0F30"/>
    <w:rsid w:val="00CF107F"/>
    <w:rsid w:val="00CF3B6A"/>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06"/>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0849"/>
    <w:rsid w:val="00DD17AA"/>
    <w:rsid w:val="00DD31D7"/>
    <w:rsid w:val="00DD370F"/>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3BF"/>
    <w:rsid w:val="00F7799C"/>
    <w:rsid w:val="00F824E6"/>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593">
      <w:bodyDiv w:val="1"/>
      <w:marLeft w:val="0"/>
      <w:marRight w:val="0"/>
      <w:marTop w:val="0"/>
      <w:marBottom w:val="0"/>
      <w:divBdr>
        <w:top w:val="none" w:sz="0" w:space="0" w:color="auto"/>
        <w:left w:val="none" w:sz="0" w:space="0" w:color="auto"/>
        <w:bottom w:val="none" w:sz="0" w:space="0" w:color="auto"/>
        <w:right w:val="none" w:sz="0" w:space="0" w:color="auto"/>
      </w:divBdr>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109/ROBOT.1997.620108" TargetMode="External"/><Relationship Id="rId21" Type="http://schemas.openxmlformats.org/officeDocument/2006/relationships/image" Target="media/image11.png"/><Relationship Id="rId34" Type="http://schemas.openxmlformats.org/officeDocument/2006/relationships/hyperlink" Target="https://doi.org/10.1016/j.trc.2008.04.003" TargetMode="External"/><Relationship Id="rId42" Type="http://schemas.openxmlformats.org/officeDocument/2006/relationships/hyperlink" Target="https://doi.org/10.1007/978-3-642-17348-6_11" TargetMode="External"/><Relationship Id="rId47" Type="http://schemas.openxmlformats.org/officeDocument/2006/relationships/hyperlink" Target="https://doi.org/10.1007/978-3-642-16256-5_11" TargetMode="External"/><Relationship Id="rId50" Type="http://schemas.openxmlformats.org/officeDocument/2006/relationships/hyperlink" Target="https://doi.org/10.1007/s40747-020-00147-2" TargetMode="External"/><Relationship Id="rId55" Type="http://schemas.openxmlformats.org/officeDocument/2006/relationships/hyperlink" Target="https://doi.org/10.1007/s13218-014-0314-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07/s40747-015-0003-3"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17/S0269888900000205" TargetMode="External"/><Relationship Id="rId37" Type="http://schemas.openxmlformats.org/officeDocument/2006/relationships/hyperlink" Target="https://doi.org/10.48550/arXiv.2109.12386" TargetMode="External"/><Relationship Id="rId40" Type="http://schemas.openxmlformats.org/officeDocument/2006/relationships/hyperlink" Target="https://doi.org/10.1109/COMSWA.2008.4554519" TargetMode="External"/><Relationship Id="rId45" Type="http://schemas.openxmlformats.org/officeDocument/2006/relationships/hyperlink" Target="https://doi.org/10.5815/ijcnis.2014.10.02" TargetMode="External"/><Relationship Id="rId53" Type="http://schemas.openxmlformats.org/officeDocument/2006/relationships/hyperlink" Target="https://doi.org/10.1007/978-81-322-3972-7_19"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16/j.simpat.2008.08.015" TargetMode="External"/><Relationship Id="rId30" Type="http://schemas.openxmlformats.org/officeDocument/2006/relationships/hyperlink" Target="https://doi.org/10.1371/journal.pcbi.1004829" TargetMode="External"/><Relationship Id="rId35" Type="http://schemas.openxmlformats.org/officeDocument/2006/relationships/hyperlink" Target="https://doi.org/10.1109/IECON.2010.5675295" TargetMode="External"/><Relationship Id="rId43" Type="http://schemas.openxmlformats.org/officeDocument/2006/relationships/hyperlink" Target="https://doi.org/10.1007/11537847_20" TargetMode="External"/><Relationship Id="rId48" Type="http://schemas.openxmlformats.org/officeDocument/2006/relationships/hyperlink" Target="https://doi.org/10.3390/app11136057" TargetMode="External"/><Relationship Id="rId56" Type="http://schemas.openxmlformats.org/officeDocument/2006/relationships/hyperlink" Target="https://doi.org/10.48550/arXiv.1709.08439" TargetMode="External"/><Relationship Id="rId8" Type="http://schemas.openxmlformats.org/officeDocument/2006/relationships/hyperlink" Target="mailto:pierre@g.ncu.edu.tw" TargetMode="External"/><Relationship Id="rId51" Type="http://schemas.openxmlformats.org/officeDocument/2006/relationships/hyperlink" Target="https://doi.org/10.1145/2611286.261130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1109/CEC.2007.4424683" TargetMode="External"/><Relationship Id="rId38" Type="http://schemas.openxmlformats.org/officeDocument/2006/relationships/hyperlink" Target="https://doi.org/10.1007/s10845-019-01478-9" TargetMode="External"/><Relationship Id="rId46" Type="http://schemas.openxmlformats.org/officeDocument/2006/relationships/hyperlink" Target="https://doi.org/10.1109/ICDCSW.2003.1203555" TargetMode="External"/><Relationship Id="rId59"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1145/2637365.2517216" TargetMode="External"/><Relationship Id="rId54" Type="http://schemas.openxmlformats.org/officeDocument/2006/relationships/hyperlink" Target="https://doi.org/10.1007/s40747-021-0035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1016/j.micpro.2022.104507" TargetMode="External"/><Relationship Id="rId36" Type="http://schemas.openxmlformats.org/officeDocument/2006/relationships/hyperlink" Target="https://doi.org/10.1109/PSCE.2009.4840087" TargetMode="External"/><Relationship Id="rId49" Type="http://schemas.openxmlformats.org/officeDocument/2006/relationships/hyperlink" Target="https://doi.org/10.3390/app112110026" TargetMode="External"/><Relationship Id="rId57" Type="http://schemas.openxmlformats.org/officeDocument/2006/relationships/header" Target="header1.xml"/><Relationship Id="rId10" Type="http://schemas.openxmlformats.org/officeDocument/2006/relationships/hyperlink" Target="mailto:108582003@cc.ncu.edu.tw" TargetMode="External"/><Relationship Id="rId31" Type="http://schemas.openxmlformats.org/officeDocument/2006/relationships/hyperlink" Target="https://doi.org/10.1287/mnsc.44.11.S65" TargetMode="External"/><Relationship Id="rId44" Type="http://schemas.openxmlformats.org/officeDocument/2006/relationships/hyperlink" Target="https://doi.org/10.1007/11537847_21" TargetMode="External"/><Relationship Id="rId52" Type="http://schemas.openxmlformats.org/officeDocument/2006/relationships/hyperlink" Target="https://doi.org/10.1007/978-3-540-25928-2_6"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6422</Words>
  <Characters>36607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3</cp:revision>
  <cp:lastPrinted>2022-09-05T16:55:00Z</cp:lastPrinted>
  <dcterms:created xsi:type="dcterms:W3CDTF">2024-06-05T17:52:00Z</dcterms:created>
  <dcterms:modified xsi:type="dcterms:W3CDTF">2024-06-05T18:03:00Z</dcterms:modified>
</cp:coreProperties>
</file>