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0730AA60"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w:t>
      </w:r>
      <w:r w:rsidR="004603CB">
        <w:rPr>
          <w:rFonts w:eastAsiaTheme="minorEastAsia" w:hint="eastAsia"/>
          <w:szCs w:val="20"/>
          <w:lang w:eastAsia="zh-TW"/>
        </w:rPr>
        <w:t xml:space="preserve"> [1]</w:t>
      </w:r>
      <w:r w:rsidRPr="00363972">
        <w:rPr>
          <w:rFonts w:eastAsiaTheme="minorEastAsia"/>
          <w:szCs w:val="20"/>
          <w:lang w:eastAsia="zh-TW"/>
        </w:rPr>
        <w:t>, which leverages autonomous agents that are loosely coupled to achieve common goals</w:t>
      </w:r>
      <w:r w:rsidR="004603CB">
        <w:rPr>
          <w:rFonts w:eastAsiaTheme="minorEastAsia" w:hint="eastAsia"/>
          <w:szCs w:val="20"/>
          <w:lang w:eastAsia="zh-TW"/>
        </w:rPr>
        <w:t xml:space="preserve"> [2]</w:t>
      </w:r>
      <w:r w:rsidRPr="00363972">
        <w:rPr>
          <w:rFonts w:eastAsiaTheme="minorEastAsia"/>
          <w:szCs w:val="20"/>
          <w:lang w:eastAsia="zh-TW"/>
        </w:rPr>
        <w:t>.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36514D9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w:t>
      </w:r>
      <w:r w:rsidR="004603CB">
        <w:rPr>
          <w:rFonts w:eastAsiaTheme="minorEastAsia" w:hint="eastAsia"/>
          <w:szCs w:val="20"/>
          <w:lang w:eastAsia="zh-TW"/>
        </w:rPr>
        <w:t xml:space="preserve"> [3]</w:t>
      </w:r>
      <w:r w:rsidRPr="00363972">
        <w:rPr>
          <w:rFonts w:eastAsiaTheme="minorEastAsia"/>
          <w:szCs w:val="20"/>
          <w:lang w:eastAsia="zh-TW"/>
        </w:rPr>
        <w:t>. Within the realm of agent organization architecture, a holonic agent organization, characterized by its recursive structure</w:t>
      </w:r>
      <w:r w:rsidR="004603CB">
        <w:rPr>
          <w:rFonts w:eastAsiaTheme="minorEastAsia" w:hint="eastAsia"/>
          <w:szCs w:val="20"/>
          <w:lang w:eastAsia="zh-TW"/>
        </w:rPr>
        <w:t xml:space="preserve"> [4]</w:t>
      </w:r>
      <w:r w:rsidRPr="00363972">
        <w:rPr>
          <w:rFonts w:eastAsiaTheme="minorEastAsia"/>
          <w:szCs w:val="20"/>
          <w:lang w:eastAsia="zh-TW"/>
        </w:rPr>
        <w:t>, facilitates the modeling of complex systems with ease</w:t>
      </w:r>
      <w:r w:rsidR="004603CB">
        <w:rPr>
          <w:rFonts w:eastAsiaTheme="minorEastAsia" w:hint="eastAsia"/>
          <w:szCs w:val="20"/>
          <w:lang w:eastAsia="zh-TW"/>
        </w:rPr>
        <w:t xml:space="preserve"> [5]</w:t>
      </w:r>
      <w:r w:rsidRPr="00363972">
        <w:rPr>
          <w:rFonts w:eastAsiaTheme="minorEastAsia"/>
          <w:szCs w:val="20"/>
          <w:lang w:eastAsia="zh-TW"/>
        </w:rPr>
        <w:t>. While the publish-subscribe architecture enhances MAS's flexibility, it also introduces significant challenges, especially regarding message overhead and load balancing</w:t>
      </w:r>
      <w:r w:rsidR="00267B20">
        <w:rPr>
          <w:rFonts w:eastAsiaTheme="minorEastAsia" w:hint="eastAsia"/>
          <w:szCs w:val="20"/>
          <w:lang w:eastAsia="zh-TW"/>
        </w:rPr>
        <w:t xml:space="preserve"> [6]</w:t>
      </w:r>
      <w:r w:rsidRPr="00363972">
        <w:rPr>
          <w:rFonts w:eastAsiaTheme="minorEastAsia"/>
          <w:szCs w:val="20"/>
          <w:lang w:eastAsia="zh-TW"/>
        </w:rPr>
        <w:t>. To ensure system reliability, these challenges necessitate a sophisticated design strategy, possibly incorporating message compression, Quality of Service (QoS) adjustments, and consensus algorithms</w:t>
      </w:r>
      <w:r w:rsidR="005C0A7E">
        <w:rPr>
          <w:rFonts w:eastAsiaTheme="minorEastAsia" w:hint="eastAsia"/>
          <w:szCs w:val="20"/>
          <w:lang w:eastAsia="zh-TW"/>
        </w:rPr>
        <w:t xml:space="preserve"> [7, 8]</w:t>
      </w:r>
      <w:r w:rsidRPr="00363972">
        <w:rPr>
          <w:rFonts w:eastAsiaTheme="minorEastAsia"/>
          <w:szCs w:val="20"/>
          <w:lang w:eastAsia="zh-TW"/>
        </w:rPr>
        <w:t>.</w:t>
      </w:r>
    </w:p>
    <w:p w14:paraId="7A973909" w14:textId="2B835EE0"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This often results in server agents broadcasting responses using a common topic, forcing client agents to sift through messages irrelevant to their needs, thereby generating unnecessary message traffic</w:t>
      </w:r>
      <w:r w:rsidR="00A5576F">
        <w:rPr>
          <w:rFonts w:eastAsiaTheme="minorEastAsia" w:hint="eastAsia"/>
          <w:szCs w:val="20"/>
          <w:lang w:eastAsia="zh-TW"/>
        </w:rPr>
        <w:t xml:space="preserve"> [9]</w:t>
      </w:r>
      <w:r w:rsidRPr="00363972">
        <w:rPr>
          <w:rFonts w:eastAsiaTheme="minorEastAsia"/>
          <w:szCs w:val="20"/>
          <w:lang w:eastAsia="zh-TW"/>
        </w:rPr>
        <w:t xml:space="preserve">.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r w:rsidR="009D7EB9">
        <w:rPr>
          <w:rFonts w:eastAsiaTheme="minorEastAsia" w:hint="eastAsia"/>
          <w:szCs w:val="20"/>
          <w:lang w:eastAsia="zh-TW"/>
        </w:rPr>
        <w:t xml:space="preserve"> [10, 11]</w:t>
      </w:r>
      <w:r w:rsidRPr="00363972">
        <w:rPr>
          <w:rFonts w:eastAsiaTheme="minorEastAsia"/>
          <w:szCs w:val="20"/>
          <w:lang w:eastAsia="zh-TW"/>
        </w:rPr>
        <w:t>.</w:t>
      </w:r>
    </w:p>
    <w:p w14:paraId="7F33747E" w14:textId="2F967784"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w:t>
      </w:r>
      <w:r w:rsidR="00B83516">
        <w:rPr>
          <w:rFonts w:eastAsiaTheme="minorEastAsia" w:hint="eastAsia"/>
          <w:szCs w:val="20"/>
          <w:lang w:eastAsia="zh-TW"/>
        </w:rPr>
        <w:t xml:space="preserve"> [12]</w:t>
      </w:r>
      <w:r w:rsidRPr="00363972">
        <w:rPr>
          <w:rFonts w:eastAsiaTheme="minorEastAsia"/>
          <w:szCs w:val="20"/>
          <w:lang w:eastAsia="zh-TW"/>
        </w:rPr>
        <w:t>.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w:t>
      </w:r>
      <w:r w:rsidR="002E69C9">
        <w:rPr>
          <w:rFonts w:eastAsiaTheme="minorEastAsia" w:hint="eastAsia"/>
          <w:szCs w:val="20"/>
          <w:lang w:eastAsia="zh-TW"/>
        </w:rPr>
        <w:t xml:space="preserve"> [13]</w:t>
      </w:r>
      <w:r w:rsidRPr="00363972">
        <w:rPr>
          <w:rFonts w:eastAsiaTheme="minorEastAsia"/>
          <w:szCs w:val="20"/>
          <w:lang w:eastAsia="zh-TW"/>
        </w:rPr>
        <w:t>. This architecture inherently addresses MAS's design challenges, presenting solutions to its fundamental issues.</w:t>
      </w:r>
    </w:p>
    <w:p w14:paraId="16A4D743" w14:textId="0A27FFB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w:t>
      </w:r>
      <w:r w:rsidR="002E69C9">
        <w:rPr>
          <w:rFonts w:eastAsiaTheme="minorEastAsia" w:hint="eastAsia"/>
          <w:szCs w:val="20"/>
          <w:lang w:eastAsia="zh-TW"/>
        </w:rPr>
        <w:t xml:space="preserve"> [14]</w:t>
      </w:r>
      <w:r w:rsidRPr="00363972">
        <w:rPr>
          <w:rFonts w:eastAsiaTheme="minorEastAsia"/>
          <w:szCs w:val="20"/>
          <w:lang w:eastAsia="zh-TW"/>
        </w:rPr>
        <w:t>,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w:t>
      </w:r>
      <w:r w:rsidR="003F73BF">
        <w:rPr>
          <w:rFonts w:eastAsiaTheme="minorEastAsia" w:hint="eastAsia"/>
          <w:szCs w:val="20"/>
          <w:lang w:eastAsia="zh-TW"/>
        </w:rPr>
        <w:t xml:space="preserve"> [15]</w:t>
      </w:r>
      <w:r w:rsidRPr="00363972">
        <w:rPr>
          <w:rFonts w:eastAsiaTheme="minorEastAsia"/>
          <w:szCs w:val="20"/>
          <w:lang w:eastAsia="zh-TW"/>
        </w:rPr>
        <w:t>.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4CACA39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w:t>
      </w:r>
      <w:r w:rsidR="00CE1D21">
        <w:rPr>
          <w:rFonts w:eastAsiaTheme="minorEastAsia" w:hint="eastAsia"/>
          <w:szCs w:val="20"/>
          <w:lang w:eastAsia="zh-TW"/>
        </w:rPr>
        <w:t>h</w:t>
      </w:r>
      <w:r w:rsidRPr="00363972">
        <w:rPr>
          <w:rFonts w:eastAsiaTheme="minorEastAsia"/>
          <w:szCs w:val="20"/>
          <w:lang w:eastAsia="zh-TW"/>
        </w:rPr>
        <w:t xml:space="preserve">olonic </w:t>
      </w:r>
      <w:r w:rsidR="00CE1D21">
        <w:rPr>
          <w:rFonts w:eastAsiaTheme="minorEastAsia" w:hint="eastAsia"/>
          <w:szCs w:val="20"/>
          <w:lang w:eastAsia="zh-TW"/>
        </w:rPr>
        <w:t>a</w:t>
      </w:r>
      <w:r w:rsidRPr="00363972">
        <w:rPr>
          <w:rFonts w:eastAsiaTheme="minorEastAsia"/>
          <w:szCs w:val="20"/>
          <w:lang w:eastAsia="zh-TW"/>
        </w:rPr>
        <w:t xml:space="preserve">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52D168DE" w:rsidR="00502DC7" w:rsidRDefault="00052599" w:rsidP="00D32E20">
      <w:pPr>
        <w:pStyle w:val="MDPI31text"/>
        <w:suppressAutoHyphens/>
        <w:spacing w:line="240" w:lineRule="auto"/>
        <w:rPr>
          <w:lang w:eastAsia="zh-TW"/>
        </w:rPr>
      </w:pPr>
      <w:r w:rsidRPr="00052599">
        <w:rPr>
          <w:lang w:eastAsia="zh-TW"/>
        </w:rPr>
        <w:t>Multi-Agent Systems</w:t>
      </w:r>
      <w:r>
        <w:rPr>
          <w:rFonts w:eastAsiaTheme="minorEastAsia" w:hint="eastAsia"/>
          <w:lang w:eastAsia="zh-TW"/>
        </w:rPr>
        <w:t xml:space="preserve"> </w:t>
      </w:r>
      <w:r w:rsidRPr="00052599">
        <w:rPr>
          <w:lang w:eastAsia="zh-TW"/>
        </w:rPr>
        <w:t>are effective in addressing particular issues that involve computational units [16-18]. Within a MAS, each unit is designated as an agent. This system is characterized by a collection of agents forming a network, where these agents interact and pool resources to tackle complex challenges that are too extensive for an individual agent to handle alone. MASs exhibit a variety of organizational frameworks [2], among which holonic MAS are particularly advantageous for constructing intricate AI systems [19].</w:t>
      </w:r>
    </w:p>
    <w:p w14:paraId="5D876D4C" w14:textId="7AE3B16A" w:rsidR="00B61452" w:rsidRPr="00C023F9" w:rsidRDefault="00052599" w:rsidP="00D32E20">
      <w:pPr>
        <w:pStyle w:val="MDPI31text"/>
        <w:suppressAutoHyphens/>
        <w:spacing w:line="240" w:lineRule="auto"/>
        <w:rPr>
          <w:lang w:eastAsia="zh-TW"/>
        </w:rPr>
      </w:pPr>
      <w:r w:rsidRPr="00052599">
        <w:rPr>
          <w:lang w:eastAsia="zh-TW"/>
        </w:rPr>
        <w:t>A holon represents a stable and cohesive entity that integrates various sub-holons within a broader system. Originally introduced to describe the social dynamics of biological species [20], the concept of a holon, with its hierarchical organization and interactive capabilities, has since been applied to simulate behaviors in extensive organizational structures within the manufacturing and business industries [21-23]. Within a Multi-Agent System, what appears as a singular agent might actually consist of multiple subagents.</w:t>
      </w:r>
    </w:p>
    <w:p w14:paraId="7DA2F312" w14:textId="46E45CB3" w:rsidR="008441DE" w:rsidRPr="00C023F9" w:rsidRDefault="00052599" w:rsidP="00D32E20">
      <w:pPr>
        <w:pStyle w:val="MDPI31text"/>
        <w:suppressAutoHyphens/>
        <w:spacing w:line="240" w:lineRule="auto"/>
        <w:rPr>
          <w:lang w:eastAsia="zh-TW"/>
        </w:rPr>
      </w:pPr>
      <w:r w:rsidRPr="00052599">
        <w:rPr>
          <w:lang w:eastAsia="zh-TW"/>
        </w:rPr>
        <w:t>Each holon is managed by a head agent capable of interacting with its environment or other agents, possessing various resources and communication skills. In homogeneous MASs, choosing these head agents might be arbitrary, exemplified by the rotating leadership observed in distributed wireless sensor networks (WSNs) [24]. Conversely, in a heterogeneous setup, the selection is influenced by the distinct capabilities of the agents. Depending on specific needs, some holons may merge to create superholons. For instance, Figure 1 shows a superholon formed from three separate holons. Within this structure, agents H-21 and H-31 serve as head agents, coordinating communication with agent H-1, while H-4 is an atomic agent without any subagents.</w:t>
      </w:r>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 xml:space="preserve">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w:t>
      </w:r>
      <w:proofErr w:type="spellStart"/>
      <w:r w:rsidRPr="00103938">
        <w:rPr>
          <w:lang w:eastAsia="zh-TW"/>
        </w:rPr>
        <w:t>HolonicAgent</w:t>
      </w:r>
      <w:proofErr w:type="spellEnd"/>
      <w:r w:rsidRPr="00103938">
        <w:rPr>
          <w:lang w:eastAsia="zh-TW"/>
        </w:rPr>
        <w:t xml:space="preserve">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w:t>
      </w:r>
      <w:proofErr w:type="spellStart"/>
      <w:r w:rsidRPr="00502DC7">
        <w:rPr>
          <w:b/>
        </w:rPr>
        <w:t>Holonic</w:t>
      </w:r>
      <w:r>
        <w:rPr>
          <w:rFonts w:eastAsiaTheme="minorEastAsia" w:hint="eastAsia"/>
          <w:b/>
          <w:lang w:eastAsia="zh-TW"/>
        </w:rPr>
        <w:t>Agent</w:t>
      </w:r>
      <w:proofErr w:type="spellEnd"/>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787FF4EF" w14:textId="33F030C0" w:rsidR="00F7729E" w:rsidRPr="00F7729E" w:rsidRDefault="00F7729E" w:rsidP="00937F3F">
      <w:pPr>
        <w:pStyle w:val="MDPI31text"/>
        <w:suppressAutoHyphens/>
        <w:spacing w:line="240" w:lineRule="auto"/>
        <w:rPr>
          <w:lang w:eastAsia="zh-TW"/>
        </w:rPr>
      </w:pPr>
      <w:r w:rsidRPr="00F7729E">
        <w:rPr>
          <w:lang w:eastAsia="zh-TW"/>
        </w:rPr>
        <w:t>Within the scope of this research, the Publish-Subscribe paradigm—a widely used communication concept—is encapsulated within the abstract `MessageBroker` class to provide maximum flexibility. This class defines essential operations such as start, stop, publish, and subscribe. It is realized through specific implementations like `</w:t>
      </w:r>
      <w:proofErr w:type="spellStart"/>
      <w:r w:rsidRPr="00F7729E">
        <w:rPr>
          <w:lang w:eastAsia="zh-TW"/>
        </w:rPr>
        <w:t>MQTT_Broker</w:t>
      </w:r>
      <w:proofErr w:type="spellEnd"/>
      <w:r w:rsidRPr="00F7729E">
        <w:rPr>
          <w:lang w:eastAsia="zh-TW"/>
        </w:rPr>
        <w:t>`, `</w:t>
      </w:r>
      <w:proofErr w:type="spellStart"/>
      <w:r w:rsidRPr="00F7729E">
        <w:rPr>
          <w:lang w:eastAsia="zh-TW"/>
        </w:rPr>
        <w:t>DDS_Broker</w:t>
      </w:r>
      <w:proofErr w:type="spellEnd"/>
      <w:r w:rsidRPr="00F7729E">
        <w:rPr>
          <w:lang w:eastAsia="zh-TW"/>
        </w:rPr>
        <w:t>`, and `</w:t>
      </w:r>
      <w:proofErr w:type="spellStart"/>
      <w:r w:rsidRPr="00F7729E">
        <w:rPr>
          <w:lang w:eastAsia="zh-TW"/>
        </w:rPr>
        <w:t>ROS_Broker</w:t>
      </w:r>
      <w:proofErr w:type="spellEnd"/>
      <w:r w:rsidRPr="00F7729E">
        <w:rPr>
          <w:lang w:eastAsia="zh-TW"/>
        </w:rPr>
        <w:t>`, which implement MQTT</w:t>
      </w:r>
      <w:r w:rsidR="00212287">
        <w:rPr>
          <w:rFonts w:eastAsiaTheme="minorEastAsia" w:hint="eastAsia"/>
          <w:lang w:eastAsia="zh-TW"/>
        </w:rPr>
        <w:t xml:space="preserve"> [25]</w:t>
      </w:r>
      <w:r w:rsidRPr="00F7729E">
        <w:rPr>
          <w:lang w:eastAsia="zh-TW"/>
        </w:rPr>
        <w:t>, DDS</w:t>
      </w:r>
      <w:r w:rsidR="00212287">
        <w:rPr>
          <w:rFonts w:eastAsiaTheme="minorEastAsia" w:hint="eastAsia"/>
          <w:lang w:eastAsia="zh-TW"/>
        </w:rPr>
        <w:t xml:space="preserve"> [26]</w:t>
      </w:r>
      <w:r w:rsidRPr="00F7729E">
        <w:rPr>
          <w:lang w:eastAsia="zh-TW"/>
        </w:rPr>
        <w:t>, or ROS</w:t>
      </w:r>
      <w:r w:rsidR="00212287">
        <w:rPr>
          <w:rFonts w:eastAsiaTheme="minorEastAsia" w:hint="eastAsia"/>
          <w:lang w:eastAsia="zh-TW"/>
        </w:rPr>
        <w:t xml:space="preserve"> [27]</w:t>
      </w:r>
      <w:r w:rsidRPr="00F7729E">
        <w:rPr>
          <w:lang w:eastAsia="zh-TW"/>
        </w:rPr>
        <w:t xml:space="preserve"> publish-subscribe communication frameworks respectively. Each implementation is tailored to meet the unique requirements of various scenarios, ranging from bandwidth-constrained environments to real-time data delivery and robotic software. This modular approach promotes a high-level abstraction and the interchangeability of messaging systems in software architecture, as demonstrated in the class diagram of Fig.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139BF94" w14:textId="645E1541" w:rsidR="00182485" w:rsidRPr="00E17356" w:rsidRDefault="00182485" w:rsidP="00937F3F">
      <w:pPr>
        <w:pStyle w:val="MDPI31text"/>
        <w:suppressAutoHyphens/>
        <w:spacing w:line="240" w:lineRule="auto"/>
        <w:rPr>
          <w:rFonts w:eastAsiaTheme="minorEastAsia"/>
          <w:noProof/>
          <w:lang w:eastAsia="zh-TW"/>
        </w:rPr>
      </w:pPr>
      <w:r w:rsidRPr="00182485">
        <w:rPr>
          <w:rFonts w:eastAsiaTheme="minorEastAsia"/>
          <w:noProof/>
          <w:lang w:eastAsia="zh-TW"/>
        </w:rPr>
        <w:t>To simplify the complexity in the HolonicAgent while enabling Publish-Subscribe communication, the BrokerNotifier interface is used as an intermediary conduit for interactions with a specified MessageBroker. As shown in Fig. 4, this dependency inversion configuration allows agents to manage messages and connections via BrokerNotifier, promoting loose coupling and enhancing the system's modularity. As a result, the agent retains its agility and manageability, free from the complexities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8"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8"/>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 xml:space="preserve">As depicted in Fig. 7, the logistics foundation recognizes an Agent and facilitates the delegation of 'publish' and 'subscribe' actions on its behalf. Specifically, the </w:t>
      </w:r>
      <w:proofErr w:type="spellStart"/>
      <w:r w:rsidRPr="002A4AC7">
        <w:rPr>
          <w:lang w:eastAsia="zh-TW"/>
        </w:rPr>
        <w:t>RequestLogistic</w:t>
      </w:r>
      <w:proofErr w:type="spellEnd"/>
      <w:r w:rsidRPr="002A4AC7">
        <w:rPr>
          <w:lang w:eastAsia="zh-TW"/>
        </w:rPr>
        <w:t xml:space="preserve"> is endowed with a </w:t>
      </w:r>
      <w:proofErr w:type="spellStart"/>
      <w:r w:rsidRPr="002A4AC7">
        <w:rPr>
          <w:lang w:eastAsia="zh-TW"/>
        </w:rPr>
        <w:t>request_id</w:t>
      </w:r>
      <w:proofErr w:type="spellEnd"/>
      <w:r w:rsidRPr="002A4AC7">
        <w:rPr>
          <w:lang w:eastAsia="zh-TW"/>
        </w:rPr>
        <w:t xml:space="preserve">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9"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 xml:space="preserve">The class diagram in Fig. 11 shows the LoadingCoordinator as a subclass of the </w:t>
      </w:r>
      <w:proofErr w:type="spellStart"/>
      <w:r w:rsidRPr="00992ABD">
        <w:rPr>
          <w:lang w:eastAsia="zh-TW"/>
        </w:rPr>
        <w:t>BaseLogistic</w:t>
      </w:r>
      <w:proofErr w:type="spellEnd"/>
      <w:r w:rsidRPr="00992ABD">
        <w:rPr>
          <w:lang w:eastAsia="zh-TW"/>
        </w:rPr>
        <w:t xml:space="preserve">, and it is utilized by the </w:t>
      </w:r>
      <w:proofErr w:type="spellStart"/>
      <w:r w:rsidRPr="00992ABD">
        <w:rPr>
          <w:lang w:eastAsia="zh-TW"/>
        </w:rPr>
        <w:t>HolonicAgent</w:t>
      </w:r>
      <w:proofErr w:type="spellEnd"/>
      <w:r w:rsidRPr="00992ABD">
        <w:rPr>
          <w:lang w:eastAsia="zh-TW"/>
        </w:rPr>
        <w: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9"/>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4B6B6916"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Figure 12,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0"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0"/>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1"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1"/>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2"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0490CE7B"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2"/>
    <w:p w14:paraId="6A9BB524" w14:textId="5A3133A7" w:rsidR="008E5E12" w:rsidRDefault="00107D4E" w:rsidP="008E5E12">
      <w:pPr>
        <w:pStyle w:val="MDPI21heading1"/>
        <w:suppressAutoHyphens/>
        <w:spacing w:line="240" w:lineRule="auto"/>
        <w:rPr>
          <w:lang w:eastAsia="zh-TW"/>
        </w:rPr>
      </w:pPr>
      <w:r w:rsidRPr="00C023F9">
        <w:t>5. Conclusions</w:t>
      </w:r>
    </w:p>
    <w:p w14:paraId="3F646753" w14:textId="05BA6A26" w:rsidR="00326AEC" w:rsidRDefault="00326AEC" w:rsidP="00326AEC">
      <w:pPr>
        <w:pStyle w:val="MDPI31text"/>
        <w:suppressAutoHyphens/>
        <w:spacing w:beforeLines="50" w:before="163"/>
      </w:pPr>
      <w:r w:rsidRPr="001F7F5A">
        <w:rPr>
          <w:lang w:eastAsia="zh-TW"/>
        </w:rPr>
        <w:t>This research has thoroughly explored the integration of Multi-Agent Systems with Microservices and Distributed Ledger Technology to enhance distributed computing environments.</w:t>
      </w:r>
      <w:r>
        <w:t xml:space="preserve"> We developed a practical framework that significantly enhances the scalability, robustness, and efficiency of systems through strategic deployment of these technologies. The framework features a holonic agent organization with a publish-subscribe communication model, facilitating flexible and dynamic system design for managing complex agent interactions.</w:t>
      </w:r>
    </w:p>
    <w:p w14:paraId="6FE50ACD" w14:textId="2C4AF150" w:rsidR="00326AEC" w:rsidRPr="00326AEC" w:rsidRDefault="00326AEC" w:rsidP="00326AEC">
      <w:pPr>
        <w:pStyle w:val="MDPI31text"/>
        <w:suppressAutoHyphens/>
        <w:spacing w:beforeLines="50" w:before="163"/>
        <w:rPr>
          <w:rFonts w:eastAsiaTheme="minorEastAsia"/>
          <w:lang w:eastAsia="zh-TW"/>
        </w:rPr>
      </w:pPr>
      <w:r>
        <w:t xml:space="preserve">Microservices, realized through MAS, play a crucial role in minimizing message overhead and enhancing load balancing by decomposing complex systems into smaller, autonomous services. This modular strategy facilitates system management, improves resource efficiency, and supports dynamic scaling under fluctuating loads. The implementation of </w:t>
      </w:r>
      <w:r>
        <w:rPr>
          <w:rFonts w:eastAsiaTheme="minorEastAsia" w:hint="eastAsia"/>
          <w:lang w:eastAsia="zh-TW"/>
        </w:rPr>
        <w:t>load balancing</w:t>
      </w:r>
      <w:r>
        <w:t xml:space="preserve"> further strengthens this framework by enabling decentralized consensus and interactions between autonomous agents. This not only boosts system resilience and privacy but also mitigates risks associated with centralized control</w:t>
      </w:r>
      <w:r>
        <w:rPr>
          <w:rFonts w:eastAsiaTheme="minorEastAsia" w:hint="eastAsia"/>
          <w:lang w:eastAsia="zh-TW"/>
        </w:rPr>
        <w:t>.</w:t>
      </w:r>
    </w:p>
    <w:p w14:paraId="26ACE4A6" w14:textId="36E11AD9" w:rsidR="001F7F5A" w:rsidRPr="00716FC2" w:rsidRDefault="00326AEC" w:rsidP="00326AEC">
      <w:pPr>
        <w:pStyle w:val="MDPI31text"/>
        <w:suppressAutoHyphens/>
        <w:spacing w:beforeLines="50" w:before="163" w:line="240" w:lineRule="auto"/>
      </w:pPr>
      <w:r>
        <w:t>Experimental results show our framework effectively addresses MAS challenges, particularly in communication efficiency and system responsiveness. Future research will aim to refine these integrations for scaling and evolving systems, with a focus on AI-driven decision-making, fault tolerance, and new consensus algorithms. Implementing our framework in various industries could reveal additional refinements and challenges, guiding future research.</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1FEB5311" w14:textId="078B71E2" w:rsidR="00687B4B" w:rsidRPr="005C0A7E" w:rsidRDefault="00D91D9A" w:rsidP="00A74AA0">
      <w:pPr>
        <w:pStyle w:val="MDPI71References"/>
        <w:numPr>
          <w:ilvl w:val="0"/>
          <w:numId w:val="1"/>
        </w:numPr>
        <w:suppressAutoHyphens/>
        <w:spacing w:line="240" w:lineRule="auto"/>
        <w:ind w:left="425" w:hanging="425"/>
      </w:pPr>
      <w:r>
        <w:t xml:space="preserve">Nasri, M., Ginn, H. L. III, &amp; Moallem, M. (2021). Agent-Based Coordinated Control of Power Electronic Converters in a Microgrid. In </w:t>
      </w:r>
      <w:r w:rsidRPr="00025D12">
        <w:rPr>
          <w:i/>
          <w:iCs/>
        </w:rPr>
        <w:t>Electronics, 10</w:t>
      </w:r>
      <w:r>
        <w:t xml:space="preserve">(9), 1031. MDPI. </w:t>
      </w:r>
      <w:hyperlink r:id="rId28" w:history="1">
        <w:r w:rsidR="00687B4B" w:rsidRPr="002A02B6">
          <w:rPr>
            <w:rStyle w:val="a8"/>
          </w:rPr>
          <w:t>https://doi.org/10.3390/electronics10091031</w:t>
        </w:r>
      </w:hyperlink>
    </w:p>
    <w:p w14:paraId="38294BBA" w14:textId="0ADEC27D" w:rsidR="005C0A7E" w:rsidRDefault="00D91D9A" w:rsidP="009D23E4">
      <w:pPr>
        <w:pStyle w:val="MDPI71References"/>
        <w:numPr>
          <w:ilvl w:val="0"/>
          <w:numId w:val="1"/>
        </w:numPr>
        <w:suppressAutoHyphens/>
        <w:spacing w:line="240" w:lineRule="auto"/>
        <w:ind w:left="425" w:hanging="425"/>
      </w:pPr>
      <w:r>
        <w:lastRenderedPageBreak/>
        <w:t xml:space="preserve">Van </w:t>
      </w:r>
      <w:proofErr w:type="spellStart"/>
      <w:r>
        <w:t>Glabbeek</w:t>
      </w:r>
      <w:proofErr w:type="spellEnd"/>
      <w:r>
        <w:t xml:space="preserve">, R., Deac, D., </w:t>
      </w:r>
      <w:proofErr w:type="spellStart"/>
      <w:r>
        <w:t>Perale</w:t>
      </w:r>
      <w:proofErr w:type="spellEnd"/>
      <w:r>
        <w:t xml:space="preserve">, T., </w:t>
      </w:r>
      <w:proofErr w:type="spellStart"/>
      <w:r>
        <w:t>Steenhaut</w:t>
      </w:r>
      <w:proofErr w:type="spellEnd"/>
      <w:r>
        <w:t xml:space="preserve">, K., &amp; </w:t>
      </w:r>
      <w:proofErr w:type="spellStart"/>
      <w:r>
        <w:t>Braeken</w:t>
      </w:r>
      <w:proofErr w:type="spellEnd"/>
      <w:r>
        <w:t xml:space="preserve">, A. (2022). Flexible and Efficient Security Framework for Many-to-Many Communication in a Publish/Subscribe Architecture. In </w:t>
      </w:r>
      <w:r w:rsidRPr="00025D12">
        <w:rPr>
          <w:i/>
          <w:iCs/>
        </w:rPr>
        <w:t>Sensors, 22</w:t>
      </w:r>
      <w:r>
        <w:t xml:space="preserve">(19), 7391. MDPI. </w:t>
      </w:r>
      <w:hyperlink r:id="rId29" w:tgtFrame="_new" w:history="1">
        <w:r>
          <w:rPr>
            <w:rStyle w:val="a8"/>
          </w:rPr>
          <w:t>https://doi.org/10.3390/s22197391</w:t>
        </w:r>
      </w:hyperlink>
    </w:p>
    <w:p w14:paraId="07F554A0" w14:textId="0681A252" w:rsidR="005C0A7E" w:rsidRPr="00A5576F" w:rsidRDefault="00D91D9A" w:rsidP="008C5C58">
      <w:pPr>
        <w:pStyle w:val="MDPI71References"/>
        <w:numPr>
          <w:ilvl w:val="0"/>
          <w:numId w:val="1"/>
        </w:numPr>
        <w:suppressAutoHyphens/>
        <w:spacing w:line="240" w:lineRule="auto"/>
        <w:ind w:left="425" w:hanging="425"/>
      </w:pPr>
      <w:r>
        <w:t xml:space="preserve">Ataei, M., </w:t>
      </w:r>
      <w:proofErr w:type="spellStart"/>
      <w:r>
        <w:t>Eghmazi</w:t>
      </w:r>
      <w:proofErr w:type="spellEnd"/>
      <w:r>
        <w:t xml:space="preserve">, A., Shakerian, A., Landry, R., Jr., &amp; Chevrette, G. (2023). Publish/Subscribe Method for Real-Time Data Processing in Massive IoT Leveraging Blockchain for Secured Storage. In </w:t>
      </w:r>
      <w:r w:rsidRPr="00025D12">
        <w:rPr>
          <w:i/>
          <w:iCs/>
        </w:rPr>
        <w:t>Sensors, 23</w:t>
      </w:r>
      <w:r>
        <w:t xml:space="preserve">(24), 9692. MDPI. </w:t>
      </w:r>
      <w:hyperlink r:id="rId30" w:tgtFrame="_new" w:history="1">
        <w:r>
          <w:rPr>
            <w:rStyle w:val="a8"/>
          </w:rPr>
          <w:t>https://doi.org/10.3390/s23249692</w:t>
        </w:r>
      </w:hyperlink>
    </w:p>
    <w:p w14:paraId="46A65402" w14:textId="58CC21F1" w:rsidR="00687B4B" w:rsidRPr="009D7EB9" w:rsidRDefault="00D91D9A" w:rsidP="00F62266">
      <w:pPr>
        <w:pStyle w:val="MDPI71References"/>
        <w:numPr>
          <w:ilvl w:val="0"/>
          <w:numId w:val="1"/>
        </w:numPr>
        <w:suppressAutoHyphens/>
        <w:spacing w:line="240" w:lineRule="auto"/>
        <w:ind w:left="425" w:hanging="425"/>
      </w:pPr>
      <w:r>
        <w:t xml:space="preserve">Ferraz Junior, N., Silva, A. A. A., </w:t>
      </w:r>
      <w:proofErr w:type="spellStart"/>
      <w:r>
        <w:t>Guelfi</w:t>
      </w:r>
      <w:proofErr w:type="spellEnd"/>
      <w:r>
        <w:t xml:space="preserve">, A. E., &amp; </w:t>
      </w:r>
      <w:proofErr w:type="spellStart"/>
      <w:r>
        <w:t>Kofuji</w:t>
      </w:r>
      <w:proofErr w:type="spellEnd"/>
      <w:r>
        <w:t xml:space="preserve">, S. T. (2022). Performance evaluation of publish-subscribe systems in IoT using energy-efficient and context-aware secure messages. In </w:t>
      </w:r>
      <w:r w:rsidRPr="00025D12">
        <w:rPr>
          <w:i/>
          <w:iCs/>
        </w:rPr>
        <w:t>Journal of Cloud Computing, 11</w:t>
      </w:r>
      <w:r>
        <w:t xml:space="preserve">(6). </w:t>
      </w:r>
      <w:proofErr w:type="spellStart"/>
      <w:r>
        <w:t>SpringerOpen</w:t>
      </w:r>
      <w:proofErr w:type="spellEnd"/>
      <w:r>
        <w:t xml:space="preserve">. </w:t>
      </w:r>
      <w:hyperlink r:id="rId31" w:history="1">
        <w:r w:rsidR="00687B4B" w:rsidRPr="002A02B6">
          <w:rPr>
            <w:rStyle w:val="a8"/>
          </w:rPr>
          <w:t>https://doi.org/10.1186/s13677-022-00278-6</w:t>
        </w:r>
      </w:hyperlink>
    </w:p>
    <w:p w14:paraId="4A9F3052" w14:textId="4743574C" w:rsidR="00D91D9A" w:rsidRPr="009D7EB9" w:rsidRDefault="00D91D9A" w:rsidP="004C6199">
      <w:pPr>
        <w:pStyle w:val="MDPI71References"/>
        <w:numPr>
          <w:ilvl w:val="0"/>
          <w:numId w:val="1"/>
        </w:numPr>
        <w:suppressAutoHyphens/>
        <w:spacing w:line="240" w:lineRule="auto"/>
        <w:ind w:left="425" w:hanging="425"/>
      </w:pPr>
      <w:r>
        <w:t xml:space="preserve">Nandagopal, M., </w:t>
      </w:r>
      <w:proofErr w:type="spellStart"/>
      <w:r>
        <w:t>Uthariaraj</w:t>
      </w:r>
      <w:proofErr w:type="spellEnd"/>
      <w:r>
        <w:t xml:space="preserve">, V.R. (2011). Decentralized Dynamic Load Balancing for Multi Cluster Grid Environment. In </w:t>
      </w:r>
      <w:proofErr w:type="spellStart"/>
      <w:r w:rsidRPr="00025D12">
        <w:rPr>
          <w:i/>
          <w:iCs/>
        </w:rPr>
        <w:t>Meghanathan</w:t>
      </w:r>
      <w:proofErr w:type="spellEnd"/>
      <w:r w:rsidRPr="00025D12">
        <w:rPr>
          <w:i/>
          <w:iCs/>
        </w:rPr>
        <w:t xml:space="preserve">, N., Kaushik, B.K., </w:t>
      </w:r>
      <w:proofErr w:type="spellStart"/>
      <w:r w:rsidRPr="00025D12">
        <w:rPr>
          <w:i/>
          <w:iCs/>
        </w:rPr>
        <w:t>Nagamalai</w:t>
      </w:r>
      <w:proofErr w:type="spellEnd"/>
      <w:r w:rsidRPr="00025D12">
        <w:rPr>
          <w:i/>
          <w:iCs/>
        </w:rPr>
        <w:t>, D. (eds) Advanced Computing. Communications in Computer and Information Science</w:t>
      </w:r>
      <w:r>
        <w:t xml:space="preserve">, vol 133. Springer, Berlin, Heidelberg. </w:t>
      </w:r>
      <w:hyperlink r:id="rId32" w:tgtFrame="_new" w:history="1">
        <w:r>
          <w:rPr>
            <w:rStyle w:val="a8"/>
          </w:rPr>
          <w:t>https://doi.org/10.1007/978-3-642-17881-8_15</w:t>
        </w:r>
      </w:hyperlink>
    </w:p>
    <w:p w14:paraId="0A3BFFA0" w14:textId="4B710F10" w:rsidR="009D7EB9" w:rsidRPr="00B83516" w:rsidRDefault="00D91D9A" w:rsidP="00400BEB">
      <w:pPr>
        <w:pStyle w:val="MDPI71References"/>
        <w:numPr>
          <w:ilvl w:val="0"/>
          <w:numId w:val="1"/>
        </w:numPr>
        <w:suppressAutoHyphens/>
        <w:spacing w:line="240" w:lineRule="auto"/>
        <w:ind w:left="425" w:hanging="425"/>
      </w:pPr>
      <w:proofErr w:type="spellStart"/>
      <w:r>
        <w:t>Srinivasrao</w:t>
      </w:r>
      <w:proofErr w:type="spellEnd"/>
      <w:r>
        <w:t xml:space="preserve">, P., Rao, V.P.C., Govardhan, A., &amp; Mohanty, A.P. (2013). Scalable Distributed Job Processing with Dynamic Load Balancing. In </w:t>
      </w:r>
      <w:r w:rsidRPr="00025D12">
        <w:rPr>
          <w:i/>
          <w:iCs/>
        </w:rPr>
        <w:t xml:space="preserve">International Journal of Distributed and Parallel Systems (IJDPS), </w:t>
      </w:r>
      <w:r w:rsidR="00025D12" w:rsidRPr="00025D12">
        <w:rPr>
          <w:rFonts w:eastAsiaTheme="minorEastAsia" w:hint="eastAsia"/>
          <w:i/>
          <w:iCs/>
          <w:lang w:eastAsia="zh-TW"/>
        </w:rPr>
        <w:t>4</w:t>
      </w:r>
      <w:r w:rsidR="00025D12">
        <w:rPr>
          <w:rFonts w:eastAsiaTheme="minorEastAsia" w:hint="eastAsia"/>
          <w:lang w:eastAsia="zh-TW"/>
        </w:rPr>
        <w:t>(3)</w:t>
      </w:r>
      <w:r>
        <w:t xml:space="preserve">, May 2013. </w:t>
      </w:r>
      <w:hyperlink r:id="rId33" w:tgtFrame="_new" w:history="1">
        <w:r>
          <w:rPr>
            <w:rStyle w:val="a8"/>
          </w:rPr>
          <w:t>https://doi.org/10.48550/arXiv.1306.1303</w:t>
        </w:r>
      </w:hyperlink>
    </w:p>
    <w:p w14:paraId="5FE09CD3" w14:textId="15624388" w:rsidR="00B83516" w:rsidRPr="002E69C9" w:rsidRDefault="00D91D9A" w:rsidP="001E6B49">
      <w:pPr>
        <w:pStyle w:val="MDPI71References"/>
        <w:numPr>
          <w:ilvl w:val="0"/>
          <w:numId w:val="1"/>
        </w:numPr>
        <w:suppressAutoHyphens/>
        <w:spacing w:line="240" w:lineRule="auto"/>
        <w:ind w:left="425" w:hanging="425"/>
      </w:pPr>
      <w:proofErr w:type="spellStart"/>
      <w:r>
        <w:t>Hannousse</w:t>
      </w:r>
      <w:proofErr w:type="spellEnd"/>
      <w:r>
        <w:t xml:space="preserve">, A., </w:t>
      </w:r>
      <w:proofErr w:type="spellStart"/>
      <w:r>
        <w:t>Yahiouche</w:t>
      </w:r>
      <w:proofErr w:type="spellEnd"/>
      <w:r>
        <w:t xml:space="preserve">, S. (2021). Securing microservices and microservice architectures: A systematic mapping study. In </w:t>
      </w:r>
      <w:r w:rsidRPr="00025D12">
        <w:rPr>
          <w:i/>
          <w:iCs/>
        </w:rPr>
        <w:t xml:space="preserve">Computer Science Review, </w:t>
      </w:r>
      <w:r w:rsidR="00025D12" w:rsidRPr="00025D12">
        <w:rPr>
          <w:rFonts w:eastAsiaTheme="minorEastAsia" w:hint="eastAsia"/>
          <w:i/>
          <w:iCs/>
          <w:lang w:eastAsia="zh-TW"/>
        </w:rPr>
        <w:t>41</w:t>
      </w:r>
      <w:r>
        <w:t xml:space="preserve">. Elsevier. </w:t>
      </w:r>
      <w:hyperlink r:id="rId34" w:tgtFrame="_new" w:history="1">
        <w:r>
          <w:rPr>
            <w:rStyle w:val="a8"/>
          </w:rPr>
          <w:t>https://doi.org/10.1016/j.cosrev.2021.100415</w:t>
        </w:r>
      </w:hyperlink>
    </w:p>
    <w:p w14:paraId="264E4D4D" w14:textId="1A6C9BF8" w:rsidR="00D91D9A" w:rsidRPr="002E69C9" w:rsidRDefault="00D91D9A" w:rsidP="00221146">
      <w:pPr>
        <w:pStyle w:val="MDPI71References"/>
        <w:numPr>
          <w:ilvl w:val="0"/>
          <w:numId w:val="1"/>
        </w:numPr>
        <w:suppressAutoHyphens/>
        <w:spacing w:line="240" w:lineRule="auto"/>
        <w:ind w:left="425" w:hanging="425"/>
      </w:pPr>
      <w:r>
        <w:t xml:space="preserve">Kul, S., Sayar, A. (2021). A Survey of Publish/Subscribe Middleware Systems for Microservice Communication. In </w:t>
      </w:r>
      <w:r w:rsidRPr="00025D12">
        <w:rPr>
          <w:i/>
          <w:iCs/>
        </w:rPr>
        <w:t>Proceedings of the 5th International Symposium on Multidisciplinary Studies and Innovative Technologies (ISMSIT)</w:t>
      </w:r>
      <w:r>
        <w:t xml:space="preserve">, pp. 781-785. IEEE, Ankara, Turkey. </w:t>
      </w:r>
      <w:hyperlink r:id="rId35" w:history="1">
        <w:r w:rsidRPr="002A02B6">
          <w:rPr>
            <w:rStyle w:val="a8"/>
          </w:rPr>
          <w:t>https://doi.org/10.1109/ISMSIT52890.2021.9604746</w:t>
        </w:r>
      </w:hyperlink>
    </w:p>
    <w:p w14:paraId="29CB6CBE" w14:textId="3CC8F08D" w:rsidR="002E69C9" w:rsidRPr="003F73BF" w:rsidRDefault="00DD0F86" w:rsidP="00461958">
      <w:pPr>
        <w:pStyle w:val="MDPI71References"/>
        <w:numPr>
          <w:ilvl w:val="0"/>
          <w:numId w:val="1"/>
        </w:numPr>
        <w:suppressAutoHyphens/>
        <w:spacing w:line="240" w:lineRule="auto"/>
        <w:ind w:left="425" w:hanging="425"/>
      </w:pPr>
      <w:r>
        <w:t xml:space="preserve">Perdana, A., Robb, A., Balachandran, V., Rohde, F. (2021). Distributed Ledger Technology: Its Evolutionary Path and the Road Ahead. </w:t>
      </w:r>
      <w:r w:rsidRPr="00025D12">
        <w:rPr>
          <w:i/>
          <w:iCs/>
        </w:rPr>
        <w:t>In Information &amp; Management, 58</w:t>
      </w:r>
      <w:r w:rsidR="00025D12">
        <w:rPr>
          <w:rFonts w:eastAsiaTheme="minorEastAsia" w:hint="eastAsia"/>
          <w:lang w:eastAsia="zh-TW"/>
        </w:rPr>
        <w:t>(</w:t>
      </w:r>
      <w:r>
        <w:t>3</w:t>
      </w:r>
      <w:r w:rsidR="00025D12">
        <w:rPr>
          <w:rFonts w:eastAsiaTheme="minorEastAsia" w:hint="eastAsia"/>
          <w:lang w:eastAsia="zh-TW"/>
        </w:rPr>
        <w:t>)</w:t>
      </w:r>
      <w:r>
        <w:t xml:space="preserve">. Elsevier. </w:t>
      </w:r>
      <w:hyperlink r:id="rId36" w:tgtFrame="_new" w:history="1">
        <w:r>
          <w:rPr>
            <w:rStyle w:val="a8"/>
          </w:rPr>
          <w:t>https://doi.org/10.1016/j.im.2020.103316</w:t>
        </w:r>
      </w:hyperlink>
    </w:p>
    <w:p w14:paraId="4C663EAD" w14:textId="2144E32D" w:rsidR="00A42E57" w:rsidRPr="00C023F9" w:rsidRDefault="00A42E57" w:rsidP="00012D9B">
      <w:pPr>
        <w:pStyle w:val="MDPI71References"/>
        <w:numPr>
          <w:ilvl w:val="0"/>
          <w:numId w:val="1"/>
        </w:numPr>
        <w:suppressAutoHyphens/>
        <w:spacing w:line="240" w:lineRule="auto"/>
        <w:ind w:left="425" w:hanging="425"/>
      </w:pPr>
      <w:proofErr w:type="spellStart"/>
      <w:r>
        <w:t>Alkhodair</w:t>
      </w:r>
      <w:proofErr w:type="spellEnd"/>
      <w:r>
        <w:t xml:space="preserve">, A.J., Mohanty, S.P., </w:t>
      </w:r>
      <w:proofErr w:type="spellStart"/>
      <w:r>
        <w:t>Kougianos</w:t>
      </w:r>
      <w:proofErr w:type="spellEnd"/>
      <w:r>
        <w:t xml:space="preserve">, E. (2023). Consensus Algorithms of Distributed Ledger Technology - A Comprehensive Analysis. </w:t>
      </w:r>
      <w:r w:rsidRPr="00025D12">
        <w:rPr>
          <w:i/>
          <w:iCs/>
        </w:rPr>
        <w:t xml:space="preserve">Preprint submitted to </w:t>
      </w:r>
      <w:proofErr w:type="spellStart"/>
      <w:r w:rsidRPr="00025D12">
        <w:rPr>
          <w:i/>
          <w:iCs/>
        </w:rPr>
        <w:t>arXiv</w:t>
      </w:r>
      <w:proofErr w:type="spellEnd"/>
      <w:r>
        <w:t xml:space="preserve">. University of North Texas and University of Tabuk. </w:t>
      </w:r>
      <w:hyperlink r:id="rId37" w:history="1">
        <w:r w:rsidRPr="002A02B6">
          <w:rPr>
            <w:rStyle w:val="a8"/>
          </w:rPr>
          <w:t>https://doi.org/10.48550/arXiv.2309.13498</w:t>
        </w:r>
      </w:hyperlink>
    </w:p>
    <w:p w14:paraId="7649BB92" w14:textId="77777777"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05ADD3B1" w14:textId="77777777" w:rsidR="0006134F" w:rsidRPr="00C023F9" w:rsidRDefault="0006134F" w:rsidP="0006134F">
      <w:pPr>
        <w:pStyle w:val="MDPI71References"/>
        <w:numPr>
          <w:ilvl w:val="0"/>
          <w:numId w:val="1"/>
        </w:numPr>
        <w:suppressAutoHyphens/>
        <w:spacing w:line="240" w:lineRule="auto"/>
        <w:ind w:left="425" w:hanging="425"/>
      </w:pPr>
      <w:r w:rsidRPr="00C023F9">
        <w:t>Jain, L. C. (2002</w:t>
      </w:r>
      <w:r>
        <w:t xml:space="preserve">) </w:t>
      </w:r>
      <w:r w:rsidRPr="00C023F9">
        <w:rPr>
          <w:i/>
          <w:iCs/>
        </w:rPr>
        <w:t>Intelligent agents and their applications</w:t>
      </w:r>
      <w:r w:rsidRPr="00C023F9">
        <w:t> (Vol. 98). Springer Science &amp; Business Media.</w:t>
      </w:r>
    </w:p>
    <w:p w14:paraId="3196281E" w14:textId="1E65118F" w:rsidR="00A1018B" w:rsidRPr="00C023F9" w:rsidRDefault="0006134F" w:rsidP="00B073C7">
      <w:pPr>
        <w:pStyle w:val="MDPI71References"/>
        <w:numPr>
          <w:ilvl w:val="0"/>
          <w:numId w:val="1"/>
        </w:numPr>
        <w:suppressAutoHyphens/>
        <w:spacing w:line="240" w:lineRule="auto"/>
        <w:ind w:left="425" w:hanging="425"/>
      </w:pPr>
      <w:r w:rsidRPr="00C023F9">
        <w:t>Wooldridge, M., &amp; Jennings, N. R. (1995</w:t>
      </w:r>
      <w:r>
        <w:t xml:space="preserve">) </w:t>
      </w:r>
      <w:r w:rsidRPr="00C023F9">
        <w:t>Intelligent agents: Theory and practice. </w:t>
      </w:r>
      <w:r w:rsidRPr="0006134F">
        <w:rPr>
          <w:i/>
          <w:iCs/>
        </w:rPr>
        <w:t>The knowledge engineering review</w:t>
      </w:r>
      <w:r w:rsidRPr="00C023F9">
        <w:t>, </w:t>
      </w:r>
      <w:r w:rsidRPr="0006134F">
        <w:rPr>
          <w:i/>
          <w:iCs/>
        </w:rPr>
        <w:t>10</w:t>
      </w:r>
      <w:r w:rsidRPr="00C023F9">
        <w:t>(2), 115-</w:t>
      </w:r>
      <w:proofErr w:type="gramStart"/>
      <w:r w:rsidRPr="00C023F9">
        <w:t>152.</w:t>
      </w:r>
      <w:r w:rsidR="00345039" w:rsidRPr="0006134F">
        <w:rPr>
          <w:rFonts w:eastAsiaTheme="minorEastAsia" w:hint="eastAsia"/>
          <w:lang w:eastAsia="zh-TW"/>
        </w:rPr>
        <w:t>_</w:t>
      </w:r>
      <w:proofErr w:type="gramEnd"/>
    </w:p>
    <w:p w14:paraId="4574DDAB"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38" w:history="1">
        <w:r w:rsidRPr="00C023F9">
          <w:rPr>
            <w:rStyle w:val="a8"/>
          </w:rPr>
          <w:t>https://doi.org/10.1007/978-3-642-17348-6_11</w:t>
        </w:r>
      </w:hyperlink>
    </w:p>
    <w:p w14:paraId="7F2D697A" w14:textId="77777777"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77777777" w:rsidR="00F832D7" w:rsidRPr="00C023F9" w:rsidRDefault="00F832D7" w:rsidP="00F832D7">
      <w:pPr>
        <w:pStyle w:val="MDPI71References"/>
        <w:numPr>
          <w:ilvl w:val="0"/>
          <w:numId w:val="1"/>
        </w:numPr>
        <w:suppressAutoHyphens/>
        <w:spacing w:line="240" w:lineRule="auto"/>
        <w:ind w:left="425" w:hanging="425"/>
      </w:pPr>
      <w:r w:rsidRPr="00C023F9">
        <w:t>Giret,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50DF107F"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t xml:space="preserve">) </w:t>
      </w:r>
      <w:r w:rsidRPr="00C023F9">
        <w:t>A reference-model for holonic supply chain management. In </w:t>
      </w:r>
      <w:r w:rsidRPr="00C023F9">
        <w:rPr>
          <w:i/>
          <w:iCs/>
        </w:rPr>
        <w:t>International Conference on Industrial Applications of Holonic and Multi-Agent Systems</w:t>
      </w:r>
      <w:r>
        <w:rPr>
          <w:i/>
          <w:iCs/>
        </w:rPr>
        <w:t>,</w:t>
      </w:r>
      <w:r w:rsidRPr="00C023F9">
        <w:t xml:space="preserve"> pp 221-232. Springer, Berlin, Heidelberg. </w:t>
      </w:r>
      <w:hyperlink r:id="rId39" w:history="1">
        <w:r w:rsidRPr="00C023F9">
          <w:rPr>
            <w:rStyle w:val="a8"/>
          </w:rPr>
          <w:t>https://doi.org/10.1007/11537847_20</w:t>
        </w:r>
      </w:hyperlink>
    </w:p>
    <w:p w14:paraId="1888BF64" w14:textId="77777777" w:rsidR="00F832D7" w:rsidRPr="00C023F9" w:rsidRDefault="00F832D7" w:rsidP="00F832D7">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Pr>
          <w:i/>
          <w:iCs/>
        </w:rPr>
        <w:t>,</w:t>
      </w:r>
      <w:r w:rsidRPr="00C023F9">
        <w:t xml:space="preserve"> pp 233-245. Springer, Berlin, Heidelberg. </w:t>
      </w:r>
      <w:hyperlink r:id="rId40" w:history="1">
        <w:r w:rsidRPr="00C023F9">
          <w:rPr>
            <w:rStyle w:val="a8"/>
          </w:rPr>
          <w:t>https://doi.org/10.1007/11537847_21</w:t>
        </w:r>
      </w:hyperlink>
    </w:p>
    <w:p w14:paraId="04AE03A3" w14:textId="42448892" w:rsidR="00F832D7" w:rsidRPr="00C023F9" w:rsidRDefault="00F832D7" w:rsidP="00F832D7">
      <w:pPr>
        <w:pStyle w:val="MDPI71References"/>
        <w:numPr>
          <w:ilvl w:val="0"/>
          <w:numId w:val="1"/>
        </w:numPr>
        <w:suppressAutoHyphens/>
        <w:spacing w:line="240" w:lineRule="auto"/>
        <w:ind w:left="425" w:hanging="425"/>
      </w:pPr>
      <w:r w:rsidRPr="00C023F9">
        <w:t>Rachid, B., &amp; Hafid, H. (2014</w:t>
      </w:r>
      <w:r>
        <w:t xml:space="preserve">) </w:t>
      </w:r>
      <w:r w:rsidRPr="00C023F9">
        <w:t>Distributed Monitoring for Wireless Sensor Networks: a Multi-Agent Approach. </w:t>
      </w:r>
      <w:r w:rsidR="00025D12">
        <w:rPr>
          <w:rFonts w:eastAsiaTheme="minorEastAsia" w:hint="eastAsia"/>
          <w:lang w:eastAsia="zh-TW"/>
        </w:rPr>
        <w:t xml:space="preserve">In </w:t>
      </w:r>
      <w:r w:rsidRPr="00025D12">
        <w:rPr>
          <w:i/>
          <w:iCs/>
        </w:rPr>
        <w:t>International Journal of Computer Network &amp; Information Security, 6</w:t>
      </w:r>
      <w:r w:rsidRPr="00C023F9">
        <w:t xml:space="preserve">(10). </w:t>
      </w:r>
      <w:hyperlink r:id="rId41" w:history="1">
        <w:r w:rsidRPr="00C023F9">
          <w:rPr>
            <w:rStyle w:val="a8"/>
          </w:rPr>
          <w:t>https://doi.org/10.5815/ijcnis.2014.10.02</w:t>
        </w:r>
      </w:hyperlink>
    </w:p>
    <w:p w14:paraId="16CFB70A" w14:textId="2D62EDD4" w:rsidR="0018278A" w:rsidRPr="00C023F9" w:rsidRDefault="0018278A" w:rsidP="0018278A">
      <w:pPr>
        <w:pStyle w:val="MDPI71References"/>
        <w:numPr>
          <w:ilvl w:val="0"/>
          <w:numId w:val="1"/>
        </w:numPr>
        <w:suppressAutoHyphens/>
        <w:spacing w:line="240" w:lineRule="auto"/>
        <w:ind w:left="425" w:hanging="425"/>
      </w:pPr>
      <w:r w:rsidRPr="00C023F9">
        <w:t>Hunkeler, U., Truong, H. L., &amp; Stanford-Clark, A. (2008, January</w:t>
      </w:r>
      <w:r>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00025D12">
        <w:rPr>
          <w:rFonts w:eastAsiaTheme="minorEastAsia" w:hint="eastAsia"/>
          <w:lang w:eastAsia="zh-TW"/>
        </w:rPr>
        <w:t xml:space="preserve">, </w:t>
      </w:r>
      <w:r w:rsidRPr="00C023F9">
        <w:t xml:space="preserve">pp 791-798. IEEE. </w:t>
      </w:r>
      <w:hyperlink r:id="rId42" w:history="1">
        <w:r w:rsidRPr="00C023F9">
          <w:rPr>
            <w:rStyle w:val="a8"/>
          </w:rPr>
          <w:t>https://doi.org/10.1109/COMSWA.2008.4554519</w:t>
        </w:r>
      </w:hyperlink>
    </w:p>
    <w:p w14:paraId="6A18CFDC" w14:textId="77777777" w:rsidR="0018278A" w:rsidRPr="00C023F9" w:rsidRDefault="0018278A" w:rsidP="0018278A">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1865AB00" w14:textId="7607AD69" w:rsidR="0012742B" w:rsidRPr="00C023F9" w:rsidRDefault="005E1E15" w:rsidP="00D32E20">
      <w:pPr>
        <w:pStyle w:val="MDPI71References"/>
        <w:numPr>
          <w:ilvl w:val="0"/>
          <w:numId w:val="1"/>
        </w:numPr>
        <w:suppressAutoHyphens/>
        <w:spacing w:line="240" w:lineRule="auto"/>
        <w:ind w:left="425" w:hanging="425"/>
      </w:pPr>
      <w:r>
        <w:t xml:space="preserve">Quigley, M., Gerkey, B., Conley, K., Faust, J., Foote, T., </w:t>
      </w:r>
      <w:proofErr w:type="spellStart"/>
      <w:r>
        <w:t>Leibs</w:t>
      </w:r>
      <w:proofErr w:type="spellEnd"/>
      <w:r>
        <w:t xml:space="preserve">, J., Berger, E., Wheeler, R., Ng, A. (2009). ROS: An Open-Source Robot Operating System. In </w:t>
      </w:r>
      <w:r w:rsidRPr="00025D12">
        <w:rPr>
          <w:i/>
          <w:iCs/>
        </w:rPr>
        <w:t>Proceedings of ICRA OSS-09</w:t>
      </w:r>
      <w:r>
        <w:t>. Stanford University and Willow Garage.</w:t>
      </w: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3" w:name="OLE_LINK40"/>
      <w:r w:rsidRPr="00EF23A1">
        <w:rPr>
          <w:rFonts w:ascii="Times New Roman" w:hAnsi="Times New Roman" w:cs="Times New Roman"/>
          <w:i/>
        </w:rPr>
        <w:t xml:space="preserve">biological </w:t>
      </w:r>
      <w:bookmarkEnd w:id="13"/>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lastRenderedPageBreak/>
        <w:t>Funding</w:t>
      </w:r>
      <w:bookmarkStart w:id="14"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5" w:name="OLE_LINK42"/>
      <w:bookmarkEnd w:id="14"/>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6" w:name="OLE_LINK46"/>
    </w:p>
    <w:bookmarkEnd w:id="16"/>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7" w:name="OLE_LINK47"/>
      <w:bookmarkEnd w:id="15"/>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18" w:name="OLE_LINK48"/>
      <w:bookmarkEnd w:id="17"/>
      <w:r w:rsidRPr="00A275FE">
        <w:rPr>
          <w:rFonts w:ascii="Times New Roman" w:hAnsi="Times New Roman" w:cs="Times New Roman"/>
          <w:b/>
          <w:bCs/>
        </w:rPr>
        <w:t>Code availability</w:t>
      </w:r>
      <w:bookmarkEnd w:id="18"/>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19" w:name="OLE_LINK51"/>
      <w:bookmarkStart w:id="20" w:name="OLE_LINK50"/>
      <w:r w:rsidRPr="00A275FE">
        <w:rPr>
          <w:rFonts w:ascii="Times New Roman" w:hAnsi="Times New Roman" w:cs="Times New Roman"/>
          <w:b/>
          <w:bCs/>
        </w:rPr>
        <w:t>Authors' contributions</w:t>
      </w:r>
      <w:bookmarkEnd w:id="19"/>
    </w:p>
    <w:p w14:paraId="731E8BA0" w14:textId="77777777" w:rsidR="009B08C9" w:rsidRPr="00EF23A1" w:rsidRDefault="009B08C9" w:rsidP="009B08C9">
      <w:pPr>
        <w:pStyle w:val="aff"/>
        <w:ind w:left="720"/>
        <w:rPr>
          <w:rFonts w:ascii="Times New Roman" w:hAnsi="Times New Roman" w:cs="Times New Roman"/>
        </w:rPr>
      </w:pPr>
      <w:bookmarkStart w:id="21" w:name="OLE_LINK56"/>
      <w:bookmarkStart w:id="22" w:name="OLE_LINK52"/>
      <w:r w:rsidRPr="00EF23A1">
        <w:rPr>
          <w:rFonts w:ascii="Times New Roman" w:hAnsi="Times New Roman" w:cs="Times New Roman"/>
        </w:rPr>
        <w:t>Ching Han Chen</w:t>
      </w:r>
      <w:bookmarkEnd w:id="21"/>
      <w:r w:rsidRPr="00EF23A1">
        <w:rPr>
          <w:rFonts w:ascii="Times New Roman" w:hAnsi="Times New Roman" w:cs="Times New Roman"/>
        </w:rPr>
        <w:t xml:space="preserve"> and </w:t>
      </w:r>
      <w:bookmarkStart w:id="23" w:name="OLE_LINK55"/>
      <w:r w:rsidRPr="00EF23A1">
        <w:rPr>
          <w:rFonts w:ascii="Times New Roman" w:hAnsi="Times New Roman" w:cs="Times New Roman"/>
        </w:rPr>
        <w:t>Ming Fang Shiu</w:t>
      </w:r>
      <w:bookmarkEnd w:id="23"/>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4" w:name="OLE_LINK59"/>
      <w:bookmarkEnd w:id="20"/>
      <w:bookmarkEnd w:id="22"/>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24"/>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44"/>
      <w:headerReference w:type="default" r:id="rId45"/>
      <w:headerReference w:type="first" r:id="rId46"/>
      <w:footerReference w:type="first" r:id="rId4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AD346" w14:textId="77777777" w:rsidR="003059D1" w:rsidRDefault="003059D1">
      <w:r>
        <w:separator/>
      </w:r>
    </w:p>
  </w:endnote>
  <w:endnote w:type="continuationSeparator" w:id="0">
    <w:p w14:paraId="45697208" w14:textId="77777777" w:rsidR="003059D1" w:rsidRDefault="0030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9231B" w14:textId="77777777" w:rsidR="003059D1" w:rsidRDefault="003059D1">
      <w:r>
        <w:separator/>
      </w:r>
    </w:p>
  </w:footnote>
  <w:footnote w:type="continuationSeparator" w:id="0">
    <w:p w14:paraId="5D55ABDF" w14:textId="77777777" w:rsidR="003059D1" w:rsidRDefault="00305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25" w:name="OLE_LINK10"/>
    <w:r>
      <w:rPr>
        <w:sz w:val="16"/>
      </w:rPr>
      <w:t>FOR PEER REVIEW</w:t>
    </w:r>
    <w:bookmarkEnd w:id="25"/>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5D12"/>
    <w:rsid w:val="00026BCE"/>
    <w:rsid w:val="00027D91"/>
    <w:rsid w:val="0003396E"/>
    <w:rsid w:val="0003590A"/>
    <w:rsid w:val="00036B5F"/>
    <w:rsid w:val="000407D8"/>
    <w:rsid w:val="00040B5D"/>
    <w:rsid w:val="000446FE"/>
    <w:rsid w:val="0004740F"/>
    <w:rsid w:val="000504BD"/>
    <w:rsid w:val="0005143E"/>
    <w:rsid w:val="00052599"/>
    <w:rsid w:val="00055DF1"/>
    <w:rsid w:val="00056ED1"/>
    <w:rsid w:val="000605C2"/>
    <w:rsid w:val="00060E12"/>
    <w:rsid w:val="00060F5B"/>
    <w:rsid w:val="0006134F"/>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26A7"/>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9D1"/>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AEC"/>
    <w:rsid w:val="00326E88"/>
    <w:rsid w:val="0033024C"/>
    <w:rsid w:val="00330390"/>
    <w:rsid w:val="00331886"/>
    <w:rsid w:val="00331A80"/>
    <w:rsid w:val="003350E5"/>
    <w:rsid w:val="00335B99"/>
    <w:rsid w:val="00337A0C"/>
    <w:rsid w:val="00337DFD"/>
    <w:rsid w:val="003402EF"/>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BD5"/>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1E15"/>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B4B"/>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52B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2E57"/>
    <w:rsid w:val="00A43821"/>
    <w:rsid w:val="00A44A99"/>
    <w:rsid w:val="00A46E6F"/>
    <w:rsid w:val="00A477F6"/>
    <w:rsid w:val="00A47C44"/>
    <w:rsid w:val="00A519BB"/>
    <w:rsid w:val="00A5218B"/>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3823"/>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3516"/>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D21"/>
    <w:rsid w:val="00CE27CD"/>
    <w:rsid w:val="00CE292C"/>
    <w:rsid w:val="00CE3FDE"/>
    <w:rsid w:val="00CE42CE"/>
    <w:rsid w:val="00CE5148"/>
    <w:rsid w:val="00CE671C"/>
    <w:rsid w:val="00CF0F30"/>
    <w:rsid w:val="00CF107F"/>
    <w:rsid w:val="00CF3B6A"/>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1D9A"/>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0F86"/>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0666D"/>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E5DCD"/>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16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1932620712">
      <w:bodyDiv w:val="1"/>
      <w:marLeft w:val="0"/>
      <w:marRight w:val="0"/>
      <w:marTop w:val="0"/>
      <w:marBottom w:val="0"/>
      <w:divBdr>
        <w:top w:val="none" w:sz="0" w:space="0" w:color="auto"/>
        <w:left w:val="none" w:sz="0" w:space="0" w:color="auto"/>
        <w:bottom w:val="none" w:sz="0" w:space="0" w:color="auto"/>
        <w:right w:val="none" w:sz="0" w:space="0" w:color="auto"/>
      </w:divBdr>
      <w:divsChild>
        <w:div w:id="1089620352">
          <w:marLeft w:val="0"/>
          <w:marRight w:val="0"/>
          <w:marTop w:val="0"/>
          <w:marBottom w:val="0"/>
          <w:divBdr>
            <w:top w:val="none" w:sz="0" w:space="0" w:color="auto"/>
            <w:left w:val="none" w:sz="0" w:space="0" w:color="auto"/>
            <w:bottom w:val="none" w:sz="0" w:space="0" w:color="auto"/>
            <w:right w:val="none" w:sz="0" w:space="0" w:color="auto"/>
          </w:divBdr>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007/11537847_20" TargetMode="External"/><Relationship Id="rId21" Type="http://schemas.openxmlformats.org/officeDocument/2006/relationships/image" Target="media/image11.png"/><Relationship Id="rId34" Type="http://schemas.openxmlformats.org/officeDocument/2006/relationships/hyperlink" Target="https://doi.org/10.1016/j.cosrev.2021.100415" TargetMode="External"/><Relationship Id="rId42" Type="http://schemas.openxmlformats.org/officeDocument/2006/relationships/hyperlink" Target="https://doi.org/10.1109/COMSWA.2008.4554519"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3390/s22197391"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07/978-3-642-17881-8_15" TargetMode="External"/><Relationship Id="rId37" Type="http://schemas.openxmlformats.org/officeDocument/2006/relationships/hyperlink" Target="https://doi.org/10.48550/arXiv.2309.13498" TargetMode="External"/><Relationship Id="rId40" Type="http://schemas.openxmlformats.org/officeDocument/2006/relationships/hyperlink" Target="https://doi.org/10.1007/11537847_21"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3390/electronics10091031" TargetMode="External"/><Relationship Id="rId36" Type="http://schemas.openxmlformats.org/officeDocument/2006/relationships/hyperlink" Target="https://doi.org/10.1016/j.im.2020.103316" TargetMode="External"/><Relationship Id="rId49" Type="http://schemas.openxmlformats.org/officeDocument/2006/relationships/theme" Target="theme/theme1.xml"/><Relationship Id="rId10" Type="http://schemas.openxmlformats.org/officeDocument/2006/relationships/hyperlink" Target="mailto:108582003@cc.ncu.edu.tw" TargetMode="External"/><Relationship Id="rId19" Type="http://schemas.openxmlformats.org/officeDocument/2006/relationships/image" Target="media/image9.png"/><Relationship Id="rId31" Type="http://schemas.openxmlformats.org/officeDocument/2006/relationships/hyperlink" Target="https://doi.org/10.1186/s13677-022-00278-6"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3390/s23249692" TargetMode="External"/><Relationship Id="rId35" Type="http://schemas.openxmlformats.org/officeDocument/2006/relationships/hyperlink" Target="https://doi.org/10.1109/ISMSIT52890.2021.9604746" TargetMode="External"/><Relationship Id="rId43" Type="http://schemas.openxmlformats.org/officeDocument/2006/relationships/hyperlink" Target="https://doi.org/10.1109/ICDCSW.2003.1203555" TargetMode="External"/><Relationship Id="rId48" Type="http://schemas.openxmlformats.org/officeDocument/2006/relationships/fontTable" Target="fontTable.xml"/><Relationship Id="rId8" Type="http://schemas.openxmlformats.org/officeDocument/2006/relationships/hyperlink" Target="mailto:pierre@g.ncu.edu.tw"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48550/arXiv.1306.1303" TargetMode="External"/><Relationship Id="rId38" Type="http://schemas.openxmlformats.org/officeDocument/2006/relationships/hyperlink" Target="https://doi.org/10.1007/978-3-642-17348-6_11" TargetMode="External"/><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5815/ijcnis.2014.10.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5969</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2</cp:revision>
  <cp:lastPrinted>2022-09-05T16:55:00Z</cp:lastPrinted>
  <dcterms:created xsi:type="dcterms:W3CDTF">2024-06-28T10:16:00Z</dcterms:created>
  <dcterms:modified xsi:type="dcterms:W3CDTF">2024-06-28T10:16:00Z</dcterms:modified>
</cp:coreProperties>
</file>