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An uncertainty-aware policy for capital preservation under regime stress</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Reinforcement-learning agents trained on financial price series are typically optimised for return rather than for downside-risk control. This dissertation studies whether a small, explicit forecast-uncertainty signal — produced by a DeepAR-style probabilistic long short-term memory network — can be injected into the standard Proximal Policy Optimization (PPO) pipeline to produce an agent whose dominant property is capital preservation rather than naive return maximisation. The contribution is twofold. First, an uncertainty-aware trading environment is formalised in which trade size is scaled by (1 - u_t) with a floor s_min, and risk-on entries are blocked when uncertainty exceeds a tenant-set quantile threshold tau. Second, a fully reproducible evaluation protocol is defined, with fixed train/validation/test splits over US equity index data (2009–2025), three random seeds, and a metric set comprising final value, annualised return and volatility, Sharpe ratio, max drawdown, the 95 % Value-at-Risk violation rate, and the capital-preservation ratio relative to the running high-watermark. On the held-out test window, the probabilistic agent meets the project objective (preservation &gt;= 0.95) and finishes above passive buy-and-hold, while the baseline PPO is essentially flat. The headline is qualified by an honest reading of max drawdown: the baseline only avoids drawdown because it never accumulates gains in the first place. All experiments, plots and reports are reproducible from the public repository, and a single Jupyter walkthrough notebook is provided for end-to-end inspection.</w:t>
      </w:r>
    </w:p>
    <w:p>
      <w:r>
        <w:rPr>
          <w:b w:val="0"/>
          <w:i/>
        </w:rPr>
        <w:t>Keywords: reinforcement learning, portfolio management,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 xml:space="preserve">Quantitative portfolio management has long been studied as a problem in optimisation under uncertainty. The Markowitz (1952) mean–variance framework formalised the trade-off between expected return and risk and remains the conceptual baseline against which subsequent advances are compared. Over the last decade deep reinforcement learning (DRL) has emerged as a flexible alternative: rather than solving an analytically constrained optimisation, an agent learns a control policy directly from interaction with a market environment. Closely related work — Jiang et al. (2017), Yang et al. (2020), and the FinRL library of Liu et al. (2021) — has demonstrated the feasibility of policy-gradient methods for portfolio control on equity, ETF and cryptocurrency data. </w:t>
      </w:r>
    </w:p>
    <w:p>
      <w:r>
        <w:rPr>
          <w:b w:val="0"/>
          <w:i w:val="0"/>
        </w:rPr>
        <w:t>However, two practical concerns remain under-addressed. First, the typical reward signal in this literature emphasises portfolio return, with risk only entering through indirect proxies such as volatility-adjusted reward shaping or post-hoc Sharpe evaluation. Second, the policies are usually trained on point-estimate features and do not see any explicit signal about how confident an underlying forecaster is in its own prediction. In a regime where forecast variance is unusually high — for example during macro-shock periods — the resulting agent has no native mechanism for restraint.</w:t>
      </w:r>
    </w:p>
    <w:p>
      <w:pPr>
        <w:pStyle w:val="Heading2"/>
      </w:pPr>
      <w:r>
        <w:rPr>
          <w:color w:val="000000"/>
        </w:rPr>
        <w:t>1.2 Problem statement</w:t>
      </w:r>
    </w:p>
    <w:p>
      <w:r>
        <w:rPr>
          <w:b w:val="0"/>
          <w:i w:val="0"/>
        </w:rPr>
        <w:t>This dissertation addresses the following question: can an explicit forecast-uncertainty signal, computed from a probabilistic recurrent network, be injected into a standard PPO pipeline so that the resulting agent preserves capital — formalised as the ratio of final portfolio value to the running high-watermark — under regime stress, while remaining competitive with passive benchmarks in calm regimes?</w:t>
      </w:r>
    </w:p>
    <w:p>
      <w:pPr>
        <w:pStyle w:val="Heading2"/>
      </w:pPr>
      <w:r>
        <w:rPr>
          <w:color w:val="000000"/>
        </w:rPr>
        <w:t>1.3 Aims and objectives</w:t>
      </w:r>
    </w:p>
    <w:p>
      <w:pPr>
        <w:pStyle w:val="ListBullet"/>
      </w:pPr>
      <w:r>
        <w:t>O1. Investigate whether explicit forecast uncertainty, modelled with a DeepAR-style probabilistic LSTM, can be injected into a PPO policy to produce risk-aware portfolio behaviour on US equity index data.</w:t>
      </w:r>
    </w:p>
    <w:p>
      <w:pPr>
        <w:pStyle w:val="ListBullet"/>
      </w:pPr>
      <w:r>
        <w:t>O2. Determine whether such an uncertainty-aware agent can preserve at least 95 % of its high-watermark portfolio value across a held-out test window that includes shock periods, relative to a baseline PPO and to passive buy-and-hold and all-cash benchmarks.</w:t>
      </w:r>
    </w:p>
    <w:p>
      <w:pPr>
        <w:pStyle w:val="ListBullet"/>
      </w:pPr>
      <w:r>
        <w:t>O3. Establish a reproducible evaluation protocol — fixed splits, fixed seeds, scripted artifacts, and a shared metric set — that supports honest comparison between agents.</w:t>
      </w:r>
    </w:p>
    <w:p>
      <w:pPr>
        <w:pStyle w:val="ListBullet"/>
      </w:pPr>
      <w:r>
        <w:t>O4. Recommend, on the strength of the above evidence, when an uncertainty signal should enter a portfolio control loop, including its failure modes and conditions under which it does not help.</w:t>
      </w:r>
    </w:p>
    <w:p>
      <w:pPr>
        <w:pStyle w:val="Heading2"/>
      </w:pPr>
      <w:r>
        <w:rPr>
          <w:color w:val="000000"/>
        </w:rPr>
        <w:t>1.4 Contributions</w:t>
      </w:r>
    </w:p>
    <w:p>
      <w:pPr>
        <w:pStyle w:val="ListBullet"/>
      </w:pPr>
      <w:r>
        <w:t>An uncertainty-aware trading environment in which trade size is scaled by (1 - u_t) with a floor s_min, and risk-on entries are blocked when uncertainty exceeds a quantile threshold tau (Section 3.5).</w:t>
      </w:r>
    </w:p>
    <w:p>
      <w:pPr>
        <w:pStyle w:val="ListBullet"/>
      </w:pPr>
      <w:r>
        <w:t>An end-to-end reproducible evaluation protocol with fixed splits, three random seeds, and a metric set centred on the capital-preservation ratio relative to the running high-watermark (Section 3.8).</w:t>
      </w:r>
    </w:p>
    <w:p>
      <w:pPr>
        <w:pStyle w:val="ListBullet"/>
      </w:pPr>
      <w:r>
        <w:t>A public, runnable Jupyter walkthrough that loads the dataset, fits the probabilistic forecaster, prints the uncertainty values, executes both agents, and renders the comparison table and equity curves with embedded outputs (Chapter 5; Appendix A).</w:t>
      </w:r>
    </w:p>
    <w:p>
      <w:pPr>
        <w:pStyle w:val="ListBullet"/>
      </w:pPr>
      <w:r>
        <w:t>An honest interpretation of the headline results that flags max-drawdown as a misleading single metric in this comparison and argues for the preservation ratio as the faithful comparator for the stated objective (Section 6.2).</w:t>
      </w:r>
    </w:p>
    <w:p>
      <w:pPr>
        <w:pStyle w:val="Heading2"/>
      </w:pPr>
      <w:r>
        <w:rPr>
          <w:color w:val="000000"/>
        </w:rPr>
        <w:t>1.5 Dissertation structure</w:t>
      </w:r>
    </w:p>
    <w:p>
      <w:r>
        <w:rPr>
          <w:b w:val="0"/>
          <w:i w:val="0"/>
        </w:rPr>
        <w:t>Chapter 2 reviews modern portfolio theory, the policy-gradient family of RL algorithms with a focus on PPO, prior DRL work in finance, probabilistic forecasting with DeepAR-style networks, and methods for uncertainty quantification in deep learning. Chapter 3 formalises the problem as a Markov decision process, derives the probabilistic forecaster, defines the trading environment, and states the precise mathematical difference between the baseline and the probabilistic agent. Chapter 4 describes the implementation, including the data pipeline, training procedure and reporting layer. Chapter 5 presents the experimental setup and results on the held-out test window. Chapter 6 discusses interpretation, trade-offs and limitations. Chapter 7 concludes and outlines future work.</w:t>
      </w:r>
    </w:p>
    <w:p>
      <w:r>
        <w:br w:type="page"/>
      </w:r>
    </w:p>
    <w:p>
      <w:pPr>
        <w:pStyle w:val="Heading1"/>
      </w:pPr>
      <w:r>
        <w:rPr>
          <w:color w:val="000000"/>
        </w:rPr>
        <w:t>Chapter 2 — Background and Related Work</w:t>
      </w:r>
    </w:p>
    <w:p>
      <w:pPr>
        <w:pStyle w:val="Heading2"/>
      </w:pPr>
      <w:r>
        <w:rPr>
          <w:color w:val="000000"/>
        </w:rPr>
        <w:t>2.1 Modern portfolio theory and capital preservation</w:t>
      </w:r>
    </w:p>
    <w:p>
      <w:r>
        <w:rPr>
          <w:b w:val="0"/>
          <w:i w:val="0"/>
        </w:rPr>
        <w:t>Markowitz (1952) framed portfolio choice as a quadratic optimisation problem under a joint return-and-variance objective and established the efficient frontier as the locus of admissible mean–variance trade-offs. Subsequent literature broadened this to include conditional value-at-risk, drawdown control and dynamic rebalancing. Capital preservation — operationalised here as the ratio of terminal value to the running high-watermark — is a different objective: it penalises any path that fails to retain the gains it has already realised. This framing is closer to the practical concerns of long-horizon investors and risk-constrained mandates than to pure mean–variance optimisation.</w:t>
      </w:r>
    </w:p>
    <w:p>
      <w:pPr>
        <w:pStyle w:val="Heading2"/>
      </w:pPr>
      <w:r>
        <w:rPr>
          <w:color w:val="000000"/>
        </w:rPr>
        <w:t>2.2 Reinforcement learning fundamentals</w:t>
      </w:r>
    </w:p>
    <w:p>
      <w:r>
        <w:rPr>
          <w:b w:val="0"/>
          <w:i w:val="0"/>
        </w:rPr>
        <w:t>An RL problem is a Markov decision process (S, A, P, R, gamma) consisting of a state space, an action space, a transition kernel, a reward function and a discount factor. Sutton &amp; Barto (2018) provide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1" name="Picture 1"/>
            <wp:cNvGraphicFramePr>
              <a:graphicFrameLocks noChangeAspect="1"/>
            </wp:cNvGraphicFramePr>
            <a:graphic>
              <a:graphicData uri="http://schemas.openxmlformats.org/drawingml/2006/picture">
                <pic:pic>
                  <pic:nvPicPr>
                    <pic:cNvPr id="0" name="eq_rl_objective.png"/>
                    <pic:cNvPicPr/>
                  </pic:nvPicPr>
                  <pic:blipFill>
                    <a:blip r:embed="rId9"/>
                    <a:stretch>
                      <a:fillRect/>
                    </a:stretch>
                  </pic:blipFill>
                  <pic:spPr>
                    <a:xfrm>
                      <a:off x="0" y="0"/>
                      <a:ext cx="4114800" cy="993586"/>
                    </a:xfrm>
                    <a:prstGeom prst="rect"/>
                  </pic:spPr>
                </pic:pic>
              </a:graphicData>
            </a:graphic>
          </wp:inline>
        </w:drawing>
      </w:r>
    </w:p>
    <w:p>
      <w:pPr>
        <w:jc w:val="center"/>
      </w:pPr>
      <w:r>
        <w:rPr>
          <w:i/>
          <w:sz w:val="20"/>
        </w:rPr>
        <w:t>Equation 2.1 — Discounted-return objective.</w:t>
      </w:r>
    </w:p>
    <w:p>
      <w:pPr>
        <w:pStyle w:val="Heading2"/>
      </w:pPr>
      <w:r>
        <w:rPr>
          <w:color w:val="000000"/>
        </w:rPr>
        <w:t>2.3 Policy-gradient methods and PPO</w:t>
      </w:r>
    </w:p>
    <w:p>
      <w:r>
        <w:rPr>
          <w:b w:val="0"/>
          <w:i w:val="0"/>
        </w:rPr>
        <w:t>Policy-gradient methods directly parameterise the policy and ascend the gradient of the objective with respect to its parameters. Vanilla policy gradient suffers from high variance and instability; trust-region methods address this by constraining the step size. Schulman et al. (2017) introduced Proximal Policy Optimization (PPO), which approximates a trust region via a clipped surrogate objective.</w:t>
      </w:r>
    </w:p>
    <w:p>
      <w:pPr>
        <w:jc w:val="center"/>
      </w:pPr>
      <w:r>
        <w:drawing>
          <wp:inline xmlns:a="http://schemas.openxmlformats.org/drawingml/2006/main" xmlns:pic="http://schemas.openxmlformats.org/drawingml/2006/picture">
            <wp:extent cx="4114800" cy="289470"/>
            <wp:docPr id="2" name="Picture 2"/>
            <wp:cNvGraphicFramePr>
              <a:graphicFrameLocks noChangeAspect="1"/>
            </wp:cNvGraphicFramePr>
            <a:graphic>
              <a:graphicData uri="http://schemas.openxmlformats.org/drawingml/2006/picture">
                <pic:pic>
                  <pic:nvPicPr>
                    <pic:cNvPr id="0" name="eq_ppo_clip.png"/>
                    <pic:cNvPicPr/>
                  </pic:nvPicPr>
                  <pic:blipFill>
                    <a:blip r:embed="rId10"/>
                    <a:stretch>
                      <a:fillRect/>
                    </a:stretch>
                  </pic:blipFill>
                  <pic:spPr>
                    <a:xfrm>
                      <a:off x="0" y="0"/>
                      <a:ext cx="4114800" cy="289470"/>
                    </a:xfrm>
                    <a:prstGeom prst="rect"/>
                  </pic:spPr>
                </pic:pic>
              </a:graphicData>
            </a:graphic>
          </wp:inline>
        </w:drawing>
      </w:r>
    </w:p>
    <w:p>
      <w:pPr>
        <w:jc w:val="center"/>
      </w:pPr>
      <w:r>
        <w:rPr>
          <w:i/>
          <w:sz w:val="20"/>
        </w:rPr>
        <w:t>Equation 2.2 — PPO clipped surrogate objective (Schulman et al., 2017).</w:t>
      </w:r>
    </w:p>
    <w:p>
      <w:r>
        <w:rPr>
          <w:b w:val="0"/>
          <w:i w:val="0"/>
        </w:rPr>
        <w:t>PPO has become the default policy-gradient choice in finance applications for two reasons: it is robust to hyper-parameter choice, and reliable open-source implementations exist, notably Stable-Baselines3 (Raffin et al., 2021). Both are used in this dissertation.</w:t>
      </w:r>
    </w:p>
    <w:p>
      <w:pPr>
        <w:pStyle w:val="Heading2"/>
      </w:pPr>
      <w:r>
        <w:rPr>
          <w:color w:val="000000"/>
        </w:rPr>
        <w:t>2.4 Reinforcement learning for portfolio management</w:t>
      </w:r>
    </w:p>
    <w:p>
      <w:r>
        <w:rPr>
          <w:b w:val="0"/>
          <w:i w:val="0"/>
        </w:rPr>
        <w:t>Jiang et al. (2017) propose an end-to-end DRL framework for cryptocurrency portfolio selection, using a CNN-based feature extractor and a policy directly over portfolio weights. Yang et al. (2020) extend this to US equities with an ensemble of A2C, PPO and DDPG agents, training on different market regimes. Liu et al. (2021) introduce FinRL, a library that standardises gym-like trading environments and exposes a single API for multiple algorithms. None of these contributions inject explicit forecast uncertainty into the policy state or use the uncertainty as a trading guard. That gap is the focus of the present dissertation.</w:t>
      </w:r>
    </w:p>
    <w:p>
      <w:pPr>
        <w:pStyle w:val="Heading2"/>
      </w:pPr>
      <w:r>
        <w:rPr>
          <w:color w:val="000000"/>
        </w:rPr>
        <w:t>2.5 Probabilistic time-series forecasting</w:t>
      </w:r>
    </w:p>
    <w:p>
      <w:r>
        <w:rPr>
          <w:b w:val="0"/>
          <w:i w:val="0"/>
        </w:rPr>
        <w:t>Salinas et al. (2020) propose DeepAR, an autoregressive recurrent neural network trained to maximise the likelihood of the observed data under a chosen output distribution. The architectural backbone is a stacked long short-term memory (LSTM) network (Hochreiter &amp; Schmidhuber, 1997). For a Gaussian output, the network emits (mu, log sigma^2) at each step.</w:t>
      </w:r>
    </w:p>
    <w:p>
      <w:pPr>
        <w:jc w:val="center"/>
      </w:pPr>
      <w:r>
        <w:drawing>
          <wp:inline xmlns:a="http://schemas.openxmlformats.org/drawingml/2006/main" xmlns:pic="http://schemas.openxmlformats.org/drawingml/2006/picture">
            <wp:extent cx="4114800" cy="667493"/>
            <wp:docPr id="3" name="Picture 3"/>
            <wp:cNvGraphicFramePr>
              <a:graphicFrameLocks noChangeAspect="1"/>
            </wp:cNvGraphicFramePr>
            <a:graphic>
              <a:graphicData uri="http://schemas.openxmlformats.org/drawingml/2006/picture">
                <pic:pic>
                  <pic:nvPicPr>
                    <pic:cNvPr id="0" name="eq_gaussian_nll.png"/>
                    <pic:cNvPicPr/>
                  </pic:nvPicPr>
                  <pic:blipFill>
                    <a:blip r:embed="rId11"/>
                    <a:stretch>
                      <a:fillRect/>
                    </a:stretch>
                  </pic:blipFill>
                  <pic:spPr>
                    <a:xfrm>
                      <a:off x="0" y="0"/>
                      <a:ext cx="4114800" cy="667493"/>
                    </a:xfrm>
                    <a:prstGeom prst="rect"/>
                  </pic:spPr>
                </pic:pic>
              </a:graphicData>
            </a:graphic>
          </wp:inline>
        </w:drawing>
      </w:r>
    </w:p>
    <w:p>
      <w:pPr>
        <w:jc w:val="center"/>
      </w:pPr>
      <w:r>
        <w:rPr>
          <w:i/>
          <w:sz w:val="20"/>
        </w:rPr>
        <w:t>Equation 2.3 — Gaussian negative log-likelihood loss used to train the probabilistic forecaster.</w:t>
      </w:r>
    </w:p>
    <w:p>
      <w:pPr>
        <w:pStyle w:val="Heading2"/>
      </w:pPr>
      <w:r>
        <w:rPr>
          <w:color w:val="000000"/>
        </w:rPr>
        <w:t>2.6 Uncertainty estimation in deep learning</w:t>
      </w:r>
    </w:p>
    <w:p>
      <w:r>
        <w:rPr>
          <w:b w:val="0"/>
          <w:i w:val="0"/>
        </w:rPr>
        <w:t>Two practical techniques dominate the literature on uncertainty in neural networks. Deep ensembles (Lakshminarayanan, Pritzel &amp; Blundell, 2017) train several independent networks and use their predictive disagreement as an uncertainty proxy. Monte-Carlo dropout (Gal &amp; Ghahramani, 2016) interprets dropout at inference time as a variational approximation to a Bayesian posterior. The DeepAR likelihood used in this dissertation is a third route: the network directly emits a predictive variance, which is trained by the Gaussian NLL above. This is the most parsimonious choice for the present setup because the uncertainty consumed by the policy is one-dimensional and continuous.</w:t>
      </w:r>
    </w:p>
    <w:p>
      <w:pPr>
        <w:pStyle w:val="Heading2"/>
      </w:pPr>
      <w:r>
        <w:rPr>
          <w:color w:val="000000"/>
        </w:rPr>
        <w:t>2.7 Gap and positioning</w:t>
      </w:r>
    </w:p>
    <w:p>
      <w:r>
        <w:rPr>
          <w:b w:val="0"/>
          <w:i w:val="0"/>
        </w:rPr>
        <w:t>The gap addressed in this dissertation is the absence, in prior DRL-for-finance work, of an explicit, model-based uncertainty signal that (i) augments the policy state and (ii) is also used as a hard guard on risk-on actions. Section 3.7 makes the precise mathematical difference from a standard PPO baseline explicit; Section 5 evaluates the difference empirically.</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formalised as a Markov decision process. The state at step t is a concatenation of the last L log-returns of the underlying asset, the current normalised position size and (for the probabilistic agent only) the uncertainty score u_t. The action is a scalar a_t in [-1, 1] that, after scaling by the configurable max trade fraction f_max, prescribes a fraction of cash to deploy on the buy side or to liquidate on the sell side. Transactions are subject to a transaction-cost rate c. The reward is the scaled log-growth of portfolio value.</w:t>
      </w:r>
    </w:p>
    <w:p>
      <w:pPr>
        <w:jc w:val="center"/>
      </w:pPr>
      <w:r>
        <w:drawing>
          <wp:inline xmlns:a="http://schemas.openxmlformats.org/drawingml/2006/main" xmlns:pic="http://schemas.openxmlformats.org/drawingml/2006/picture">
            <wp:extent cx="4114800" cy="460063"/>
            <wp:docPr id="4" name="Picture 4"/>
            <wp:cNvGraphicFramePr>
              <a:graphicFrameLocks noChangeAspect="1"/>
            </wp:cNvGraphicFramePr>
            <a:graphic>
              <a:graphicData uri="http://schemas.openxmlformats.org/drawingml/2006/picture">
                <pic:pic>
                  <pic:nvPicPr>
                    <pic:cNvPr id="0" name="eq_reward.png"/>
                    <pic:cNvPicPr/>
                  </pic:nvPicPr>
                  <pic:blipFill>
                    <a:blip r:embed="rId12"/>
                    <a:stretch>
                      <a:fillRect/>
                    </a:stretch>
                  </pic:blipFill>
                  <pic:spPr>
                    <a:xfrm>
                      <a:off x="0" y="0"/>
                      <a:ext cx="4114800" cy="460063"/>
                    </a:xfrm>
                    <a:prstGeom prst="rect"/>
                  </pic:spPr>
                </pic:pic>
              </a:graphicData>
            </a:graphic>
          </wp:inline>
        </w:drawing>
      </w:r>
    </w:p>
    <w:p>
      <w:pPr>
        <w:jc w:val="center"/>
      </w:pPr>
      <w:r>
        <w:rPr>
          <w:i/>
          <w:sz w:val="20"/>
        </w:rPr>
        <w:t>Equation 3.1 — Per-step reward, with cash B_t and shares n_t at price p_t.</w:t>
      </w:r>
    </w:p>
    <w:p>
      <w:pPr>
        <w:pStyle w:val="Heading2"/>
      </w:pPr>
      <w:r>
        <w:rPr>
          <w:color w:val="000000"/>
        </w:rPr>
        <w:t>3.2 Data and preprocessing</w:t>
      </w:r>
    </w:p>
    <w:p>
      <w:r>
        <w:rPr>
          <w:b w:val="0"/>
          <w:i w:val="0"/>
        </w:rPr>
        <w:t>Daily adjusted close prices are sourced from Yahoo Finance via the yfinance Python package. The Phase-1 universe is SPY (S&amp;P 500 ETF), with QQQ queued for the Phase-2 robustness work. Two pre-defined shock windows — the COVID crash (February to June 2020) and the onset of the Russia–Ukraine war (February to September 2022) — are fixed in the protocol and used in stress evaluation. The continuous price series is transformed into log-returns; the LSTM forecaster operates on supervised sequences of length L = 20.</w:t>
      </w:r>
    </w:p>
    <w:p>
      <w:pPr>
        <w:jc w:val="center"/>
      </w:pPr>
      <w:r>
        <w:drawing>
          <wp:inline xmlns:a="http://schemas.openxmlformats.org/drawingml/2006/main" xmlns:pic="http://schemas.openxmlformats.org/drawingml/2006/picture">
            <wp:extent cx="4114800" cy="227687"/>
            <wp:docPr id="5" name="Picture 5"/>
            <wp:cNvGraphicFramePr>
              <a:graphicFrameLocks noChangeAspect="1"/>
            </wp:cNvGraphicFramePr>
            <a:graphic>
              <a:graphicData uri="http://schemas.openxmlformats.org/drawingml/2006/picture">
                <pic:pic>
                  <pic:nvPicPr>
                    <pic:cNvPr id="0" name="eq_returns_seq.png"/>
                    <pic:cNvPicPr/>
                  </pic:nvPicPr>
                  <pic:blipFill>
                    <a:blip r:embed="rId13"/>
                    <a:stretch>
                      <a:fillRect/>
                    </a:stretch>
                  </pic:blipFill>
                  <pic:spPr>
                    <a:xfrm>
                      <a:off x="0" y="0"/>
                      <a:ext cx="4114800" cy="227687"/>
                    </a:xfrm>
                    <a:prstGeom prst="rect"/>
                  </pic:spPr>
                </pic:pic>
              </a:graphicData>
            </a:graphic>
          </wp:inline>
        </w:drawing>
      </w:r>
    </w:p>
    <w:p>
      <w:pPr>
        <w:jc w:val="center"/>
      </w:pPr>
      <w:r>
        <w:rPr>
          <w:i/>
          <w:sz w:val="20"/>
        </w:rPr>
        <w:t>Equation 3.2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emitting the predictive mean and the log of the predictive variance:</w:t>
      </w:r>
    </w:p>
    <w:p>
      <w:pPr>
        <w:jc w:val="center"/>
      </w:pPr>
      <w:r>
        <w:drawing>
          <wp:inline xmlns:a="http://schemas.openxmlformats.org/drawingml/2006/main" xmlns:pic="http://schemas.openxmlformats.org/drawingml/2006/picture">
            <wp:extent cx="4114800" cy="247231"/>
            <wp:docPr id="6" name="Picture 6"/>
            <wp:cNvGraphicFramePr>
              <a:graphicFrameLocks noChangeAspect="1"/>
            </wp:cNvGraphicFramePr>
            <a:graphic>
              <a:graphicData uri="http://schemas.openxmlformats.org/drawingml/2006/picture">
                <pic:pic>
                  <pic:nvPicPr>
                    <pic:cNvPr id="0" name="eq_lstm_arch.png"/>
                    <pic:cNvPicPr/>
                  </pic:nvPicPr>
                  <pic:blipFill>
                    <a:blip r:embed="rId14"/>
                    <a:stretch>
                      <a:fillRect/>
                    </a:stretch>
                  </pic:blipFill>
                  <pic:spPr>
                    <a:xfrm>
                      <a:off x="0" y="0"/>
                      <a:ext cx="4114800" cy="247231"/>
                    </a:xfrm>
                    <a:prstGeom prst="rect"/>
                  </pic:spPr>
                </pic:pic>
              </a:graphicData>
            </a:graphic>
          </wp:inline>
        </w:drawing>
      </w:r>
    </w:p>
    <w:p>
      <w:pPr>
        <w:jc w:val="center"/>
      </w:pPr>
      <w:r>
        <w:rPr>
          <w:i/>
          <w:sz w:val="20"/>
        </w:rPr>
        <w:t>Equation 3.3 — DeepAR-style LSTM architecture used in this dissertation.</w:t>
      </w:r>
    </w:p>
    <w:p>
      <w:r>
        <w:rPr>
          <w:b w:val="0"/>
          <w:i w:val="0"/>
        </w:rPr>
        <w:t>Training uses the Gaussian NLL loss in Equation 2.3 and the Adam optimiser at learning rate 1e-3 for 20 epochs.</w:t>
      </w:r>
    </w:p>
    <w:p>
      <w:pPr>
        <w:pStyle w:val="Heading2"/>
      </w:pPr>
      <w:r>
        <w:rPr>
          <w:color w:val="000000"/>
        </w:rPr>
        <w:t>3.4 Uncertainty score</w:t>
      </w:r>
    </w:p>
    <w:p>
      <w:r>
        <w:rPr>
          <w:b w:val="0"/>
          <w:i w:val="0"/>
        </w:rPr>
        <w:t>At inference,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7" name="Picture 7"/>
            <wp:cNvGraphicFramePr>
              <a:graphicFrameLocks noChangeAspect="1"/>
            </wp:cNvGraphicFramePr>
            <a:graphic>
              <a:graphicData uri="http://schemas.openxmlformats.org/drawingml/2006/picture">
                <pic:pic>
                  <pic:nvPicPr>
                    <pic:cNvPr id="0" name="eq_uncertainty.png"/>
                    <pic:cNvPicPr/>
                  </pic:nvPicPr>
                  <pic:blipFill>
                    <a:blip r:embed="rId15"/>
                    <a:stretch>
                      <a:fillRect/>
                    </a:stretch>
                  </pic:blipFill>
                  <pic:spPr>
                    <a:xfrm>
                      <a:off x="0" y="0"/>
                      <a:ext cx="4114800" cy="724268"/>
                    </a:xfrm>
                    <a:prstGeom prst="rect"/>
                  </pic:spPr>
                </pic:pic>
              </a:graphicData>
            </a:graphic>
          </wp:inline>
        </w:drawing>
      </w:r>
    </w:p>
    <w:p>
      <w:pPr>
        <w:jc w:val="center"/>
      </w:pPr>
      <w:r>
        <w:rPr>
          <w:i/>
          <w:sz w:val="20"/>
        </w:rPr>
        <w:t>Equation 3.4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is two extra terms in the trade-size computation that the probabilistic agent uses. With cash balance B_t, max trade fraction f_max = 0.10, raw policy action a_t in [-1, 1], uncertainty u_t in [0, 1], threshold tau equal to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8" name="Picture 8"/>
            <wp:cNvGraphicFramePr>
              <a:graphicFrameLocks noChangeAspect="1"/>
            </wp:cNvGraphicFramePr>
            <a:graphic>
              <a:graphicData uri="http://schemas.openxmlformats.org/drawingml/2006/picture">
                <pic:pic>
                  <pic:nvPicPr>
                    <pic:cNvPr id="0" name="eq_baseline_trade.png"/>
                    <pic:cNvPicPr/>
                  </pic:nvPicPr>
                  <pic:blipFill>
                    <a:blip r:embed="rId16"/>
                    <a:stretch>
                      <a:fillRect/>
                    </a:stretch>
                  </pic:blipFill>
                  <pic:spPr>
                    <a:xfrm>
                      <a:off x="0" y="0"/>
                      <a:ext cx="4114800" cy="752889"/>
                    </a:xfrm>
                    <a:prstGeom prst="rect"/>
                  </pic:spPr>
                </pic:pic>
              </a:graphicData>
            </a:graphic>
          </wp:inline>
        </w:drawing>
      </w:r>
    </w:p>
    <w:p>
      <w:pPr>
        <w:jc w:val="center"/>
      </w:pPr>
      <w:r>
        <w:rPr>
          <w:i/>
          <w:sz w:val="20"/>
        </w:rPr>
        <w:t>Equation 3.5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9" name="Picture 9"/>
            <wp:cNvGraphicFramePr>
              <a:graphicFrameLocks noChangeAspect="1"/>
            </wp:cNvGraphicFramePr>
            <a:graphic>
              <a:graphicData uri="http://schemas.openxmlformats.org/drawingml/2006/picture">
                <pic:pic>
                  <pic:nvPicPr>
                    <pic:cNvPr id="0" name="eq_probabilistic_trade.png"/>
                    <pic:cNvPicPr/>
                  </pic:nvPicPr>
                  <pic:blipFill>
                    <a:blip r:embed="rId17"/>
                    <a:stretch>
                      <a:fillRect/>
                    </a:stretch>
                  </pic:blipFill>
                  <pic:spPr>
                    <a:xfrm>
                      <a:off x="0" y="0"/>
                      <a:ext cx="4114800" cy="215205"/>
                    </a:xfrm>
                    <a:prstGeom prst="rect"/>
                  </pic:spPr>
                </pic:pic>
              </a:graphicData>
            </a:graphic>
          </wp:inline>
        </w:drawing>
      </w:r>
    </w:p>
    <w:p>
      <w:pPr>
        <w:jc w:val="center"/>
      </w:pPr>
      <w:r>
        <w:rPr>
          <w:i/>
          <w:sz w:val="20"/>
        </w:rPr>
        <w:t>Equation 3.6 — Probabilistic PPO trade size with the trade-scaling factor and the risk-on guard.</w:t>
      </w:r>
    </w:p>
    <w:p>
      <w:r>
        <w:rPr>
          <w:b w:val="0"/>
          <w:i w:val="0"/>
        </w:rPr>
        <w:t>Equation 3.6 is the mathematical contribution of this dissertation. The first extra factor — the trade-scaling term — shrinks every trade in proportion to the current forecast uncertainty, with a floor that prevents the agent from being silenced entirely. The second term is a hard guard: when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0" name="Picture 10"/>
            <wp:cNvGraphicFramePr>
              <a:graphicFrameLocks noChangeAspect="1"/>
            </wp:cNvGraphicFramePr>
            <a:graphic>
              <a:graphicData uri="http://schemas.openxmlformats.org/drawingml/2006/picture">
                <pic:pic>
                  <pic:nvPicPr>
                    <pic:cNvPr id="0" name="uncertainty_signal.png"/>
                    <pic:cNvPicPr/>
                  </pic:nvPicPr>
                  <pic:blipFill>
                    <a:blip r:embed="rId18"/>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The only differences are the absence of the uncertainty coordinate from the state and the absence of the two extra factors in Equation 3.6.</w:t>
      </w:r>
    </w:p>
    <w:p>
      <w:pPr>
        <w:pStyle w:val="Heading2"/>
      </w:pPr>
      <w:r>
        <w:rPr>
          <w:color w:val="000000"/>
        </w:rPr>
        <w:t>3.7 Evaluation protocol</w:t>
      </w:r>
    </w:p>
    <w:p>
      <w:r>
        <w:rPr>
          <w:b w:val="0"/>
          <w:i w:val="0"/>
        </w:rPr>
        <w:t>The protocol fixes splits 2009–2018 / 2019–2021 / 2022–2025 (train / validation / test). Three random seeds {7, 19, 42} are used for both the baseline and the probabilistic agent. Benchmarks are buy-and-hold of SPY at the start of the test window and an all-cash position. The metric set is: final portfolio value, annualised return and volatility, Sharpe ratio, max drawdown, the 95 % Value-at-Risk and the rate at which the realised log-return falls below it, and the capital-preservation ratio relative to the running high-watermark.</w:t>
      </w:r>
    </w:p>
    <w:p>
      <w:pPr>
        <w:jc w:val="center"/>
      </w:pPr>
      <w:r>
        <w:drawing>
          <wp:inline xmlns:a="http://schemas.openxmlformats.org/drawingml/2006/main" xmlns:pic="http://schemas.openxmlformats.org/drawingml/2006/picture">
            <wp:extent cx="4114800" cy="504417"/>
            <wp:docPr id="11" name="Picture 11"/>
            <wp:cNvGraphicFramePr>
              <a:graphicFrameLocks noChangeAspect="1"/>
            </wp:cNvGraphicFramePr>
            <a:graphic>
              <a:graphicData uri="http://schemas.openxmlformats.org/drawingml/2006/picture">
                <pic:pic>
                  <pic:nvPicPr>
                    <pic:cNvPr id="0" name="eq_preservation.png"/>
                    <pic:cNvPicPr/>
                  </pic:nvPicPr>
                  <pic:blipFill>
                    <a:blip r:embed="rId19"/>
                    <a:stretch>
                      <a:fillRect/>
                    </a:stretch>
                  </pic:blipFill>
                  <pic:spPr>
                    <a:xfrm>
                      <a:off x="0" y="0"/>
                      <a:ext cx="4114800" cy="504417"/>
                    </a:xfrm>
                    <a:prstGeom prst="rect"/>
                  </pic:spPr>
                </pic:pic>
              </a:graphicData>
            </a:graphic>
          </wp:inline>
        </w:drawing>
      </w:r>
    </w:p>
    <w:p>
      <w:pPr>
        <w:jc w:val="center"/>
      </w:pPr>
      <w:r>
        <w:rPr>
          <w:i/>
          <w:sz w:val="20"/>
        </w:rPr>
        <w:t>Equation 3.7 — Capital-preservation ratio (the project's headline objective).</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(LSTM with two linear heads, trained with Gaussian NLL).</w:t>
      </w:r>
    </w:p>
    <w:p>
      <w:pPr>
        <w:pStyle w:val="ListBullet"/>
      </w:pPr>
      <w:r>
        <w:t>Data: yfinance for daily adjusted close, pandas for tabular handling.</w:t>
      </w:r>
    </w:p>
    <w:p>
      <w:pPr>
        <w:pStyle w:val="ListBullet"/>
      </w:pPr>
      <w:r>
        <w:t>Reporting: matplotlib for figures; small Python scripts for the metric tables and the supervisor pack; nbconvert for the walkthrough notebook PDF.</w:t>
      </w:r>
    </w:p>
    <w:p>
      <w:pPr>
        <w:pStyle w:val="Heading2"/>
      </w:pPr>
      <w:r>
        <w:rPr>
          <w:color w:val="000000"/>
        </w:rPr>
        <w:t>4.2 Repository structure</w:t>
      </w:r>
    </w:p>
    <w:p>
      <w:pPr>
        <w:pStyle w:val="ListBullet"/>
      </w:pPr>
      <w:r>
        <w:t>experiments/configs/dissertation_protocol.json — single source of truth for the protocol (splits, seeds, metric list, agent hyper-parameters).</w:t>
      </w:r>
    </w:p>
    <w:p>
      <w:pPr>
        <w:pStyle w:val="ListBullet"/>
      </w:pPr>
      <w:r>
        <w:t>experiments/common.py — environment, metric computation, data fetch and seed helpers.</w:t>
      </w:r>
    </w:p>
    <w:p>
      <w:pPr>
        <w:pStyle w:val="ListBullet"/>
      </w:pPr>
      <w:r>
        <w:t>experiments/run_baseline.py, run_probabilistic_agent.py, run_benchmarks.py — the three runners producing seeded artifacts.</w:t>
      </w:r>
    </w:p>
    <w:p>
      <w:pPr>
        <w:pStyle w:val="ListBullet"/>
      </w:pPr>
      <w:r>
        <w:t>experiments/results/ — generated CSV/JSON metric files and equity-curve series.</w:t>
      </w:r>
    </w:p>
    <w:p>
      <w:pPr>
        <w:pStyle w:val="ListBullet"/>
      </w:pPr>
      <w:r>
        <w:t>reports/build_supervisor_pack.py, generate_dissertation_report.py, plot_dissertation_visuals.py, build_dissertation_docx.py — reporting layer.</w:t>
      </w:r>
    </w:p>
    <w:p>
      <w:pPr>
        <w:pStyle w:val="ListBullet"/>
      </w:pPr>
      <w:r>
        <w:t>Dissertation_Walkthrough.ipynb — single-file end-to-end walkthrough used by the supervisor.</w:t>
      </w:r>
    </w:p>
    <w:p>
      <w:pPr>
        <w:pStyle w:val="Heading2"/>
      </w:pPr>
      <w:r>
        <w:rPr>
          <w:color w:val="000000"/>
        </w:rPr>
        <w:t>4.3 Reproducibility</w:t>
      </w:r>
    </w:p>
    <w:p>
      <w:r>
        <w:rPr>
          <w:b w:val="0"/>
          <w:i w:val="0"/>
        </w:rPr>
        <w:t>Reproducibility is treated as a first-class engineering concern. Every script reads the protocol JSON; the seeds {7, 19, 42} are set globally before each run; the results land in time-stamped JSON and CSV files. The reporting layer always reads the latest results, so a re-run automatically refreshes both the supervisor pack and the walkthrough outputs.</w:t>
      </w:r>
    </w:p>
    <w:p>
      <w:r>
        <w:br w:type="page"/>
      </w:r>
    </w:p>
    <w:p>
      <w:pPr>
        <w:pStyle w:val="Heading1"/>
      </w:pPr>
      <w:r>
        <w:rPr>
          <w:color w:val="000000"/>
        </w:rPr>
        <w:t>Chapter 5 — Results</w:t>
      </w:r>
    </w:p>
    <w:p>
      <w:pPr>
        <w:pStyle w:val="Heading2"/>
      </w:pPr>
      <w:r>
        <w:rPr>
          <w:color w:val="000000"/>
        </w:rPr>
        <w:t>5.1 Experimental setup</w:t>
      </w:r>
    </w:p>
    <w:p>
      <w:r>
        <w:rPr>
          <w:b w:val="0"/>
          <w:i w:val="0"/>
        </w:rPr>
        <w:t>The numbers reported below are means across the three seeds for the seeded agents and deterministic curves for the benchmarks, all on the held-out test window 2022-01-01 to 2025-12-31. The dataset characterisation in Figure 5.1 corresponds to the SPY adjusted close that drives every comparison in this chapter.</w:t>
      </w:r>
    </w:p>
    <w:p>
      <w:pPr>
        <w:jc w:val="center"/>
      </w:pPr>
      <w:r>
        <w:drawing>
          <wp:inline xmlns:a="http://schemas.openxmlformats.org/drawingml/2006/main" xmlns:pic="http://schemas.openxmlformats.org/drawingml/2006/picture">
            <wp:extent cx="5029200" cy="2011680"/>
            <wp:docPr id="12" name="Picture 12"/>
            <wp:cNvGraphicFramePr>
              <a:graphicFrameLocks noChangeAspect="1"/>
            </wp:cNvGraphicFramePr>
            <a:graphic>
              <a:graphicData uri="http://schemas.openxmlformats.org/drawingml/2006/picture">
                <pic:pic>
                  <pic:nvPicPr>
                    <pic:cNvPr id="0" name="dataset_spy_close.png"/>
                    <pic:cNvPicPr/>
                  </pic:nvPicPr>
                  <pic:blipFill>
                    <a:blip r:embed="rId20"/>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showed the normalised uncertainty signal that the probabilistic agent consumes; high-uncertainty bands cluster in regions of elevated realised volatility, as one would hope. Concrete summary statistics — minimum, mean, maximum and the 80th-percentile threshold tau — are printed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$1,618,577</w:t>
            </w:r>
          </w:p>
        </w:tc>
        <w:tc>
          <w:tcPr>
            <w:tcW w:type="dxa" w:w="1568"/>
            <w:vAlign w:val="center"/>
          </w:tcPr>
          <w:p>
            <w:r>
              <w:t>+0.8511</w:t>
            </w:r>
          </w:p>
        </w:tc>
        <w:tc>
          <w:tcPr>
            <w:tcW w:type="dxa" w:w="1568"/>
            <w:vAlign w:val="center"/>
          </w:tcPr>
          <w:p>
            <w:r>
              <w:t>0.1833</w:t>
            </w:r>
          </w:p>
        </w:tc>
        <w:tc>
          <w:tcPr>
            <w:tcW w:type="dxa" w:w="1568"/>
            <w:vAlign w:val="center"/>
          </w:tcPr>
          <w:p>
            <w:r>
              <w:t>0.0500</w:t>
            </w:r>
          </w:p>
        </w:tc>
        <w:tc>
          <w:tcPr>
            <w:tcW w:type="dxa" w:w="1568"/>
            <w:vAlign w:val="center"/>
          </w:tcPr>
          <w:p>
            <w:r>
              <w:t>0.9965</w:t>
            </w:r>
          </w:p>
        </w:tc>
      </w:tr>
      <w:tr>
        <w:tc>
          <w:tcPr>
            <w:tcW w:type="dxa" w:w="1568"/>
            <w:vAlign w:val="center"/>
          </w:tcPr>
          <w:p>
            <w:r>
              <w:t>Buy-and-hold (SPY)</w:t>
            </w:r>
          </w:p>
        </w:tc>
        <w:tc>
          <w:tcPr>
            <w:tcW w:type="dxa" w:w="1568"/>
            <w:vAlign w:val="center"/>
          </w:tcPr>
          <w:p>
            <w:r>
              <w:t>$1,520,353</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Reading from the table: the baseline PPO ends near initial capital with a negative Sharpe; the probabilistic PPO finishes meaningfully above passive buy-and-hold, with a positive Sharpe and a preservation ratio above 0.99; the all-cash benchmark is constant by construction and serves as a sanity check on the metric definitions.</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13" name="Picture 13"/>
            <wp:cNvGraphicFramePr>
              <a:graphicFrameLocks noChangeAspect="1"/>
            </wp:cNvGraphicFramePr>
            <a:graphic>
              <a:graphicData uri="http://schemas.openxmlformats.org/drawingml/2006/picture">
                <pic:pic>
                  <pic:nvPicPr>
                    <pic:cNvPr id="0" name="equity_curve_comparison.png"/>
                    <pic:cNvPicPr/>
                  </pic:nvPicPr>
                  <pic:blipFill>
                    <a:blip r:embed="rId21"/>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14" name="Picture 14"/>
            <wp:cNvGraphicFramePr>
              <a:graphicFrameLocks noChangeAspect="1"/>
            </wp:cNvGraphicFramePr>
            <a:graphic>
              <a:graphicData uri="http://schemas.openxmlformats.org/drawingml/2006/picture">
                <pic:pic>
                  <pic:nvPicPr>
                    <pic:cNvPr id="0" name="final_value_comparison.png"/>
                    <pic:cNvPicPr/>
                  </pic:nvPicPr>
                  <pic:blipFill>
                    <a:blip r:embed="rId22"/>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project's headline objective on the test window: the preservation ratio (Equation 3.7) sits comfortably above 0.95 across the three seeds, and the agent finishes above the passive buy-and-hold benchmark. Crucially, this is achieved with the same RL solver and the same training budget as the baseline: the only change is the two extra terms in Equation 3.6 and the additional uncertainty coordinate in the state.</w:t>
      </w:r>
    </w:p>
    <w:p>
      <w:pPr>
        <w:pStyle w:val="Heading2"/>
      </w:pPr>
      <w:r>
        <w:rPr>
          <w:color w:val="000000"/>
        </w:rPr>
        <w:t>6.2 Reading max drawdown carefully</w:t>
      </w:r>
    </w:p>
    <w:p>
      <w:r>
        <w:rPr>
          <w:b w:val="0"/>
          <w:i w:val="0"/>
        </w:rPr>
        <w:t>Max drawdown is the most commonly misread number in this comparison. The baseline agent reports a small drawdown only because it never compounds significantly above initial capital; there is little to draw down from. The probabilistic agent, in contrast, first compounds to a higher peak and then loses some of that gain — but even at its trough remains well above the baseline's terminal value. Where the goal is capital preservation rather than minimum drawdown of a flat line, the preservation ratio is the faithful comparator.</w:t>
      </w:r>
    </w:p>
    <w:p>
      <w:pPr>
        <w:pStyle w:val="Heading2"/>
      </w:pPr>
      <w:r>
        <w:rPr>
          <w:color w:val="000000"/>
        </w:rPr>
        <w:t>6.3 Limitations</w:t>
      </w:r>
    </w:p>
    <w:p>
      <w:pPr>
        <w:pStyle w:val="ListBullet"/>
      </w:pPr>
      <w:r>
        <w:t>Single asset. Phase 1 uses SPY only; Phase 2 will run the same protocol on QQQ and a small set of sector ETFs.</w:t>
      </w:r>
    </w:p>
    <w:p>
      <w:pPr>
        <w:pStyle w:val="ListBullet"/>
      </w:pPr>
      <w:r>
        <w:t>Daily granularity. Intraday dynamics are out of scope; the trade-size scaling and risk-on guard would need re-calibration at minute or tick granularity.</w:t>
      </w:r>
    </w:p>
    <w:p>
      <w:pPr>
        <w:pStyle w:val="ListBullet"/>
      </w:pPr>
      <w:r>
        <w:t>One uncertainty estimator. The DeepAR-style Gaussian likelihood is one of several routes (deep ensembles, MC dropout, conformal predictors). A small sensitivity comparison is planned.</w:t>
      </w:r>
    </w:p>
    <w:p>
      <w:pPr>
        <w:pStyle w:val="ListBullet"/>
      </w:pPr>
      <w:r>
        <w:t>Three seeds. Sufficient for indicative results, not for tight confidence intervals.</w:t>
      </w:r>
    </w:p>
    <w:p>
      <w:pPr>
        <w:pStyle w:val="ListBullet"/>
      </w:pPr>
      <w:r>
        <w:t>No live trading. By design — the dissertation prioritises scientific evaluation and reproducibility over execution.</w:t>
      </w:r>
    </w:p>
    <w:p>
      <w:pPr>
        <w:pStyle w:val="Heading2"/>
      </w:pPr>
      <w:r>
        <w:rPr>
          <w:color w:val="000000"/>
        </w:rPr>
        <w:t>6.4 Threats to validity</w:t>
      </w:r>
    </w:p>
    <w:p>
      <w:r>
        <w:rPr>
          <w:b w:val="0"/>
          <w:i w:val="0"/>
        </w:rPr>
        <w:t>Two threats merit explicit treatment. First, the test window is finite and includes specific macro events; the uncertainty thresholds were chosen prospectively from the protocol rather than tuned on the test window, but a longer evaluation across more regimes is needed before strong claims. Second, the comparison rests on the metric set in Section 3.8; agents tuned for any single metric — for example, max drawdown alone — would behave differently. The preservation-versus-HWM framing is consistent with the project objective and is reported alongside the standard metrics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shown that a small, explicit forecast-uncertainty signal — produced by a DeepAR-style probabilistic LSTM and consumed by a standard PPO policy via the two extra terms in Equation 3.6 — is sufficient to convert a return-seeking RL agent into one that prioritises capital preservation. On the held-out test window, the probabilistic agent meets the &gt;= 0.95 preservation objective, finishes above the passive buy-and-hold benchmark, and improves Sharpe substantially relative to the baseline.</w:t>
      </w:r>
    </w:p>
    <w:p>
      <w:pPr>
        <w:pStyle w:val="Heading2"/>
      </w:pPr>
      <w:r>
        <w:rPr>
          <w:color w:val="000000"/>
        </w:rPr>
        <w:t>7.2 Future work</w:t>
      </w:r>
    </w:p>
    <w:p>
      <w:pPr>
        <w:pStyle w:val="ListBullet"/>
      </w:pPr>
      <w:r>
        <w:t>Multi-asset robustness. Run the same protocol on QQQ and a basket of sector ETFs; report per-asset and pooled results.</w:t>
      </w:r>
    </w:p>
    <w:p>
      <w:pPr>
        <w:pStyle w:val="ListBullet"/>
      </w:pPr>
      <w:r>
        <w:t>Shock-window evaluation. Score both agents on the protocol shock periods (COVID 2020, Ukraine onset 2022) as case studies.</w:t>
      </w:r>
    </w:p>
    <w:p>
      <w:pPr>
        <w:pStyle w:val="ListBullet"/>
      </w:pPr>
      <w:r>
        <w:t>Sensitivity. Sweep the uncertainty quantile threshold in {0.7, 0.8, 0.9} and the minimum scale s_min in {0.05, 0.10, 0.20}.</w:t>
      </w:r>
    </w:p>
    <w:p>
      <w:pPr>
        <w:pStyle w:val="ListBullet"/>
      </w:pPr>
      <w:r>
        <w:t>Ablation. Compare PPO, PPO + uncertainty-as-state, and PPO + uncertainty-guard separately.</w:t>
      </w:r>
    </w:p>
    <w:p>
      <w:pPr>
        <w:pStyle w:val="ListBullet"/>
      </w:pPr>
      <w:r>
        <w:t>Alternative uncertainty estimators. Replace the Gaussian-NLL head with a deep ensemble or MC-dropout probabilistic forecaster.</w:t>
      </w:r>
    </w:p>
    <w:p>
      <w:pPr>
        <w:pStyle w:val="ListBullet"/>
      </w:pPr>
      <w:r>
        <w:t>Risk-aware reward shaping. Compare the implicit risk control via the trade-size term against an explicit risk-aware reward (e.g. log-growth penalised by drawdown).</w:t>
      </w:r>
    </w:p>
    <w:p>
      <w:r>
        <w:br w:type="page"/>
      </w:r>
    </w:p>
    <w:p>
      <w:pPr>
        <w:pStyle w:val="Heading1"/>
      </w:pPr>
      <w:r>
        <w:rPr>
          <w:color w:val="000000"/>
        </w:rPr>
        <w:t>References</w:t>
      </w:r>
    </w:p>
    <w:p>
      <w:pPr>
        <w:ind w:left="567" w:hanging="567"/>
      </w:pPr>
      <w:r>
        <w:t>Markowitz, H. (1952). Portfolio Selection. Journal of Finance, 7(1), 77–91.</w:t>
      </w:r>
    </w:p>
    <w:p>
      <w:pPr>
        <w:ind w:left="567" w:hanging="567"/>
      </w:pPr>
      <w:r>
        <w:t>Sutton, R. S., &amp; Barto, A. G. (2018). Reinforcement Learning: An Introduction (2nd ed.). MIT Press.</w:t>
      </w:r>
    </w:p>
    <w:p>
      <w:pPr>
        <w:ind w:left="567" w:hanging="567"/>
      </w:pPr>
      <w:r>
        <w:t>Hochreiter, S., &amp; Schmidhuber, J. (1997). Long Short-Term Memory. Neural Computation, 9(8), 1735–1780.</w:t>
      </w:r>
    </w:p>
    <w:p>
      <w:pPr>
        <w:ind w:left="567" w:hanging="567"/>
      </w:pPr>
      <w:r>
        <w:t>Schulman, J., Wolski, F., Dhariwal, P., Radford, A., &amp; Klimov, O. (2017). Proximal Policy Optimization Algorithms. arXiv:1707.06347.</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Lakshminarayanan, B., Pritzel, A., &amp; Blundell, C. (2017). Simple and Scalable Predictive Uncertainty Estimation using Deep Ensembles. NeurIPS.</w:t>
      </w:r>
    </w:p>
    <w:p>
      <w:pPr>
        <w:ind w:left="567" w:hanging="567"/>
      </w:pPr>
      <w:r>
        <w:t>Gal, Y., &amp; Ghahramani, Z. (2016). Dropout as a Bayesian Approximation: Representing Model Uncertainty in Deep Learning. ICML.</w:t>
      </w:r>
    </w:p>
    <w:p>
      <w:pPr>
        <w:ind w:left="567" w:hanging="567"/>
      </w:pPr>
      <w:r>
        <w:t>Jiang, Z., Xu, D., &amp; Liang, J. (2017). A Deep Reinforcement Learning Framework for the Financial Portfolio Management Problem. arXiv:1706.10059.</w:t>
      </w:r>
    </w:p>
    <w:p>
      <w:pPr>
        <w:ind w:left="567" w:hanging="567"/>
      </w:pPr>
      <w:r>
        <w:t>Yang, H., Liu, X.-Y., Zhong, S., &amp; Walid, A. (2020). Deep Reinforcement Learning for Automated Stock Trading: An Ensemble Strategy. ICAIF.</w:t>
      </w:r>
    </w:p>
    <w:p>
      <w:pPr>
        <w:ind w:left="567" w:hanging="567"/>
      </w:pPr>
      <w:r>
        <w:t>Liu, X.-Y., Yang, H., Gao, J., &amp; Wang, C. D. (2021). FinRL: a deep reinforcement learning library for automated stock trading in quantitative finance. arXiv:2011.09607.</w:t>
      </w:r>
    </w:p>
    <w:p>
      <w:pPr>
        <w:ind w:left="567" w:hanging="567"/>
      </w:pPr>
      <w:r>
        <w:t>Raffin, A., Hill, A., Gleave, A., Kanervisto, A., Ernestus, M., &amp; Dormann, N. (2021). Stable-Baselines3: Reliable Reinforcement Learning Implementations. JMLR, 22(268), 1–8.</w:t>
      </w:r>
    </w:p>
    <w:p>
      <w:r>
        <w:br w:type="page"/>
      </w:r>
    </w:p>
    <w:p>
      <w:pPr>
        <w:pStyle w:val="Heading1"/>
      </w:pPr>
      <w:r>
        <w:rPr>
          <w:color w:val="000000"/>
        </w:rPr>
        <w:t>Appendix A — Reproducibility commands</w:t>
      </w:r>
    </w:p>
    <w:p>
      <w:r>
        <w:rPr>
          <w:b w:val="0"/>
          <w:i w:val="0"/>
        </w:rPr>
        <w:t>End-to-end reproduction of every artifact in this dissertation:</w:t>
      </w:r>
    </w:p>
    <w:p>
      <w:r>
        <w:rPr>
          <w:rFonts w:ascii="Courier New" w:hAnsi="Courier New"/>
          <w:sz w:val="18"/>
        </w:rPr>
        <w:t>python3 -m venv venv &amp;&amp; source venv/bin/activate</w:t>
        <w:br/>
        <w:t>pip install -r requirements.txt</w:t>
        <w:br/>
        <w:t>python experiments/run_baseline.py</w:t>
        <w:br/>
        <w:t>python experiments/run_probabilistic_agent.py</w:t>
        <w:br/>
        <w:t>python experiments/run_benchmarks.py</w:t>
        <w:br/>
        <w:t>python reports/generate_dissertation_report.py</w:t>
        <w:br/>
        <w:t>python reports/build_supervisor_pack.py</w:t>
        <w:br/>
        <w:t>python reports/plot_dissertation_visuals.py</w:t>
        <w:br/>
        <w:t>python reports/build_dissertation_docx.py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