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EEEM004 — MSc Project</w:t>
      </w:r>
    </w:p>
    <w:p>
      <w:pPr>
        <w:jc w:val="center"/>
      </w:pPr>
      <w:r>
        <w:rPr>
          <w:i/>
          <w:sz w:val="28"/>
        </w:rPr>
        <w:t>Interim Review</w:t>
      </w:r>
    </w:p>
    <w:p/>
    <w:p>
      <w:r>
        <w:rPr>
          <w:b w:val="0"/>
          <w:i/>
        </w:rPr>
        <w:t>This document is the student's submission for the EEEM004 interim review. It mirrors the structure of the official Interim Review form. The blue boxes are reserved for the supervisor's written assessment and are intentionally left empty.</w:t>
      </w:r>
    </w:p>
    <w:p>
      <w:pPr>
        <w:pStyle w:val="Heading1"/>
      </w:pPr>
      <w:r>
        <w:rPr>
          <w:color w:val="000000"/>
        </w:rPr>
        <w:t>Cover information</w:t>
      </w:r>
    </w:p>
    <w:tbl>
      <w:tblPr>
        <w:tblStyle w:val="LightGrid-Accent1"/>
        <w:tblW w:type="auto" w:w="0"/>
        <w:tblLook w:firstColumn="1" w:firstRow="1" w:lastColumn="0" w:lastRow="0" w:noHBand="0" w:noVBand="1" w:val="04A0"/>
      </w:tblPr>
      <w:tblGrid>
        <w:gridCol w:w="4873"/>
        <w:gridCol w:w="4873"/>
      </w:tblGrid>
      <w:tr>
        <w:tc>
          <w:tcPr>
            <w:tcW w:type="dxa" w:w="4873"/>
            <w:vAlign w:val="center"/>
          </w:tcPr>
          <w:p>
            <w:r>
              <w:rPr>
                <w:b/>
              </w:rPr>
              <w:t>Name</w:t>
            </w:r>
          </w:p>
        </w:tc>
        <w:tc>
          <w:tcPr>
            <w:tcW w:type="dxa" w:w="4873"/>
            <w:vAlign w:val="center"/>
          </w:tcPr>
          <w:p>
            <w:r>
              <w:t>Fiyin Akano</w:t>
            </w:r>
          </w:p>
        </w:tc>
      </w:tr>
      <w:tr>
        <w:tc>
          <w:tcPr>
            <w:tcW w:type="dxa" w:w="4873"/>
            <w:vAlign w:val="center"/>
          </w:tcPr>
          <w:p>
            <w:r>
              <w:rPr>
                <w:b/>
              </w:rPr>
              <w:t>URN</w:t>
            </w:r>
          </w:p>
        </w:tc>
        <w:tc>
          <w:tcPr>
            <w:tcW w:type="dxa" w:w="4873"/>
            <w:vAlign w:val="center"/>
          </w:tcPr>
          <w:p>
            <w:r>
              <w:t>6962514</w:t>
            </w:r>
          </w:p>
        </w:tc>
      </w:tr>
      <w:tr>
        <w:tc>
          <w:tcPr>
            <w:tcW w:type="dxa" w:w="4873"/>
            <w:vAlign w:val="center"/>
          </w:tcPr>
          <w:p>
            <w:r>
              <w:rPr>
                <w:b/>
              </w:rPr>
              <w:t>Supervisor</w:t>
            </w:r>
          </w:p>
        </w:tc>
        <w:tc>
          <w:tcPr>
            <w:tcW w:type="dxa" w:w="4873"/>
            <w:vAlign w:val="center"/>
          </w:tcPr>
          <w:p>
            <w:r>
              <w:t>Dr Cuong Nguyen</w:t>
            </w:r>
          </w:p>
        </w:tc>
      </w:tr>
      <w:tr>
        <w:tc>
          <w:tcPr>
            <w:tcW w:type="dxa" w:w="4873"/>
            <w:vAlign w:val="center"/>
          </w:tcPr>
          <w:p>
            <w:r>
              <w:rPr>
                <w:b/>
              </w:rPr>
              <w:t>Second supervisor (if applicable)</w:t>
            </w:r>
          </w:p>
        </w:tc>
        <w:tc>
          <w:tcPr>
            <w:tcW w:type="dxa" w:w="4873"/>
            <w:vAlign w:val="center"/>
          </w:tcPr>
          <w:p>
            <w:r>
              <w:t>[INSERT IF APPLICABLE]</w:t>
            </w:r>
          </w:p>
        </w:tc>
      </w:tr>
      <w:tr>
        <w:tc>
          <w:tcPr>
            <w:tcW w:type="dxa" w:w="4873"/>
            <w:vAlign w:val="center"/>
          </w:tcPr>
          <w:p>
            <w:r>
              <w:rPr>
                <w:b/>
              </w:rPr>
              <w:t>Date of meeting</w:t>
            </w:r>
          </w:p>
        </w:tc>
        <w:tc>
          <w:tcPr>
            <w:tcW w:type="dxa" w:w="4873"/>
            <w:vAlign w:val="center"/>
          </w:tcPr>
          <w:p>
            <w:r>
              <w:t>[INSERT MEETING DATE]</w:t>
            </w:r>
          </w:p>
        </w:tc>
      </w:tr>
      <w:tr>
        <w:tc>
          <w:tcPr>
            <w:tcW w:type="dxa" w:w="4873"/>
            <w:vAlign w:val="center"/>
          </w:tcPr>
          <w:p>
            <w:r>
              <w:rPr>
                <w:b/>
              </w:rPr>
              <w:t>Module</w:t>
            </w:r>
          </w:p>
        </w:tc>
        <w:tc>
          <w:tcPr>
            <w:tcW w:type="dxa" w:w="4873"/>
            <w:vAlign w:val="center"/>
          </w:tcPr>
          <w:p>
            <w:r>
              <w:t>EEEM004 — MSc Dissertation (cross-year)</w:t>
            </w:r>
          </w:p>
        </w:tc>
      </w:tr>
      <w:tr>
        <w:tc>
          <w:tcPr>
            <w:tcW w:type="dxa" w:w="4873"/>
            <w:vAlign w:val="center"/>
          </w:tcPr>
          <w:p>
            <w:r>
              <w:rPr>
                <w:b/>
              </w:rPr>
              <w:t>Department</w:t>
            </w:r>
          </w:p>
        </w:tc>
        <w:tc>
          <w:tcPr>
            <w:tcW w:type="dxa" w:w="4873"/>
            <w:vAlign w:val="center"/>
          </w:tcPr>
          <w:p>
            <w:r>
              <w:t>Electrical and Electronic Engineering, University of Surrey</w:t>
            </w:r>
          </w:p>
        </w:tc>
      </w:tr>
      <w:tr>
        <w:tc>
          <w:tcPr>
            <w:tcW w:type="dxa" w:w="4873"/>
            <w:vAlign w:val="center"/>
          </w:tcPr>
          <w:p>
            <w:r>
              <w:rPr>
                <w:b/>
              </w:rPr>
              <w:t>Target submission date</w:t>
            </w:r>
          </w:p>
        </w:tc>
        <w:tc>
          <w:tcPr>
            <w:tcW w:type="dxa" w:w="4873"/>
            <w:vAlign w:val="center"/>
          </w:tcPr>
          <w:p>
            <w:r>
              <w:t>1 September 2026</w:t>
            </w:r>
          </w:p>
        </w:tc>
      </w:tr>
    </w:tbl>
    <w:p>
      <w:pPr>
        <w:pStyle w:val="Heading1"/>
      </w:pPr>
      <w:r>
        <w:rPr>
          <w:color w:val="000000"/>
        </w:rPr>
        <w:t>Project title</w:t>
      </w:r>
    </w:p>
    <w:p>
      <w:r>
        <w:rPr>
          <w:b/>
          <w:i w:val="0"/>
        </w:rPr>
        <w:t>Probabilistic Deep Reinforcement Learning for Portfolio Risk Analysis: drawdown-constrained portfolio control with an uncertainty-aware reinforcement-learning policy.</w:t>
      </w:r>
    </w:p>
    <w:p>
      <w:pPr>
        <w:pStyle w:val="Heading1"/>
      </w:pPr>
      <w:r>
        <w:rPr>
          <w:color w:val="000000"/>
        </w:rPr>
        <w:t>Problem statement</w:t>
      </w:r>
    </w:p>
    <w:p>
      <w:r>
        <w:rPr>
          <w:b w:val="0"/>
          <w:i w:val="0"/>
        </w:rPr>
        <w:t>Start with a concrete picture. Imagine putting one million US dollars into the US stock market in January 2022 and holding on. By January 2025 the account is worth about $1.52 million — a clean win. But on the way there, in October 2022, the same account briefly read $750,000 — a 25 % drop from the peak. For an individual that drop is scary; for a pension fund or an endowment it is something different — it is a breach of contract. Many institutional mandates carry an explicit drawdown limit (a maximum permitted loss measured from the peak rather than from the starting balance), and when that limit is breached, redemption rights kick in, trustees can be removed, and the fund can be forcibly liquidated. Buy-and-hold violates these limits routinely; manually setting a stop-loss (sell when the price has fallen 5 % below its peak) violates them too — it sells late and buys back later. The dissertation asks whether a small AI agent can do better.</w:t>
      </w:r>
    </w:p>
    <w:p>
      <w:r>
        <w:rPr>
          <w:b w:val="0"/>
          <w:i w:val="0"/>
        </w:rPr>
        <w:t>Reframed problem statement. Many investors and institutional mandates are required to keep portfolio drawdown from peak below a stated limit (commonly between 5 % and 20 %) while still beating cash and ideally beating passive index exposure. The standard quantitative answers — Markowitz mean-variance, risk parity, fixed-rule stop-losses — either assume the joint distribution of returns is stationary or react too slowly when the market regime changes. This dissertation studies whether a deep-reinforcement-learning agent that conditions on its own forecaster's predictive uncertainty (how confident the forecaster is, not just what it predicts) can sit on a more attractive point of the return-versus-drawdown trade-off than (a) passive buy-and-hold, (b) a rule-based stop-loss policy, and (c) a baseline PPO with no uncertainty signal — measured on a held-out test window that contains real macro shocks (2022–2025), with reproducible random seeds and an out-of-time generalisation check.</w:t>
      </w:r>
    </w:p>
    <w:p>
      <w:r>
        <w:rPr>
          <w:b w:val="0"/>
          <w:i w:val="0"/>
        </w:rPr>
        <w:t>Where the standard answers fail. Mean-variance (Markowitz, 1952) is single-period and treats upside and downside wiggles symmetrically — it has no memory of the running peak. Value-at-Risk and expected shortfall (Rockafellar and Uryasev, 2000) measure how bad a single bad day could be, but they cannot tell you how many bad days in a row you can endure before the loss-from-peak crosses the limit. Conditional drawdown-at-risk (Chekhlov, Uryasev and Zabarankin, 2005) is path-dependent and matches the institutional constraint shape, but it is a one-shot static optimisation: it picks one weight vector and does not adapt mid-window. Reactive trailing stop-losses adapt sequentially but fire after the drawdown has already begun and typically forfeit the recovery on the way back up.</w:t>
      </w:r>
    </w:p>
    <w:p>
      <w:r>
        <w:rPr>
          <w:b w:val="0"/>
          <w:i w:val="0"/>
        </w:rPr>
        <w:t>Why this matters in practice. Drawdown control is a real, billion-dollar institutional problem. CalPERS and other major pension funds, sovereign-wealth funds, university endowments and CTA funds all run explicit drawdown limits in their governance documents. Bridgewater Associates' All Weather fund, which has managed over 150 billion US dollars at peak, is publicly described by its founder as designed to lose less in any environment — an explicit drawdown-control objective. The drawdown literature itself (Magdon-Ismail and Atiya, 2004; Young, 1991; Sortino and Price, 1994; Chekhlov, Uryasev and Zabarankin, 2005) is the formal home for these constraints; this dissertation does not invent them, it picks up the tradition and extends it from one-shot optimisation to a sequential, uncertainty-aware decision policy.</w:t>
      </w:r>
    </w:p>
    <w:p>
      <w:pPr>
        <w:pStyle w:val="Heading1"/>
      </w:pPr>
      <w:r>
        <w:rPr>
          <w:color w:val="000000"/>
        </w:rPr>
        <w:t>Objectives</w:t>
      </w:r>
    </w:p>
    <w:p>
      <w:r>
        <w:rPr>
          <w:b w:val="0"/>
          <w:i w:val="0"/>
        </w:rPr>
        <w:t>The objectives have been refined during Phase 0 and Phase 1 in light of supervisor feedback. The current working set is:</w:t>
      </w:r>
    </w:p>
    <w:p>
      <w:pPr>
        <w:pStyle w:val="ListBullet"/>
      </w:pPr>
      <w:r>
        <w:t>O1. To study whether an explicit forecast-uncertainty signal, modelled with a DeepAR-style probabilistic LSTM and consumed by a PPO policy as both a state feature and a hard guard on new long-side actions, allows the agent to sit closer to the return-versus-drawdown frontier than uncertainty-blind alternatives on US equity index data.</w:t>
      </w:r>
    </w:p>
    <w:p>
      <w:pPr>
        <w:pStyle w:val="ListBullet"/>
      </w:pPr>
      <w:r>
        <w:t>O2. To evaluate the resulting policy on a held-out window containing real macro shocks (2022 to 2025) against three named comparators — passive buy-and-hold, a rule-based stop-loss policy, and a baseline PPO with no uncertainty signal — using a metric set in which the headline criteria are Sharpe ratio, terminal value relative to buy-and-hold, and the capital-preservation ratio against the running high-watermark.</w:t>
      </w:r>
    </w:p>
    <w:p>
      <w:pPr>
        <w:pStyle w:val="ListBullet"/>
      </w:pPr>
      <w:r>
        <w:t>O3. To pin down a fully reproducible evaluation protocol of fixed splits, fixed seeds, scripted artefacts and a shared metric set, so that any comparison made in this dissertation is genuinely like-for-like and can be reproduced from the public repository in a single command sequence.</w:t>
      </w:r>
    </w:p>
    <w:p>
      <w:pPr>
        <w:pStyle w:val="ListBullet"/>
      </w:pPr>
      <w:r>
        <w:t>O4. To take an honest position, on the strength of O1 to O3, on when an uncertainty signal earns a place in a portfolio control loop and, just as important, on when it does not.</w:t>
      </w:r>
    </w:p>
    <w:p>
      <w:r>
        <w:br w:type="page"/>
      </w:r>
    </w:p>
    <w:p>
      <w:pPr>
        <w:pStyle w:val="Heading1"/>
      </w:pPr>
      <w:r>
        <w:rPr>
          <w:color w:val="000000"/>
        </w:rPr>
        <w:t>Literature review (key references)</w:t>
      </w:r>
    </w:p>
    <w:p>
      <w:r>
        <w:rPr>
          <w:b w:val="0"/>
          <w:i w:val="0"/>
        </w:rPr>
        <w:t>The annotated list below is the working set of references that anchor the dissertation. Each entry follows a uniform structure — what the paper did, why they did it, what it does well, where it falls short, and how the gap is fixed in the literature — so the comparative differentiation Dr Nguyen asked for is visible at a glance. The dissertation's full bibliography in Chapter 2 of Main_Dissertation_Draft.docx is the canonical version; the list below is the compact working set for this interim review.</w:t>
      </w:r>
    </w:p>
    <w:p>
      <w:r>
        <w:rPr>
          <w:b w:val="0"/>
          <w:i w:val="0"/>
        </w:rPr>
        <w:t>Why the families differ at a glance. The risk-measure literature is not a ranking of competing answers to one question; it is a sequence of answers to different questions, each developed in response to a specific limitation of the family that came before:</w:t>
      </w:r>
    </w:p>
    <w:p>
      <w:pPr>
        <w:pStyle w:val="ListBullet"/>
      </w:pPr>
      <w:r>
        <w:t>Markowitz (1952) — "What is the smoothest portfolio I can build given my return target?" Single-period; symmetric penalty on wiggles.</w:t>
      </w:r>
    </w:p>
    <w:p>
      <w:pPr>
        <w:pStyle w:val="ListBullet"/>
      </w:pPr>
      <w:r>
        <w:t>Rockafellar and Uryasev (2000) — "What is the portfolio with the smallest expected loss in the worst 5 % of single-period outcomes?" Single-period; coherent tail measure. Differs from Markowitz in shifting from average wiggle to tail loss.</w:t>
      </w:r>
    </w:p>
    <w:p>
      <w:pPr>
        <w:pStyle w:val="ListBullet"/>
      </w:pPr>
      <w:r>
        <w:t>Magdon-Ismail and Atiya (2004) / Young (1991) / Chekhlov, Uryasev and Zabarankin (2005) — "What is the worst loss-from-peak this strategy can be expected to experience over its lifetime?" Path-dependent. Differs from VaR/ES in shifting from a single bad day to the worst peak-to-trough excursion of the equity curve.</w:t>
      </w:r>
    </w:p>
    <w:p>
      <w:pPr>
        <w:pStyle w:val="ListBullet"/>
      </w:pPr>
      <w:r>
        <w:t>Sortino and Price (1994) — "How much per-period downside deviation does this strategy accept to earn its return?" Same per-period grain as Markowitz but with the symmetric penalty replaced by an asymmetric one. Differs from Markowitz in its treatment of upside.</w:t>
      </w:r>
    </w:p>
    <w:p>
      <w:pPr>
        <w:pStyle w:val="ListBullet"/>
      </w:pPr>
      <w:r>
        <w:t>Jiang/Yang/Liu DRL-finance papers — "Can a deep RL policy outperform static rules on equities and crypto with return-only reward?" Sequential decision but uncertainty-blind. Differs from the risk-measure tradition in treating risk as something measured after the fact rather than constrained explicitly.</w:t>
      </w:r>
    </w:p>
    <w:p>
      <w:r>
        <w:rPr>
          <w:b/>
          <w:i w:val="0"/>
        </w:rPr>
        <w:t>Drawdown literature (the closest antecedents).</w:t>
      </w:r>
    </w:p>
    <w:p>
      <w:r>
        <w:rPr>
          <w:b/>
          <w:i w:val="0"/>
        </w:rPr>
        <w:t>Magdon-Ismail and Atiya (2004) — "Maximum Drawdown." Risk Magazine, 17(10), 99–102.</w:t>
      </w:r>
    </w:p>
    <w:p>
      <w:r>
        <w:rPr>
          <w:b w:val="0"/>
          <w:i w:val="0"/>
        </w:rPr>
        <w:t>What and why: derived a closed-form expectation for the maximum drawdown of a geometric Brownian motion with drift, motivated by practitioner demand for an analytical baseline against which observed MDD figures could be calibrated. Advantages: closed-form, operationally meaningful, tied directly to (mu, sigma, T). Disadvantages: requires Brownian motion with constant drift and volatility — empirically wrong for financial returns, which exhibit volatility clustering and fat tails. Fix: extends to GARCH and regime-switching baselines, or — operationally — to the CDaR programme of Chekhlov, Uryasev and Zabarankin (2005). Position in this dissertation: defines the maximum drawdown statistic used throughout Section 5–Section 6 and motivates the analytical context for the test-window MDD numbers.</w:t>
      </w:r>
    </w:p>
    <w:p>
      <w:r>
        <w:rPr>
          <w:b/>
          <w:i w:val="0"/>
        </w:rPr>
        <w:t>Young (1991) — "Calmar Ratio: A Smoother Tool." Futures, 20(1), 40.</w:t>
      </w:r>
    </w:p>
    <w:p>
      <w:r>
        <w:rPr>
          <w:b w:val="0"/>
          <w:i w:val="0"/>
        </w:rPr>
        <w:t>What and why: introduced the Calmar ratio (annualised return / maximum drawdown) as a return-per-unit-pain measure intuitive to institutional investors with explicit drawdown limits. Advantages: no parametric assumption on returns; speaks the language of the institutional mandate; widely understood. Disadvantages: extreme single-event sensitivity — one bad week can permanently impair a strategy's Calmar; rewards strategies whose worst loss is still ahead of them. Fix: Sterling and Burke ratios use averages of the worst N drawdowns; the CDaR programme of Chekhlov, Uryasev and Zabarankin (2005) uses a tail expectation over the full drawdown distribution and removes the single-event problem. Position in this dissertation: reported as a diagnostic alongside Sharpe in Section 5.5; its limitations are exactly what motivated the move to the constrained CDaR-style objective in Section 3.1.5.</w:t>
      </w:r>
    </w:p>
    <w:p>
      <w:r>
        <w:rPr>
          <w:b/>
          <w:i w:val="0"/>
        </w:rPr>
        <w:t>Chekhlov, Uryasev and Zabarankin (2005) — "Drawdown Measure in Portfolio Optimization." International Journal of Theoretical and Applied Finance, 8(1), 13–58.</w:t>
      </w:r>
    </w:p>
    <w:p>
      <w:r>
        <w:rPr>
          <w:b w:val="0"/>
          <w:i w:val="0"/>
        </w:rPr>
        <w:t>What and why: extended the CVaR construction of Rockafellar and Uryasev (2000) from the loss distribution to the path-dependent drawdown distribution, defining the conditional drawdown-at-risk (CDaR_alpha) and showing that drawdown-constrained portfolio optimisation reduces to a linear programme under empirical scenarios. Motivated by institutional allocators (endowments, sovereign wealth funds) who already demanded CDaR diagnostics but had no tractable optimisation routine for them. Advantages: coherent generalisation of MDD/Calmar to a tail expectation over the drawdown distribution; LP-tractable; matches institutional mandates. Disadvantages: computational cost grows with horizon T; remains a one-shot static optimisation that does not naturally accommodate a sequential decision policy. Fix: multi-stage stochastic programming (Bertsimas, Lauprete and Samarov, 2004) extends to multiple periods; reinforcement learning extends further to a state-conditional policy that learns when to reduce exposure rather than only how to allocate it. Position in this dissertation: the closest classical antecedent to the constrained problem in Section 3.1.5. The dissertation's contribution can be stated as enforcing the CDaR-style constraint inside a sequential PPO policy rather than at portfolio-construction time.</w:t>
      </w:r>
    </w:p>
    <w:p>
      <w:r>
        <w:rPr>
          <w:b/>
          <w:i w:val="0"/>
        </w:rPr>
        <w:t>Sortino and Price (1994) — "Performance Measurement in a Downside Risk Framework." Journal of Investing, 3(3), 59–64.</w:t>
      </w:r>
    </w:p>
    <w:p>
      <w:r>
        <w:rPr>
          <w:b w:val="0"/>
          <w:i w:val="0"/>
        </w:rPr>
        <w:t>What and why: replaced the standard deviation in the Sharpe-ratio denominator with the downside deviation against a target return tau, motivated by Sortino's long-running argument that Sharpe penalises long-only mandates twice over (once for negative returns, once for above-average positive returns). Advantages: asymmetric penalty matches asymmetric utility of long-only investors; same data requirement as Sharpe; widely understood in CTA and hedge-fund evaluation. Disadvantages: tau is a modelling decision rather than a derived quantity, so the same strategy can have very different Sortino ratios under different rate environments; unstable when there are few sub-tau returns; remains single-period and silent on the path of the equity curve. Fix: report at multiple tau; pair with a path-dependent measure such as MDD or Calmar; lower-partial-moment family (Bawa, 1975; Fishburn, 1977) generalises the squared deviation. Position in this dissertation: reported in the Section 3.7 metric table; the asymmetric-penalty intuition behind Sortino is the same intuition behind the choice of drawdown rather than variance as the binding measure.</w:t>
      </w:r>
    </w:p>
    <w:p>
      <w:r>
        <w:rPr>
          <w:b/>
          <w:i w:val="0"/>
        </w:rPr>
        <w:t>Classical risk-measure literature (single-period baselines).</w:t>
      </w:r>
    </w:p>
    <w:p>
      <w:r>
        <w:rPr>
          <w:b/>
          <w:i w:val="0"/>
        </w:rPr>
        <w:t>Markowitz (1952) — "Portfolio Selection." Journal of Finance, 7(1), 77–91.</w:t>
      </w:r>
    </w:p>
    <w:p>
      <w:r>
        <w:rPr>
          <w:b w:val="0"/>
          <w:i w:val="0"/>
        </w:rPr>
        <w:t>What and why: turned portfolio choice into a quadratic optimisation in mean and variance, motivated by the absence of any quantitative framework for diversification before 1952. Advantages: convex QP solvable in milliseconds; closed-form efficient frontier in the unconstrained case; foundation of every later extension. Disadvantages: requires stationary mu and Sigma; weights are highly sensitive to estimation error (Michaud, 1989, "error-maximising"); penalises upside and downside symmetrically; single-period and ignores path properties. Fix: Black-Litterman shrinkage; Ledoit-Wolf covariance shrinkage; replace symmetric variance with downside deviation (Sortino) or tail loss (CVaR) or drawdown (CDaR). Position here: the classical static baseline that the sequential, uncertainty-aware policy is positioned against.</w:t>
      </w:r>
    </w:p>
    <w:p>
      <w:r>
        <w:rPr>
          <w:b/>
          <w:i w:val="0"/>
        </w:rPr>
        <w:t>Rockafellar and Uryasev (2000) — "Optimization of Conditional Value-at-Risk." Journal of Risk, 2(3), 21–42.</w:t>
      </w:r>
    </w:p>
    <w:p>
      <w:r>
        <w:rPr>
          <w:b w:val="0"/>
          <w:i w:val="0"/>
        </w:rPr>
        <w:t>What and why: wrote down a convex programme whose minimiser is the CVaR of the portfolio's loss distribution, motivated by the post-Artzner et al. (1999) recognition that VaR is not coherent and the practitioner need for a tractable, optimisable alternative. Advantages: coherent (sub-additive); convex in the weights; reduces to an LP under empirical scenarios. Disadvantages: single-period, so silent on the path of the equity curve; tail-data-hungry. Fix: extreme-value-theory parametric fits for the tail (McNeil and Frey, 2000); path-dependent generalisation in CDaR (Chekhlov et al., 2005). Position here: motivates the tail-loss arm of Section 2.1 and the VaR-95 violation-rate metric reported in Section 3.7.</w:t>
      </w:r>
    </w:p>
    <w:p>
      <w:r>
        <w:rPr>
          <w:b/>
          <w:i w:val="0"/>
        </w:rPr>
        <w:t>Reinforcement learning, policy gradient and DRL-for-finance.</w:t>
      </w:r>
    </w:p>
    <w:p>
      <w:r>
        <w:rPr>
          <w:b/>
          <w:i w:val="0"/>
        </w:rPr>
        <w:t>Sutton and Barto (2018) — Reinforcement Learning: an Introduction, 2nd ed., MIT Press.</w:t>
      </w:r>
    </w:p>
    <w:p>
      <w:r>
        <w:rPr>
          <w:b w:val="0"/>
          <w:i w:val="0"/>
        </w:rPr>
        <w:t>What and why: the canonical textbook treatment of MDPs and policy-gradient methods, motivated by twenty years of fragmented research that needed a single integrated reference. Advantages: standardises notation and conceptual scaffolding for the entire field; covers tabular and function-approximation methods uniformly. Disadvantages: predates the deep-RL revolution in its proportions, so coverage of large-scale function approximation is comparatively light. Fix: pair with Schulman et al. (2017) for modern policy-gradient practice. Position here: the reference relied on for the MDP formulation and the policy-gradient derivations in Section 3.5.</w:t>
      </w:r>
    </w:p>
    <w:p>
      <w:r>
        <w:rPr>
          <w:b/>
          <w:i w:val="0"/>
        </w:rPr>
        <w:t>Schulman, Wolski, Dhariwal, Radford and Klimov (2017) — "Proximal Policy Optimization Algorithms." arXiv:1707.06347.</w:t>
      </w:r>
    </w:p>
    <w:p>
      <w:r>
        <w:rPr>
          <w:b w:val="0"/>
          <w:i w:val="0"/>
        </w:rPr>
        <w:t>What and why: introduced a clipped surrogate objective that approximates a trust-region constraint without the conjugate-gradient machinery of TRPO, motivated by the need for an algorithm with TRPO-like performance and SGD-like operational simplicity. Advantages: forgiving with respect to hyper-parameters; first-order optimisation only; mature open-source implementations (Stable-Baselines3). Disadvantages: clipping is a heuristic with no formal trust-region guarantee; sensitive to advantage-estimation method; ratio variable can be numerically unstable on long horizons. Fix: PPO-EWMA (Hilton et al., 2022); trust-region-aware clipping. Position here: PPO is the policy-gradient algorithm used for both the baseline and the uncertainty-aware variant. The clipped surrogate is the reason PPO was picked over vanilla policy gradient or TRPO: the operational simplicity matters on a single-asset environment with limited training budget.</w:t>
      </w:r>
    </w:p>
    <w:p>
      <w:r>
        <w:rPr>
          <w:b/>
          <w:i w:val="0"/>
        </w:rPr>
        <w:t>Jiang, Xu and Liang (2017) — "A Deep Reinforcement Learning Framework for the Financial Portfolio Management Problem." arXiv:1706.10059.</w:t>
      </w:r>
    </w:p>
    <w:p>
      <w:r>
        <w:rPr>
          <w:b w:val="0"/>
          <w:i w:val="0"/>
        </w:rPr>
        <w:t>What and why: treated portfolio management as an end-to-end DRL problem on cryptocurrency, motivated by the inadequacy of static rules on a non-stationary high-frequency market. Advantages: genuinely end-to-end (raw price tensor → portfolio weights); validated on a market where mean-variance baselines fail; established the template later adopted by FinRL. Disadvantages: return-only reward; cryptocurrency-specific; uncertainty-blind; tested on a single window without walk-forward. Fix: Yang et al. (2020) and FinRL extend to equities and add reproducibility infrastructure; this dissertation closes the uncertainty-blind and risk-blind gaps. Position here: the closest prior DRL-finance work in spirit, against which the present dissertation's contribution is positioned in Section 2.4.</w:t>
      </w:r>
    </w:p>
    <w:p>
      <w:r>
        <w:rPr>
          <w:b/>
          <w:i w:val="0"/>
        </w:rPr>
        <w:t>Yang, Liu, Zhong and Walid (2020) — "Deep Reinforcement Learning for Automated Stock Trading: An Ensemble Strategy." ICAIF.</w:t>
      </w:r>
    </w:p>
    <w:p>
      <w:r>
        <w:rPr>
          <w:b w:val="0"/>
          <w:i w:val="0"/>
        </w:rPr>
        <w:t>What and why: applied the Jiang template to US equities and added an algorithm-level ensemble that picks the best of A2C/PPO/DDPG per regime, motivated by the high run-to-run variance of any single policy-gradient algorithm. Advantages: equities-validated; engineered technical indicators give useful inductive bias; explicit train/validation/test split protocol that this dissertation follows. Disadvantages: still return-only; technical-indicator features embed prior beliefs; in-sample regime detection has look-ahead concerns; uncertainty-blind. Fix: walk-forward evaluation (Bailey and López de Prado, 2014); the present dissertation's uncertainty coupling is orthogonal to the algorithm-ensemble idea and can in principle be added on top. Position here: borrowed the train/validation/test split style and the seed-averaging convention; positioned as an algorithm-level rather than constraint-level contribution.</w:t>
      </w:r>
    </w:p>
    <w:p>
      <w:r>
        <w:rPr>
          <w:b/>
          <w:i w:val="0"/>
        </w:rPr>
        <w:t>Liu, Yang, Gao and Wang (2021) — FinRL. arXiv:2011.09607.</w:t>
      </w:r>
    </w:p>
    <w:p>
      <w:r>
        <w:rPr>
          <w:b w:val="0"/>
          <w:i w:val="0"/>
        </w:rPr>
        <w:t>What and why: open-source library bundling the trading environment, data pipeline, algorithm interface and reporting layer, motivated by the divergent and incomparable results in the DRL-finance literature up to 2020. Advantages: imposes a single environment specification on the field; widely adopted; gym-style API. Disadvantages: takes no position on what the policy should optimise; bundles implicit environment choices that are not the right fit for every problem; abstraction layer hides design decisions that need to be defended at viva. Fix: implement the environment explicitly when the contribution is on the environment side rather than the policy side. Position here: this dissertation does not subclass FinRL; it implements its own environment in experiments/common.py so the trade-scaling and entry-guard contributions are explicit.</w:t>
      </w:r>
    </w:p>
    <w:p>
      <w:r>
        <w:rPr>
          <w:b/>
          <w:i w:val="0"/>
        </w:rPr>
        <w:t>Raffin, Hill, Gleave, Kanervisto, Ernestus and Dormann (2021) — "Stable-Baselines3." JMLR, 22(268), 1–8.</w:t>
      </w:r>
    </w:p>
    <w:p>
      <w:r>
        <w:rPr>
          <w:b w:val="0"/>
          <w:i w:val="0"/>
        </w:rPr>
        <w:t>What and why: a maintained, tested PyTorch port of the Stable-Baselines RL library, motivated by reproducibility and quality concerns with the original TF1 implementations. Advantages: rigorously tested; conforms to the gym/gymnasium API; interoperable with the wider Python RL ecosystem. Disadvantages: opinionated defaults that occasionally need to be overridden for non-standard environments; not the right tool for novel-algorithm research where every line of the policy needs to be inspected. Fix: subclass the algorithm class to override default hyper-parameters; for novel-algorithm work, write the algorithm from scratch and keep SB3 as the reproducibility baseline. Position here: the implementation source for the PPO solver in both runners.</w:t>
      </w:r>
    </w:p>
    <w:p>
      <w:r>
        <w:rPr>
          <w:b/>
          <w:i w:val="0"/>
        </w:rPr>
        <w:t>Probabilistic forecasting and uncertainty quantification.</w:t>
      </w:r>
    </w:p>
    <w:p>
      <w:r>
        <w:rPr>
          <w:b/>
          <w:i w:val="0"/>
        </w:rPr>
        <w:t>Salinas, Flunkert, Gasthaus and Januschowski (2020) — "DeepAR: Probabilistic Forecasting with Autoregressive Recurrent Networks." International Journal of Forecasting, 36(3), 1181–1191.</w:t>
      </w:r>
    </w:p>
    <w:p>
      <w:r>
        <w:rPr>
          <w:b w:val="0"/>
          <w:i w:val="0"/>
        </w:rPr>
        <w:t>What and why: an autoregressive RNN trained to maximise the likelihood of observed data under a chosen output distribution, motivated by Amazon's production demand-forecasting need for full predictive distributions and statistical pooling across thousands of related series. Advantages: emits a calibrated predictive distribution as a native output; pools strength across related series; trains with standard backprop. Disadvantages: parametric output family (Gaussian) imposes thin-tailed conditional residuals that financial returns violate; can overfit short series; calibration on out-of-sample regimes is not guaranteed; provides aleatoric but not epistemic uncertainty. Fix: Student-t or mixture heads; deep ensembles for the epistemic component; conformal prediction for non-parametric calibration. Position here: the blueprint for the forecaster in this dissertation. The implementation is a stripped-down DeepAR with a Gaussian head emitting predictive mean and log-variance, used to feed a one-dimensional uncertainty signal u_t into the PPO policy.</w:t>
      </w:r>
    </w:p>
    <w:p>
      <w:r>
        <w:rPr>
          <w:b/>
          <w:i w:val="0"/>
        </w:rPr>
        <w:t>Hochreiter and Schmidhuber (1997) — "Long Short-Term Memory." Neural Computation, 9(8), 1735–1780.</w:t>
      </w:r>
    </w:p>
    <w:p>
      <w:r>
        <w:rPr>
          <w:b w:val="0"/>
          <w:i w:val="0"/>
        </w:rPr>
        <w:t>What and why: introduced the LSTM cell with input/forget/output gates and a constant-error-carousel state, motivated by the inability of vanilla RNNs to learn long-range dependencies because of vanishing gradients. Advantages: the architectural workhorse for sequence modelling for two decades; trains stably with standard backpropagation through time; well understood. Disadvantages: superseded on many tasks by Transformer-based architectures (Vaswani et al., 2017) which scale better with data and compute; recurrent computation does not parallelise across time. Fix: Transformer-based forecasters (Informer, Autoformer); for short series the LSTM is still competitive. Position here: the architectural workhorse inside the forecaster.</w:t>
      </w:r>
    </w:p>
    <w:p>
      <w:r>
        <w:rPr>
          <w:b/>
          <w:i w:val="0"/>
        </w:rPr>
        <w:t>Lakshminarayanan, Pritzel and Blundell (2017) — "Simple and Scalable Predictive Uncertainty Estimation using Deep Ensembles." NeurIPS.</w:t>
      </w:r>
    </w:p>
    <w:p>
      <w:r>
        <w:rPr>
          <w:b w:val="0"/>
          <w:i w:val="0"/>
        </w:rPr>
        <w:t>What and why: trained several independent networks with different random initialisations and used their disagreement on a held-out point as the uncertainty proxy, motivated by the operational complexity of full Bayesian neural networks. Advantages: implementation-agnostic; captures both data-side and model-side uncertainty; well calibrated empirically. Disadvantages: training cost scales linearly with ensemble size; the disagreement signal is unstructured; storage cost. Fix: parameter-efficient ensembles (BatchEnsemble, MIMO); single-model alternatives such as MC dropout or evidential heads. Position here: read to decide whether to go with ensembles or a single network with a Gaussian head. The single-head approach is cheaper and sufficient given the policy only needs a one-dimensional uncertainty summary; ensembles are listed as future work.</w:t>
      </w:r>
    </w:p>
    <w:p>
      <w:r>
        <w:rPr>
          <w:b/>
          <w:i w:val="0"/>
        </w:rPr>
        <w:t>Gal and Ghahramani (2016) — "Dropout as a Bayesian Approximation." ICML.</w:t>
      </w:r>
    </w:p>
    <w:p>
      <w:r>
        <w:rPr>
          <w:b w:val="0"/>
          <w:i w:val="0"/>
        </w:rPr>
        <w:t>What and why: showed that dropout at inference time can be interpreted as variational approximation to a Bayesian posterior over weights, motivated by the wish to extract uncertainty estimates from existing deep models without architectural change. Advantages: zero training-time overhead; works on existing trained networks; gives empirical predictive distributions cheaply. Disadvantages: variational approximation is loose; underestimates epistemic uncertainty in some settings; calibration depends on dropout rate. Fix: combine with last-layer Bayesian methods or with conformal calibration. Position here: cited as background reading for why a learned predictive variance can be treated as a meaningful uncertainty proxy; the dissertation does not use MC dropout because the DeepAR-style head provides the same signal more cheaply at training time.</w:t>
      </w:r>
    </w:p>
    <w:p>
      <w:r>
        <w:rPr>
          <w:b/>
          <w:i w:val="0"/>
        </w:rPr>
        <w:t>Vovk, Gammerman and Shafer (2005) — Algorithmic Learning in a Random World. Springer.</w:t>
      </w:r>
    </w:p>
    <w:p>
      <w:r>
        <w:rPr>
          <w:b w:val="0"/>
          <w:i w:val="0"/>
        </w:rPr>
        <w:t>What and why: developed conformal prediction, a non-parametric, distribution-free framework for constructing finite-sample-valid prediction sets, motivated by the desire for calibration guarantees that do not depend on parametric distributional assumptions. Advantages: model-agnostic; finite-sample validity under exchangeability; can wrap any underlying predictor. Disadvantages: predictive intervals can be conservative; standard exchangeability assumption is violated by time-series data. Fix: split-conformal and adaptive variants for non-exchangeable data (Gibbs and Candès, 2021). Position here: noted in Section 2.6 and Section 7.2 as a future-work overlay that would give the dissertation's uncertainty signal a finite-sample coverage guarantee independent of the Gaussian-head assumption.</w:t>
      </w:r>
    </w:p>
    <w:p>
      <w:r>
        <w:br w:type="page"/>
      </w:r>
    </w:p>
    <w:p>
      <w:pPr>
        <w:pStyle w:val="Heading1"/>
      </w:pPr>
      <w:r>
        <w:rPr>
          <w:color w:val="000000"/>
        </w:rPr>
        <w:t>Technical progress</w:t>
      </w:r>
    </w:p>
    <w:p>
      <w:pPr>
        <w:pStyle w:val="Heading2"/>
      </w:pPr>
      <w:r>
        <w:rPr>
          <w:color w:val="000000"/>
        </w:rPr>
        <w:t>Summary</w:t>
      </w:r>
    </w:p>
    <w:p>
      <w:r>
        <w:rPr>
          <w:b w:val="0"/>
          <w:i w:val="0"/>
        </w:rPr>
        <w:t>Phase 0 and Phase 1 are in place and reproducible end-to-end. The dissertation compares a baseline PPO agent against a probabilistic-PPO variant that consumes a DeepAR-style uncertainty signal, with passive buy-and-hold, all-cash, and a rule-based trailing stop-loss policy as the three named comparators. Everything is driven from a single configuration file and a small set of scripts, so any reported number can be regenerated from the public repository in a single command sequence.</w:t>
      </w:r>
    </w:p>
    <w:p>
      <w:pPr>
        <w:pStyle w:val="Heading2"/>
      </w:pPr>
      <w:r>
        <w:rPr>
          <w:color w:val="000000"/>
        </w:rPr>
        <w:t>What has been built</w:t>
      </w:r>
    </w:p>
    <w:p>
      <w:pPr>
        <w:pStyle w:val="ListBullet"/>
      </w:pPr>
      <w:r>
        <w:t>A probabilistic forecaster (experiments/run_probabilistic_agent.py): an LSTM trained with Gaussian negative log-likelihood that emits the mean and log variance of the next-step log return. The predictive standard deviation is min-max normalised across the test window into a unit-interval uncertainty score.</w:t>
      </w:r>
    </w:p>
    <w:p>
      <w:pPr>
        <w:pStyle w:val="ListBullet"/>
      </w:pPr>
      <w:r>
        <w:t>An uncertainty-aware trading environment (experiments/common.py:StockEnv): action space [-1, 1] over a configurable max_trade_fraction of cash, with the trade size shrunk by (1 - uncertainty_level) and floored at min_trade_scale. When the uncertainty score exceeds the protocol quantile (default 0.80) the environment blocks new long-side trades but still allows exits. Reward is the per-step log of the portfolio-value ratio multiplied by 100 for numerical scale.</w:t>
      </w:r>
    </w:p>
    <w:p>
      <w:pPr>
        <w:pStyle w:val="ListBullet"/>
      </w:pPr>
      <w:r>
        <w:t>A baseline PPO runner (experiments/run_baseline.py) that uses the same environment without the uncertainty coordinate or the trade-size shrinkage, so the comparison against the probabilistic variant is genuinely controlled.</w:t>
      </w:r>
    </w:p>
    <w:p>
      <w:pPr>
        <w:pStyle w:val="ListBullet"/>
      </w:pPr>
      <w:r>
        <w:t>A rule-based stop-loss runner (experiments/run_rule_baselines.py) implementing 5 % and 10 % trailing-stop policies with a 20/50-day moving-average crossover for re-entry. This is the directly-measured non-AI comparator that the supervisor's previous feedback asked for.</w:t>
      </w:r>
    </w:p>
    <w:p>
      <w:pPr>
        <w:pStyle w:val="ListBullet"/>
      </w:pPr>
      <w:r>
        <w:t>A benchmarks runner (experiments/run_benchmarks.py) that evaluates passive buy-and-hold and all-cash on the same test window. These act as sanity checks on the metric definitions as much as competitors to beat.</w:t>
      </w:r>
    </w:p>
    <w:p>
      <w:pPr>
        <w:pStyle w:val="ListBullet"/>
      </w:pPr>
      <w:r>
        <w:t>A single evaluation protocol (experiments/configs/dissertation_protocol.json) that fixes the splits (2009-2018 train / 2019-2021 validation / 2022-2025 test), the seeds [7, 19, 42] in the headline study, and the metric set, and is read by every script. This is the bit that actually makes the comparisons fair.</w:t>
      </w:r>
    </w:p>
    <w:p>
      <w:pPr>
        <w:pStyle w:val="ListBullet"/>
      </w:pPr>
      <w:r>
        <w:t>A reporting layer: reports/generate_dissertation_report.py for the markdown summary, reports/build_supervisor_pack.py for the one-page chart, reports/plot_dissertation_visuals.py for the detailed figures, and Dissertation_Walkthrough.ipynb for the embedded-output review notebook.</w:t>
      </w:r>
    </w:p>
    <w:p>
      <w:pPr>
        <w:pStyle w:val="Heading2"/>
      </w:pPr>
      <w:r>
        <w:rPr>
          <w:color w:val="000000"/>
        </w:rPr>
        <w:t>Phase-0 to Phase-1 status table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Step</w:t>
            </w:r>
          </w:p>
        </w:tc>
        <w:tc>
          <w:tcPr>
            <w:tcW w:type="dxa" w:w="3249"/>
          </w:tcPr>
          <w:p>
            <w:r>
              <w:rPr>
                <w:b/>
              </w:rPr>
              <w:t>Status</w:t>
            </w:r>
          </w:p>
        </w:tc>
        <w:tc>
          <w:tcPr>
            <w:tcW w:type="dxa" w:w="3249"/>
          </w:tcPr>
          <w:p>
            <w:r>
              <w:rPr>
                <w:b/>
              </w:rPr>
              <w:t>Notes</w:t>
            </w:r>
          </w:p>
        </w:tc>
      </w:tr>
      <w:tr>
        <w:tc>
          <w:tcPr>
            <w:tcW w:type="dxa" w:w="3249"/>
          </w:tcPr>
          <w:p>
            <w:r>
              <w:t>0.1 Environment + dependencies</w:t>
            </w:r>
          </w:p>
        </w:tc>
        <w:tc>
          <w:tcPr>
            <w:tcW w:type="dxa" w:w="3249"/>
          </w:tcPr>
          <w:p>
            <w:r>
              <w:t>Done</w:t>
            </w:r>
          </w:p>
        </w:tc>
        <w:tc>
          <w:tcPr>
            <w:tcW w:type="dxa" w:w="3249"/>
          </w:tcPr>
          <w:p>
            <w:r>
              <w:t>requirements.txt, SB3, PyTorch, gymnasium, yfinance</w:t>
            </w:r>
          </w:p>
        </w:tc>
      </w:tr>
      <w:tr>
        <w:tc>
          <w:tcPr>
            <w:tcW w:type="dxa" w:w="3249"/>
          </w:tcPr>
          <w:p>
            <w:r>
              <w:t>0.2 PPO baseline on sample data</w:t>
            </w:r>
          </w:p>
        </w:tc>
        <w:tc>
          <w:tcPr>
            <w:tcW w:type="dxa" w:w="3249"/>
          </w:tcPr>
          <w:p>
            <w:r>
              <w:t>Done</w:t>
            </w:r>
          </w:p>
        </w:tc>
        <w:tc>
          <w:tcPr>
            <w:tcW w:type="dxa" w:w="3249"/>
          </w:tcPr>
          <w:p>
            <w:r>
              <w:t>phase0_examples/ppo_stock_trading_standalone.py</w:t>
            </w:r>
          </w:p>
        </w:tc>
      </w:tr>
      <w:tr>
        <w:tc>
          <w:tcPr>
            <w:tcW w:type="dxa" w:w="3249"/>
          </w:tcPr>
          <w:p>
            <w:r>
              <w:t>0.3 DeepAR-style probabilistic example</w:t>
            </w:r>
          </w:p>
        </w:tc>
        <w:tc>
          <w:tcPr>
            <w:tcW w:type="dxa" w:w="3249"/>
          </w:tcPr>
          <w:p>
            <w:r>
              <w:t>Done</w:t>
            </w:r>
          </w:p>
        </w:tc>
        <w:tc>
          <w:tcPr>
            <w:tcW w:type="dxa" w:w="3249"/>
          </w:tcPr>
          <w:p>
            <w:r>
              <w:t>phase0_examples/deepar_style_example.py</w:t>
            </w:r>
          </w:p>
        </w:tc>
      </w:tr>
      <w:tr>
        <w:tc>
          <w:tcPr>
            <w:tcW w:type="dxa" w:w="3249"/>
          </w:tcPr>
          <w:p>
            <w:r>
              <w:t>1.1 Shared protocol + metrics</w:t>
            </w:r>
          </w:p>
        </w:tc>
        <w:tc>
          <w:tcPr>
            <w:tcW w:type="dxa" w:w="3249"/>
          </w:tcPr>
          <w:p>
            <w:r>
              <w:t>Done</w:t>
            </w:r>
          </w:p>
        </w:tc>
        <w:tc>
          <w:tcPr>
            <w:tcW w:type="dxa" w:w="3249"/>
          </w:tcPr>
          <w:p>
            <w:r>
              <w:t>experiments/configs/dissertation_protocol.json, experiments/common.py</w:t>
            </w:r>
          </w:p>
        </w:tc>
      </w:tr>
      <w:tr>
        <w:tc>
          <w:tcPr>
            <w:tcW w:type="dxa" w:w="3249"/>
          </w:tcPr>
          <w:p>
            <w:r>
              <w:t>1.2 Reproducible baseline / probabilistic / benchmark runners</w:t>
            </w:r>
          </w:p>
        </w:tc>
        <w:tc>
          <w:tcPr>
            <w:tcW w:type="dxa" w:w="3249"/>
          </w:tcPr>
          <w:p>
            <w:r>
              <w:t>Done</w:t>
            </w:r>
          </w:p>
        </w:tc>
        <w:tc>
          <w:tcPr>
            <w:tcW w:type="dxa" w:w="3249"/>
          </w:tcPr>
          <w:p>
            <w:r>
              <w:t>Three runners, seeded</w:t>
            </w:r>
          </w:p>
        </w:tc>
      </w:tr>
      <w:tr>
        <w:tc>
          <w:tcPr>
            <w:tcW w:type="dxa" w:w="3249"/>
          </w:tcPr>
          <w:p>
            <w:r>
              <w:t>1.3 Dissertation report + supervisor pack</w:t>
            </w:r>
          </w:p>
        </w:tc>
        <w:tc>
          <w:tcPr>
            <w:tcW w:type="dxa" w:w="3249"/>
          </w:tcPr>
          <w:p>
            <w:r>
              <w:t>Done</w:t>
            </w:r>
          </w:p>
        </w:tc>
        <w:tc>
          <w:tcPr>
            <w:tcW w:type="dxa" w:w="3249"/>
          </w:tcPr>
          <w:p>
            <w:r>
              <w:t>reports/generated/</w:t>
            </w:r>
          </w:p>
        </w:tc>
      </w:tr>
      <w:tr>
        <w:tc>
          <w:tcPr>
            <w:tcW w:type="dxa" w:w="3249"/>
          </w:tcPr>
          <w:p>
            <w:r>
              <w:t>1.4 Rule-based stop-loss comparator (5 % and 10 % variants)</w:t>
            </w:r>
          </w:p>
        </w:tc>
        <w:tc>
          <w:tcPr>
            <w:tcW w:type="dxa" w:w="3249"/>
          </w:tcPr>
          <w:p>
            <w:r>
              <w:t>Done</w:t>
            </w:r>
          </w:p>
        </w:tc>
        <w:tc>
          <w:tcPr>
            <w:tcW w:type="dxa" w:w="3249"/>
          </w:tcPr>
          <w:p>
            <w:r>
              <w:t>experiments/run_rule_baselines.py</w:t>
            </w:r>
          </w:p>
        </w:tc>
      </w:tr>
      <w:tr>
        <w:tc>
          <w:tcPr>
            <w:tcW w:type="dxa" w:w="3249"/>
          </w:tcPr>
          <w:p>
            <w:r>
              <w:t>1.5 Robustness on 70-ticker test universe (Phase-1 budget)</w:t>
            </w:r>
          </w:p>
        </w:tc>
        <w:tc>
          <w:tcPr>
            <w:tcW w:type="dxa" w:w="3249"/>
          </w:tcPr>
          <w:p>
            <w:r>
              <w:t>Done</w:t>
            </w:r>
          </w:p>
        </w:tc>
        <w:tc>
          <w:tcPr>
            <w:tcW w:type="dxa" w:w="3249"/>
          </w:tcPr>
          <w:p>
            <w:r>
              <w:t>Four-agent comparison on 70 tickers × 3 seeds × 10k steps; aggregate stats + per-ticker table in Section 5.5 of dissertation</w:t>
            </w:r>
          </w:p>
        </w:tc>
      </w:tr>
      <w:tr>
        <w:tc>
          <w:tcPr>
            <w:tcW w:type="dxa" w:w="3249"/>
          </w:tcPr>
          <w:p>
            <w:r>
              <w:t>1.6 Walk-forward (out-of-time) on CPU-feasible subset</w:t>
            </w:r>
          </w:p>
        </w:tc>
        <w:tc>
          <w:tcPr>
            <w:tcW w:type="dxa" w:w="3249"/>
          </w:tcPr>
          <w:p>
            <w:r>
              <w:t>Done</w:t>
            </w:r>
          </w:p>
        </w:tc>
        <w:tc>
          <w:tcPr>
            <w:tcW w:type="dxa" w:w="3249"/>
          </w:tcPr>
          <w:p>
            <w:r>
              <w:t>4 tickers × 4 folds × 3 seeds × 10k steps = 96 trainings; in Section 6.4 of dissertation</w:t>
            </w:r>
          </w:p>
        </w:tc>
      </w:tr>
      <w:tr>
        <w:tc>
          <w:tcPr>
            <w:tcW w:type="dxa" w:w="3249"/>
          </w:tcPr>
          <w:p>
            <w:r>
              <w:t>1.7 Extended seed-stability check on representative sub-universe</w:t>
            </w:r>
          </w:p>
        </w:tc>
        <w:tc>
          <w:tcPr>
            <w:tcW w:type="dxa" w:w="3249"/>
          </w:tcPr>
          <w:p>
            <w:r>
              <w:t>Done</w:t>
            </w:r>
          </w:p>
        </w:tc>
        <w:tc>
          <w:tcPr>
            <w:tcW w:type="dxa" w:w="3249"/>
          </w:tcPr>
          <w:p>
            <w:r>
              <w:t>8 tickers × 10 seeds × 50k steps = 80 trainings; in Section 5.5.1 of dissertation</w:t>
            </w:r>
          </w:p>
        </w:tc>
      </w:tr>
      <w:tr>
        <w:tc>
          <w:tcPr>
            <w:tcW w:type="dxa" w:w="3249"/>
          </w:tcPr>
          <w:p>
            <w:r>
              <w:t>1.8 Phase-2 extended grid on full 70-ticker universe</w:t>
            </w:r>
          </w:p>
        </w:tc>
        <w:tc>
          <w:tcPr>
            <w:tcW w:type="dxa" w:w="3249"/>
          </w:tcPr>
          <w:p>
            <w:r>
              <w:t>Scheduled</w:t>
            </w:r>
          </w:p>
        </w:tc>
        <w:tc>
          <w:tcPr>
            <w:tcW w:type="dxa" w:w="3249"/>
          </w:tcPr>
          <w:p>
            <w:r>
              <w:t>GPU-only; orchestrator experiments/run_extended_grid.py + notebook notebooks/extended_grid_colab.ipynb</w:t>
            </w:r>
          </w:p>
        </w:tc>
      </w:tr>
    </w:tbl>
    <w:p>
      <w:pPr>
        <w:pStyle w:val="Heading2"/>
      </w:pPr>
      <w:r>
        <w:rPr>
          <w:color w:val="000000"/>
        </w:rPr>
        <w:t>Current results (mean across 3 seeds, test window 2022-2025)</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vAlign w:val="center"/>
          </w:tcPr>
          <w:p>
            <w:r>
              <w:rPr>
                <w:b/>
              </w:rPr>
              <w:t>Agent</w:t>
            </w:r>
          </w:p>
        </w:tc>
        <w:tc>
          <w:tcPr>
            <w:tcW w:type="dxa" w:w="1392"/>
            <w:vAlign w:val="center"/>
          </w:tcPr>
          <w:p>
            <w:r>
              <w:rPr>
                <w:b/>
              </w:rPr>
              <w:t>Final value (USD)</w:t>
            </w:r>
          </w:p>
        </w:tc>
        <w:tc>
          <w:tcPr>
            <w:tcW w:type="dxa" w:w="1392"/>
            <w:vAlign w:val="center"/>
          </w:tcPr>
          <w:p>
            <w:r>
              <w:rPr>
                <w:b/>
              </w:rPr>
              <w:t>Sharpe</w:t>
            </w:r>
          </w:p>
        </w:tc>
        <w:tc>
          <w:tcPr>
            <w:tcW w:type="dxa" w:w="1392"/>
            <w:vAlign w:val="center"/>
          </w:tcPr>
          <w:p>
            <w:r>
              <w:rPr>
                <w:b/>
              </w:rPr>
              <w:t>Max DD</w:t>
            </w:r>
          </w:p>
        </w:tc>
        <w:tc>
          <w:tcPr>
            <w:tcW w:type="dxa" w:w="1392"/>
            <w:vAlign w:val="center"/>
          </w:tcPr>
          <w:p>
            <w:r>
              <w:rPr>
                <w:b/>
              </w:rPr>
              <w:t>VaR-95 viol.</w:t>
            </w:r>
          </w:p>
        </w:tc>
        <w:tc>
          <w:tcPr>
            <w:tcW w:type="dxa" w:w="1392"/>
            <w:vAlign w:val="center"/>
          </w:tcPr>
          <w:p>
            <w:r>
              <w:rPr>
                <w:b/>
              </w:rPr>
              <w:t>Terminal preservation</w:t>
            </w:r>
          </w:p>
        </w:tc>
        <w:tc>
          <w:tcPr>
            <w:tcW w:type="dxa" w:w="1392"/>
            <w:vAlign w:val="center"/>
          </w:tcPr>
          <w:p>
            <w:r>
              <w:rPr>
                <w:b/>
              </w:rPr>
              <w:t>Path preservation (1−MDD)</w:t>
            </w:r>
          </w:p>
        </w:tc>
      </w:tr>
      <w:tr>
        <w:tc>
          <w:tcPr>
            <w:tcW w:type="dxa" w:w="1392"/>
            <w:vAlign w:val="center"/>
          </w:tcPr>
          <w:p>
            <w:r>
              <w:t>Baseline PPO</w:t>
            </w:r>
          </w:p>
        </w:tc>
        <w:tc>
          <w:tcPr>
            <w:tcW w:type="dxa" w:w="1392"/>
            <w:vAlign w:val="center"/>
          </w:tcPr>
          <w:p>
            <w:r>
              <w:t>$985,463</w:t>
            </w:r>
          </w:p>
        </w:tc>
        <w:tc>
          <w:tcPr>
            <w:tcW w:type="dxa" w:w="1392"/>
            <w:vAlign w:val="center"/>
          </w:tcPr>
          <w:p>
            <w:r>
              <w:t>-0.4285</w:t>
            </w:r>
          </w:p>
        </w:tc>
        <w:tc>
          <w:tcPr>
            <w:tcW w:type="dxa" w:w="1392"/>
            <w:vAlign w:val="center"/>
          </w:tcPr>
          <w:p>
            <w:r>
              <w:t>0.0209</w:t>
            </w:r>
          </w:p>
        </w:tc>
        <w:tc>
          <w:tcPr>
            <w:tcW w:type="dxa" w:w="1392"/>
            <w:vAlign w:val="center"/>
          </w:tcPr>
          <w:p>
            <w:r>
              <w:t>0.0105</w:t>
            </w:r>
          </w:p>
        </w:tc>
        <w:tc>
          <w:tcPr>
            <w:tcW w:type="dxa" w:w="1392"/>
            <w:vAlign w:val="center"/>
          </w:tcPr>
          <w:p>
            <w:r>
              <w:t>0.9811</w:t>
            </w:r>
          </w:p>
        </w:tc>
        <w:tc>
          <w:tcPr>
            <w:tcW w:type="dxa" w:w="1392"/>
            <w:vAlign w:val="center"/>
          </w:tcPr>
          <w:p>
            <w:r>
              <w:t>0.9791</w:t>
            </w:r>
          </w:p>
        </w:tc>
      </w:tr>
      <w:tr>
        <w:tc>
          <w:tcPr>
            <w:tcW w:type="dxa" w:w="1392"/>
            <w:vAlign w:val="center"/>
          </w:tcPr>
          <w:p>
            <w:r>
              <w:t>Probabilistic PPO</w:t>
            </w:r>
          </w:p>
        </w:tc>
        <w:tc>
          <w:tcPr>
            <w:tcW w:type="dxa" w:w="1392"/>
            <w:vAlign w:val="center"/>
          </w:tcPr>
          <w:p>
            <w:r>
              <w:t>$1,597,558</w:t>
            </w:r>
          </w:p>
        </w:tc>
        <w:tc>
          <w:tcPr>
            <w:tcW w:type="dxa" w:w="1392"/>
            <w:vAlign w:val="center"/>
          </w:tcPr>
          <w:p>
            <w:r>
              <w:t>+0.7250</w:t>
            </w:r>
          </w:p>
        </w:tc>
        <w:tc>
          <w:tcPr>
            <w:tcW w:type="dxa" w:w="1392"/>
            <w:vAlign w:val="center"/>
          </w:tcPr>
          <w:p>
            <w:r>
              <w:t>0.1978</w:t>
            </w:r>
          </w:p>
        </w:tc>
        <w:tc>
          <w:tcPr>
            <w:tcW w:type="dxa" w:w="1392"/>
            <w:vAlign w:val="center"/>
          </w:tcPr>
          <w:p>
            <w:r>
              <w:t>0.0500</w:t>
            </w:r>
          </w:p>
        </w:tc>
        <w:tc>
          <w:tcPr>
            <w:tcW w:type="dxa" w:w="1392"/>
            <w:vAlign w:val="center"/>
          </w:tcPr>
          <w:p>
            <w:r>
              <w:t>0.9965</w:t>
            </w:r>
          </w:p>
        </w:tc>
        <w:tc>
          <w:tcPr>
            <w:tcW w:type="dxa" w:w="1392"/>
            <w:vAlign w:val="center"/>
          </w:tcPr>
          <w:p>
            <w:r>
              <w:t>0.8022</w:t>
            </w:r>
          </w:p>
        </w:tc>
      </w:tr>
      <w:tr>
        <w:tc>
          <w:tcPr>
            <w:tcW w:type="dxa" w:w="1392"/>
            <w:vAlign w:val="center"/>
          </w:tcPr>
          <w:p>
            <w:r>
              <w:t>Rule-based stop-loss (5%)</w:t>
            </w:r>
          </w:p>
        </w:tc>
        <w:tc>
          <w:tcPr>
            <w:tcW w:type="dxa" w:w="1392"/>
            <w:vAlign w:val="center"/>
          </w:tcPr>
          <w:p>
            <w:r>
              <w:t>$1,233,202</w:t>
            </w:r>
          </w:p>
        </w:tc>
        <w:tc>
          <w:tcPr>
            <w:tcW w:type="dxa" w:w="1392"/>
            <w:vAlign w:val="center"/>
          </w:tcPr>
          <w:p>
            <w:r>
              <w:t>+0.4237</w:t>
            </w:r>
          </w:p>
        </w:tc>
        <w:tc>
          <w:tcPr>
            <w:tcW w:type="dxa" w:w="1392"/>
            <w:vAlign w:val="center"/>
          </w:tcPr>
          <w:p>
            <w:r>
              <w:t>0.2523</w:t>
            </w:r>
          </w:p>
        </w:tc>
        <w:tc>
          <w:tcPr>
            <w:tcW w:type="dxa" w:w="1392"/>
            <w:vAlign w:val="center"/>
          </w:tcPr>
          <w:p>
            <w:r>
              <w:t>0.0500</w:t>
            </w:r>
          </w:p>
        </w:tc>
        <w:tc>
          <w:tcPr>
            <w:tcW w:type="dxa" w:w="1392"/>
            <w:vAlign w:val="center"/>
          </w:tcPr>
          <w:p>
            <w:r>
              <w:t>0.9905</w:t>
            </w:r>
          </w:p>
        </w:tc>
        <w:tc>
          <w:tcPr>
            <w:tcW w:type="dxa" w:w="1392"/>
            <w:vAlign w:val="center"/>
          </w:tcPr>
          <w:p>
            <w:r>
              <w:t>0.7477</w:t>
            </w:r>
          </w:p>
        </w:tc>
      </w:tr>
      <w:tr>
        <w:tc>
          <w:tcPr>
            <w:tcW w:type="dxa" w:w="1392"/>
            <w:vAlign w:val="center"/>
          </w:tcPr>
          <w:p>
            <w:r>
              <w:t>Rule-based stop-loss (10%)</w:t>
            </w:r>
          </w:p>
        </w:tc>
        <w:tc>
          <w:tcPr>
            <w:tcW w:type="dxa" w:w="1392"/>
            <w:vAlign w:val="center"/>
          </w:tcPr>
          <w:p>
            <w:r>
              <w:t>$1,241,164</w:t>
            </w:r>
          </w:p>
        </w:tc>
        <w:tc>
          <w:tcPr>
            <w:tcW w:type="dxa" w:w="1392"/>
            <w:vAlign w:val="center"/>
          </w:tcPr>
          <w:p>
            <w:r>
              <w:t>+0.4085</w:t>
            </w:r>
          </w:p>
        </w:tc>
        <w:tc>
          <w:tcPr>
            <w:tcW w:type="dxa" w:w="1392"/>
            <w:vAlign w:val="center"/>
          </w:tcPr>
          <w:p>
            <w:r>
              <w:t>0.2995</w:t>
            </w:r>
          </w:p>
        </w:tc>
        <w:tc>
          <w:tcPr>
            <w:tcW w:type="dxa" w:w="1392"/>
            <w:vAlign w:val="center"/>
          </w:tcPr>
          <w:p>
            <w:r>
              <w:t>0.0500</w:t>
            </w:r>
          </w:p>
        </w:tc>
        <w:tc>
          <w:tcPr>
            <w:tcW w:type="dxa" w:w="1392"/>
            <w:vAlign w:val="center"/>
          </w:tcPr>
          <w:p>
            <w:r>
              <w:t>0.9951</w:t>
            </w:r>
          </w:p>
        </w:tc>
        <w:tc>
          <w:tcPr>
            <w:tcW w:type="dxa" w:w="1392"/>
            <w:vAlign w:val="center"/>
          </w:tcPr>
          <w:p>
            <w:r>
              <w:t>0.7005</w:t>
            </w:r>
          </w:p>
        </w:tc>
      </w:tr>
      <w:tr>
        <w:tc>
          <w:tcPr>
            <w:tcW w:type="dxa" w:w="1392"/>
            <w:vAlign w:val="center"/>
          </w:tcPr>
          <w:p>
            <w:r>
              <w:t>Buy-and-hold (SPY)</w:t>
            </w:r>
          </w:p>
        </w:tc>
        <w:tc>
          <w:tcPr>
            <w:tcW w:type="dxa" w:w="1392"/>
            <w:vAlign w:val="center"/>
          </w:tcPr>
          <w:p>
            <w:r>
              <w:t>$1,520,354</w:t>
            </w:r>
          </w:p>
        </w:tc>
        <w:tc>
          <w:tcPr>
            <w:tcW w:type="dxa" w:w="1392"/>
            <w:vAlign w:val="center"/>
          </w:tcPr>
          <w:p>
            <w:r>
              <w:t>+0.5867</w:t>
            </w:r>
          </w:p>
        </w:tc>
        <w:tc>
          <w:tcPr>
            <w:tcW w:type="dxa" w:w="1392"/>
            <w:vAlign w:val="center"/>
          </w:tcPr>
          <w:p>
            <w:r>
              <w:t>0.2450</w:t>
            </w:r>
          </w:p>
        </w:tc>
        <w:tc>
          <w:tcPr>
            <w:tcW w:type="dxa" w:w="1392"/>
            <w:vAlign w:val="center"/>
          </w:tcPr>
          <w:p>
            <w:r>
              <w:t>0.0500</w:t>
            </w:r>
          </w:p>
        </w:tc>
        <w:tc>
          <w:tcPr>
            <w:tcW w:type="dxa" w:w="1392"/>
            <w:vAlign w:val="center"/>
          </w:tcPr>
          <w:p>
            <w:r>
              <w:t>0.9951</w:t>
            </w:r>
          </w:p>
        </w:tc>
        <w:tc>
          <w:tcPr>
            <w:tcW w:type="dxa" w:w="1392"/>
            <w:vAlign w:val="center"/>
          </w:tcPr>
          <w:p>
            <w:r>
              <w:t>0.7550</w:t>
            </w:r>
          </w:p>
        </w:tc>
      </w:tr>
      <w:tr>
        <w:tc>
          <w:tcPr>
            <w:tcW w:type="dxa" w:w="1392"/>
            <w:vAlign w:val="center"/>
          </w:tcPr>
          <w:p>
            <w:r>
              <w:t>All-cash</w:t>
            </w:r>
          </w:p>
        </w:tc>
        <w:tc>
          <w:tcPr>
            <w:tcW w:type="dxa" w:w="1392"/>
            <w:vAlign w:val="center"/>
          </w:tcPr>
          <w:p>
            <w:r>
              <w:t>$1,000,000</w:t>
            </w:r>
          </w:p>
        </w:tc>
        <w:tc>
          <w:tcPr>
            <w:tcW w:type="dxa" w:w="1392"/>
            <w:vAlign w:val="center"/>
          </w:tcPr>
          <w:p>
            <w:r>
              <w:t>+0.0000</w:t>
            </w:r>
          </w:p>
        </w:tc>
        <w:tc>
          <w:tcPr>
            <w:tcW w:type="dxa" w:w="1392"/>
            <w:vAlign w:val="center"/>
          </w:tcPr>
          <w:p>
            <w:r>
              <w:t>0.0000</w:t>
            </w:r>
          </w:p>
        </w:tc>
        <w:tc>
          <w:tcPr>
            <w:tcW w:type="dxa" w:w="1392"/>
            <w:vAlign w:val="center"/>
          </w:tcPr>
          <w:p>
            <w:r>
              <w:t>0.0000</w:t>
            </w:r>
          </w:p>
        </w:tc>
        <w:tc>
          <w:tcPr>
            <w:tcW w:type="dxa" w:w="1392"/>
            <w:vAlign w:val="center"/>
          </w:tcPr>
          <w:p>
            <w:r>
              <w:t>1.0000</w:t>
            </w:r>
          </w:p>
        </w:tc>
        <w:tc>
          <w:tcPr>
            <w:tcW w:type="dxa" w:w="1392"/>
            <w:vAlign w:val="center"/>
          </w:tcPr>
          <w:p>
            <w:r>
              <w:t>1.0000</w:t>
            </w:r>
          </w:p>
        </w:tc>
      </w:tr>
    </w:tbl>
    <w:p>
      <w:r>
        <w:rPr>
          <w:b w:val="0"/>
          <w:i/>
        </w:rPr>
        <w:t>Reference figures: reports/generated/charts/final_value_comparison.png, equity_curve_comparison.png and uncertainty_signal.png.</w:t>
      </w:r>
    </w:p>
    <w:p>
      <w:pPr>
        <w:pStyle w:val="Heading2"/>
      </w:pPr>
      <w:r>
        <w:rPr>
          <w:color w:val="000000"/>
        </w:rPr>
        <w:t>70-ticker test universe — Phase-1 robustness</w:t>
      </w:r>
    </w:p>
    <w:p>
      <w:r>
        <w:rPr>
          <w:b w:val="0"/>
          <w:i w:val="0"/>
        </w:rPr>
        <w:t>The Phase-1 robustness study runs the same four-agent comparison on a 70-ticker diversified-equity test universe (41 single-name US large-cap equities spanning technology, payments and financial services, healthcare, consumer and industrials, plus 29 exchange-traded funds covering broad-market indices, sector SPDRs, dividend ETFs, thematic exposures and commodity funds) on the same 2022–2025 test window with the same metric definitions. The aggregate result is summarised below; the full per-ticker table is in Appendix B of the main dissertation.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Strategy</w:t>
            </w:r>
          </w:p>
        </w:tc>
        <w:tc>
          <w:tcPr>
            <w:tcW w:type="dxa" w:w="2436"/>
          </w:tcPr>
          <w:p>
            <w:r>
              <w:rPr>
                <w:b/>
              </w:rPr>
              <w:t>Mean terminal value</w:t>
            </w:r>
          </w:p>
        </w:tc>
        <w:tc>
          <w:tcPr>
            <w:tcW w:type="dxa" w:w="2436"/>
          </w:tcPr>
          <w:p>
            <w:r>
              <w:rPr>
                <w:b/>
              </w:rPr>
              <w:t>Mean Sharpe</w:t>
            </w:r>
          </w:p>
        </w:tc>
        <w:tc>
          <w:tcPr>
            <w:tcW w:type="dxa" w:w="2436"/>
          </w:tcPr>
          <w:p>
            <w:r>
              <w:rPr>
                <w:b/>
              </w:rPr>
              <w:t>Mean Max-DD</w:t>
            </w:r>
          </w:p>
        </w:tc>
      </w:tr>
      <w:tr>
        <w:tc>
          <w:tcPr>
            <w:tcW w:type="dxa" w:w="2436"/>
          </w:tcPr>
          <w:p>
            <w:r>
              <w:t>Baseline PPO (no uncertainty)</w:t>
            </w:r>
          </w:p>
        </w:tc>
        <w:tc>
          <w:tcPr>
            <w:tcW w:type="dxa" w:w="2436"/>
          </w:tcPr>
          <w:p>
            <w:r>
              <w:t>$989,430</w:t>
            </w:r>
          </w:p>
        </w:tc>
        <w:tc>
          <w:tcPr>
            <w:tcW w:type="dxa" w:w="2436"/>
          </w:tcPr>
          <w:p>
            <w:r>
              <w:t>−0.23</w:t>
            </w:r>
          </w:p>
        </w:tc>
        <w:tc>
          <w:tcPr>
            <w:tcW w:type="dxa" w:w="2436"/>
          </w:tcPr>
          <w:p>
            <w:r>
              <w:t>0.033</w:t>
            </w:r>
          </w:p>
        </w:tc>
      </w:tr>
      <w:tr>
        <w:tc>
          <w:tcPr>
            <w:tcW w:type="dxa" w:w="2436"/>
          </w:tcPr>
          <w:p>
            <w:r>
              <w:rPr>
                <w:b/>
              </w:rPr>
              <w:t>Probabilistic PPO (this work)</w:t>
            </w:r>
          </w:p>
        </w:tc>
        <w:tc>
          <w:tcPr>
            <w:tcW w:type="dxa" w:w="2436"/>
          </w:tcPr>
          <w:p>
            <w:r>
              <w:rPr>
                <w:b/>
              </w:rPr>
              <w:t>$1,998,817</w:t>
            </w:r>
          </w:p>
        </w:tc>
        <w:tc>
          <w:tcPr>
            <w:tcW w:type="dxa" w:w="2436"/>
          </w:tcPr>
          <w:p>
            <w:r>
              <w:rPr>
                <w:b/>
              </w:rPr>
              <w:t>+0.60</w:t>
            </w:r>
          </w:p>
        </w:tc>
        <w:tc>
          <w:tcPr>
            <w:tcW w:type="dxa" w:w="2436"/>
          </w:tcPr>
          <w:p>
            <w:r>
              <w:rPr>
                <w:b/>
              </w:rPr>
              <w:t>0.225</w:t>
            </w:r>
          </w:p>
        </w:tc>
      </w:tr>
      <w:tr>
        <w:tc>
          <w:tcPr>
            <w:tcW w:type="dxa" w:w="2436"/>
          </w:tcPr>
          <w:p>
            <w:r>
              <w:t>Manual 5 % trailing stop</w:t>
            </w:r>
          </w:p>
        </w:tc>
        <w:tc>
          <w:tcPr>
            <w:tcW w:type="dxa" w:w="2436"/>
          </w:tcPr>
          <w:p>
            <w:r>
              <w:t>$1,531,163</w:t>
            </w:r>
          </w:p>
        </w:tc>
        <w:tc>
          <w:tcPr>
            <w:tcW w:type="dxa" w:w="2436"/>
          </w:tcPr>
          <w:p>
            <w:r>
              <w:t>+0.36</w:t>
            </w:r>
          </w:p>
        </w:tc>
        <w:tc>
          <w:tcPr>
            <w:tcW w:type="dxa" w:w="2436"/>
          </w:tcPr>
          <w:p>
            <w:r>
              <w:t>0.305</w:t>
            </w:r>
          </w:p>
        </w:tc>
      </w:tr>
      <w:tr>
        <w:tc>
          <w:tcPr>
            <w:tcW w:type="dxa" w:w="2436"/>
          </w:tcPr>
          <w:p>
            <w:r>
              <w:t>Passive buy-and-hold</w:t>
            </w:r>
          </w:p>
        </w:tc>
        <w:tc>
          <w:tcPr>
            <w:tcW w:type="dxa" w:w="2436"/>
          </w:tcPr>
          <w:p>
            <w:r>
              <w:t>$2,099,838</w:t>
            </w:r>
          </w:p>
        </w:tc>
        <w:tc>
          <w:tcPr>
            <w:tcW w:type="dxa" w:w="2436"/>
          </w:tcPr>
          <w:p>
            <w:r>
              <w:t>+0.54</w:t>
            </w:r>
          </w:p>
        </w:tc>
        <w:tc>
          <w:tcPr>
            <w:tcW w:type="dxa" w:w="2436"/>
          </w:tcPr>
          <w:p>
            <w:r>
              <w:t>0.370</w:t>
            </w:r>
          </w:p>
        </w:tc>
      </w:tr>
    </w:tbl>
    <w:p>
      <w:r>
        <w:rPr>
          <w:b/>
          <w:i w:val="0"/>
        </w:rPr>
        <w:t>Headline findings on the 70-ticker test universe:</w:t>
      </w:r>
    </w:p>
    <w:p>
      <w:pPr>
        <w:pStyle w:val="ListBullet"/>
      </w:pPr>
      <w:r>
        <w:t>Drawdown reduced versus passive buy-and-hold on 70 of 70 tickers (100 % of the universe), with an average reduction of 14.5 percentage points (mean drawdown cut by 39 % in relative terms — from 37.0 % to 22.5 %). This is the strongest single number in the dissertation.</w:t>
      </w:r>
    </w:p>
    <w:p>
      <w:pPr>
        <w:pStyle w:val="ListBullet"/>
      </w:pPr>
      <w:r>
        <w:t>Probabilistic agent beat the manually-tuned 5 % trailing stop on 61 of 70 tickers (87 %) in terminal value, and on essentially every ticker in Sharpe ratio — the empirical answer to the previous-meeting question on whether the AI agent beats a manually-tuned stop-loss alternative.</w:t>
      </w:r>
    </w:p>
    <w:p>
      <w:pPr>
        <w:pStyle w:val="ListBullet"/>
      </w:pPr>
      <w:r>
        <w:t>Cost in mean terminal value versus passive buy-and-hold: roughly 5 % give-up in mean upside in exchange for the 39 % reduction in mean drawdown above. This is exactly the trade an institutional drawdown-mandated investor runs every quarter.</w:t>
      </w:r>
    </w:p>
    <w:p>
      <w:pPr>
        <w:pStyle w:val="ListBullet"/>
      </w:pPr>
      <w:r>
        <w:t>Where the agent loses (45 of 70 tickers in terminal value, all winning on drawdown), the losses cluster in two diagnosable regimes: persistent, low-uncertainty bull-market trends in single names (NVDA, AVGO, LLY) where the uncertainty-guard's caution costs the right tail, and very-low-drawdown defensives (JNJ, MCD, SCHD, GLD) where there is essentially nothing for a drawdown overlay to add. Sector-aware uncertainty-quantile calibration is the targeted Phase-2 fix.</w:t>
      </w:r>
    </w:p>
    <w:p>
      <w:pPr>
        <w:pStyle w:val="Heading2"/>
      </w:pPr>
      <w:r>
        <w:rPr>
          <w:color w:val="000000"/>
        </w:rPr>
        <w:t>How to read these numbers</w:t>
      </w:r>
    </w:p>
    <w:p>
      <w:pPr>
        <w:pStyle w:val="ListBullet"/>
      </w:pPr>
      <w:r>
        <w:t>The headline criterion is the joint of Sharpe ratio and drawdown control, not either half alone. Meeting either half on its own is trivial: an all-cash policy achieves perfect preservation with zero return, and a return-only policy ignores the constraint entirely. On the 70-ticker test universe the probabilistic agent meets the joint constraint: it controls drawdown on 100 % of the universe (mean drawdown 22.5 % vs buy-and-hold's 37.0 %) and earns a higher mean Sharpe than passive buy-and-hold (+0.60 vs +0.54). The baseline PPO meets neither half: it ends roughly where it started with a slightly negative Sharpe.</w:t>
      </w:r>
    </w:p>
    <w:p>
      <w:pPr>
        <w:pStyle w:val="ListBullet"/>
      </w:pPr>
      <w:r>
        <w:t>The manually-tuned trailing-stop comparator (5 % stop with 20/50-day moving-average re-entry) is the directly measured manual alternative. The probabilistic agent beats it on 87 % of the 70-ticker universe in terminal value and on essentially every ticker in Sharpe. This is a directly-measured rather than asserted answer to the previous-meeting question on whether the AI agent beats a manually-tuned stop-loss alternative.</w:t>
      </w:r>
    </w:p>
    <w:p>
      <w:pPr>
        <w:pStyle w:val="ListBullet"/>
      </w:pPr>
      <w:r>
        <w:t>Max drawdown on the baseline looks small only because the baseline barely compounds in the first place. Both terminal preservation and path preservation (1 − MDD) are reported in the dissertation so the reader can apply whichever definition matches their mandate.</w:t>
      </w:r>
    </w:p>
    <w:p>
      <w:pPr>
        <w:pStyle w:val="ListBullet"/>
      </w:pPr>
      <w:r>
        <w:t>These numbers are provisional Phase-1 evidence. The Phase-2 extended grid (10 seeds × 50 000 timesteps × 4 walk-forward folds × 16 bootstrap paths × 70 tickers) on the Colab GPU runtime will tighten the seed-variability bands and provide out-of-time confirmation across the full universe.</w:t>
      </w:r>
    </w:p>
    <w:p>
      <w:pPr>
        <w:pStyle w:val="Heading2"/>
      </w:pPr>
      <w:r>
        <w:rPr>
          <w:color w:val="000000"/>
        </w:rPr>
        <w:t>Reproducibility</w:t>
      </w:r>
    </w:p>
    <w:p>
      <w:r>
        <w:rPr>
          <w:rFonts w:ascii="Consolas" w:hAnsi="Consolas"/>
          <w:sz w:val="20"/>
        </w:rPr>
        <w:t>python experiments/run_baseline.py</w:t>
        <w:br/>
        <w:t>python experiments/run_probabilistic_agent.py</w:t>
        <w:br/>
        <w:t>python experiments/run_benchmarks.py</w:t>
        <w:br/>
        <w:t>python experiments/run_rule_baselines.py</w:t>
        <w:br/>
        <w:t>python reports/generate_dissertation_report.py</w:t>
        <w:br/>
        <w:t>python reports/build_supervisor_pack.py</w:t>
        <w:br/>
        <w:t>python reports/plot_dissertation_visuals.py</w:t>
      </w:r>
    </w:p>
    <w:p>
      <w:r>
        <w:rPr>
          <w:b w:val="0"/>
          <w:i w:val="0"/>
        </w:rPr>
        <w:t>Artifacts land in experiments/results/ and reports/generated/. The full source is on GitHub at TheFinix13/Dissertation_Sample_Project, with the walkthrough notebook (Dissertation_Walkthrough.ipynb) as the single entry point for someone reading the project for the first time.</w:t>
      </w:r>
    </w:p>
    <w:p>
      <w:r>
        <w:br w:type="page"/>
      </w:r>
    </w:p>
    <w:p>
      <w:pPr>
        <w:pStyle w:val="Heading1"/>
      </w:pPr>
      <w:r>
        <w:rPr>
          <w:color w:val="000000"/>
        </w:rPr>
        <w:t>Future plan</w:t>
      </w:r>
    </w:p>
    <w:p>
      <w:r>
        <w:rPr>
          <w:b w:val="0"/>
          <w:i w:val="0"/>
        </w:rPr>
        <w:t>The phasing below maps onto the form's structure and reflects the revised direction agreed with the supervisor. Each scheduled task is tied to a milestone with a target date. Milestones are also tied to objectives O1 to O4.</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Working period</w:t>
            </w:r>
          </w:p>
        </w:tc>
        <w:tc>
          <w:tcPr>
            <w:tcW w:type="dxa" w:w="3249"/>
          </w:tcPr>
          <w:p>
            <w:r>
              <w:rPr>
                <w:b/>
              </w:rPr>
              <w:t>Tasks to undertake</w:t>
            </w:r>
          </w:p>
        </w:tc>
        <w:tc>
          <w:tcPr>
            <w:tcW w:type="dxa" w:w="3249"/>
          </w:tcPr>
          <w:p>
            <w:r>
              <w:rPr>
                <w:b/>
              </w:rPr>
              <w:t>Milestones (with target dates)</w:t>
            </w:r>
          </w:p>
        </w:tc>
      </w:tr>
      <w:tr>
        <w:tc>
          <w:tcPr>
            <w:tcW w:type="dxa" w:w="3249"/>
          </w:tcPr>
          <w:p>
            <w:r>
              <w:rPr>
                <w:b/>
              </w:rPr>
              <w:t>May 2026 (remaining)</w:t>
            </w:r>
          </w:p>
        </w:tc>
        <w:tc>
          <w:tcPr>
            <w:tcW w:type="dxa" w:w="3249"/>
          </w:tcPr>
          <w:p>
            <w:r>
              <w:t>Reframe the dissertation around drawdown-constrained risk-adjusted return (Abstract, Chapter 1, interim review). Add a Finance / Risk-Management Background sub-chapter covering MV, CVaR/ES, drawdown measures and Sortino, with notation explained. Implement the rule-based stop-loss baseline as a third comparator. Expand the test universe from a single index to a 70-ticker diversified-equity universe and re-run the four-agent comparison at the Phase-1 budget. Add the Section 5.5.1 extended seed-stability check on a representative eight-ticker sub-universe.</w:t>
            </w:r>
          </w:p>
        </w:tc>
        <w:tc>
          <w:tcPr>
            <w:tcW w:type="dxa" w:w="3249"/>
          </w:tcPr>
          <w:p>
            <w:r>
              <w:t>M1: rule-based baseline checked in and reported alongside the AI agents (mid-May, done). M2: 70-ticker robustness study + extended seed-stability check on representative sub-universe (end of May, done).</w:t>
            </w:r>
          </w:p>
        </w:tc>
      </w:tr>
      <w:tr>
        <w:tc>
          <w:tcPr>
            <w:tcW w:type="dxa" w:w="3249"/>
          </w:tcPr>
          <w:p>
            <w:r>
              <w:rPr>
                <w:b/>
              </w:rPr>
              <w:t>June 2026 (4 weeks)</w:t>
            </w:r>
          </w:p>
        </w:tc>
        <w:tc>
          <w:tcPr>
            <w:tcW w:type="dxa" w:w="3249"/>
          </w:tcPr>
          <w:p>
            <w:r>
              <w:t>Phase-2 extended grid on the full 70-ticker universe at extended budget (10 seeds × 50 000 timesteps × 4 walk-forward folds × 16 bootstrap paths) on Colab GPU runtime. Sector-aware uncertainty-quantile calibration (replace single global threshold with per-sector or per-regime threshold). Begin Chapter 2 (Background) and Chapter 3 (Methodology) full drafts.</w:t>
            </w:r>
          </w:p>
        </w:tc>
        <w:tc>
          <w:tcPr>
            <w:tcW w:type="dxa" w:w="3249"/>
          </w:tcPr>
          <w:p>
            <w:r>
              <w:t>M3: full 70-ticker × 4-fold × 10-seed × 50k-step extended grid (mid-June). M4: sector-aware calibration ablation + Chapter 2 and Chapter 3 first drafts (end of June).</w:t>
            </w:r>
          </w:p>
        </w:tc>
      </w:tr>
      <w:tr>
        <w:tc>
          <w:tcPr>
            <w:tcW w:type="dxa" w:w="3249"/>
          </w:tcPr>
          <w:p>
            <w:r>
              <w:rPr>
                <w:b/>
              </w:rPr>
              <w:t>July 2026 (4-6 weeks)</w:t>
            </w:r>
          </w:p>
        </w:tc>
        <w:tc>
          <w:tcPr>
            <w:tcW w:type="dxa" w:w="3249"/>
          </w:tcPr>
          <w:p>
            <w:r>
              <w:t>Sensitivity sweep on the uncertainty threshold, minimum scale, and max trade fraction. Block-bootstrap data augmentation (Politis and Romano, 1994) to expand the effective training set. Locked final results table. Draft Chapter 5 (Results) and Chapter 1 (Introduction).</w:t>
            </w:r>
          </w:p>
        </w:tc>
        <w:tc>
          <w:tcPr>
            <w:tcW w:type="dxa" w:w="3249"/>
          </w:tcPr>
          <w:p>
            <w:r>
              <w:t>M5: sensitivity and bootstrap results locked (mid-July). M6: Chapters 1, 2, 3 and 5 first drafts (end of July).</w:t>
            </w:r>
          </w:p>
        </w:tc>
      </w:tr>
      <w:tr>
        <w:tc>
          <w:tcPr>
            <w:tcW w:type="dxa" w:w="3249"/>
          </w:tcPr>
          <w:p>
            <w:r>
              <w:rPr>
                <w:b/>
              </w:rPr>
              <w:t>August 2026 (4 weeks)</w:t>
            </w:r>
          </w:p>
        </w:tc>
        <w:tc>
          <w:tcPr>
            <w:tcW w:type="dxa" w:w="3249"/>
          </w:tcPr>
          <w:p>
            <w:r>
              <w:t>Start the paper-trading shadow run via Alpaca early in the month and let it accumulate two weeks of out-of-sample profit-and-loss. Write Chapter 6 (Discussion) and Chapter 7 (Conclusion). Polish figures, integrate supervisor feedback, finalise the dissertation. Code changes from this point are bug-fix only.</w:t>
            </w:r>
          </w:p>
        </w:tc>
        <w:tc>
          <w:tcPr>
            <w:tcW w:type="dxa" w:w="3249"/>
          </w:tcPr>
          <w:p>
            <w:r>
              <w:t>M7: paper-trading shadow run started (early August). M8: full draft to supervisor (mid-August). M9: paper-trading PnL added to results chapter (third week of August). M10: submission-ready version (end of August).</w:t>
            </w:r>
          </w:p>
        </w:tc>
      </w:tr>
      <w:tr>
        <w:tc>
          <w:tcPr>
            <w:tcW w:type="dxa" w:w="3249"/>
          </w:tcPr>
          <w:p>
            <w:r>
              <w:rPr>
                <w:b/>
              </w:rPr>
              <w:t>September 2026</w:t>
            </w:r>
          </w:p>
        </w:tc>
        <w:tc>
          <w:tcPr>
            <w:tcW w:type="dxa" w:w="3249"/>
          </w:tcPr>
          <w:p>
            <w:r>
              <w:t>Submit by 1 September 2026. Viva preparation: slide deck (no more than twelve slides, no more than twenty minutes per the project handbook), demo of the reproducible pipeline, pre-emptive question and answer rehearsal using reports/templates/viva_qa_notes.md.</w:t>
            </w:r>
          </w:p>
        </w:tc>
        <w:tc>
          <w:tcPr>
            <w:tcW w:type="dxa" w:w="3249"/>
          </w:tcPr>
          <w:p>
            <w:r>
              <w:t>M11: viva-ready presentation and demo by viva date.</w:t>
            </w:r>
          </w:p>
        </w:tc>
      </w:tr>
    </w:tbl>
    <w:p>
      <w:pPr>
        <w:pStyle w:val="Heading2"/>
      </w:pPr>
      <w:r>
        <w:rPr>
          <w:color w:val="000000"/>
        </w:rPr>
        <w:t>Risks and mitigations</w:t>
      </w:r>
    </w:p>
    <w:p>
      <w:pPr>
        <w:pStyle w:val="ListBullet"/>
      </w:pPr>
      <w:r>
        <w:t>Compute time. Current runs are CPU-friendly (10 000 PPO timesteps, three seeds). The multi-ticker, walk-forward, ablation and ten-seed grid is larger but still CPU-tractable; runs will be batched overnight and partial-grid results accepted for any interim deliverable. Where the grid is too heavy for the local machine the corresponding runner can be lifted onto a Google Colab GPU runtime without code changes.</w:t>
      </w:r>
    </w:p>
    <w:p>
      <w:pPr>
        <w:pStyle w:val="ListBullet"/>
      </w:pPr>
      <w:r>
        <w:t>Data-API drift. yfinance occasionally changes its column shape. The _close_1d helper used by every runner already normalises this, and the protocol pins explicit dates so a re-pull stays comparable.</w:t>
      </w:r>
    </w:p>
    <w:p>
      <w:pPr>
        <w:pStyle w:val="ListBullet"/>
      </w:pPr>
      <w:r>
        <w:t>Result fragility. The Phase-1 numbers may move under the multi-ticker, walk-forward and ablation work. To guard against over-claiming, results will be reported as median and inter-quartile range across at least ten seeds and across tickers, evaluated on multiple sliding test windows (walk-forward) rather than a single one, and any case where the probabilistic variant fails to beat the rule-based stop-loss comparator or buy-and-hold will be called out explicitly.</w:t>
      </w:r>
    </w:p>
    <w:p>
      <w:pPr>
        <w:pStyle w:val="ListBullet"/>
      </w:pPr>
      <w:r>
        <w:t>Paper-trading dependency. The Alpaca shadow run depends on a working brokerage account and stable market hours. If the API is unavailable for any portion of August, the dissertation will report whatever live profit-and-loss was accumulated up to the cutoff, with the gap explicitly stated.</w:t>
      </w:r>
    </w:p>
    <w:p>
      <w:r>
        <w:br w:type="page"/>
      </w:r>
    </w:p>
    <w:p>
      <w:pPr>
        <w:pStyle w:val="Heading1"/>
      </w:pPr>
      <w:r>
        <w:rPr>
          <w:color w:val="000000"/>
        </w:rPr>
        <w:t>Extenuating circumstances</w:t>
      </w:r>
    </w:p>
    <w:p>
      <w:r>
        <w:rPr>
          <w:b w:val="0"/>
          <w:i/>
        </w:rPr>
        <w:t>[Student to fill in. Either record "None to declare" or describe and indicate that the personal tutor and student-support services have been informed. Do not include medical detail in this document.]</w:t>
      </w:r>
    </w:p>
    <w:p>
      <w:pPr>
        <w:pStyle w:val="Heading1"/>
      </w:pPr>
      <w:r>
        <w:rPr>
          <w:color w:val="000000"/>
        </w:rPr>
        <w:t>Indicative project hours and progress</w:t>
      </w:r>
    </w:p>
    <w:p>
      <w:r>
        <w:rPr>
          <w:b w:val="0"/>
          <w:i w:val="0"/>
        </w:rPr>
        <w:t>Self-assessment of the first one hundred hours allocated to the project. The student should tick exactly one of the following:</w:t>
      </w:r>
    </w:p>
    <w:p>
      <w:pPr>
        <w:pStyle w:val="ListBullet"/>
      </w:pPr>
      <w:r>
        <w:t>[ ]  The work has exceeded the first 100 hours of time allocated.</w:t>
      </w:r>
    </w:p>
    <w:p>
      <w:pPr>
        <w:pStyle w:val="ListBullet"/>
      </w:pPr>
      <w:r>
        <w:t>[X] The work has sufficiently met the first 100 hours.</w:t>
      </w:r>
    </w:p>
    <w:p>
      <w:pPr>
        <w:pStyle w:val="ListBullet"/>
      </w:pPr>
      <w:r>
        <w:t>[ ]  The majority of the first 100 hours have been completed but some time has been lost and will be made up.</w:t>
      </w:r>
    </w:p>
    <w:p>
      <w:pPr>
        <w:pStyle w:val="ListBullet"/>
      </w:pPr>
      <w:r>
        <w:t>[ ]  Engagement in the project has been insufficient and progress is of concern.</w:t>
      </w:r>
    </w:p>
    <w:p>
      <w:r>
        <w:rPr>
          <w:b w:val="0"/>
          <w:i/>
        </w:rPr>
        <w:t>Justification: the reproducible Phase-0 and Phase-1 pipeline, the protocol document, the baseline and probabilistic agents, the benchmarks, the rule-based stop-loss comparator and the generated supervisor pack together support the second tick above.</w:t>
      </w:r>
    </w:p>
    <w:p>
      <w:r>
        <w:br w:type="page"/>
      </w:r>
    </w:p>
    <w:p>
      <w:pPr>
        <w:pStyle w:val="Heading1"/>
      </w:pPr>
      <w:r>
        <w:rPr>
          <w:color w:val="000000"/>
        </w:rPr>
        <w:t>Supervisor's assessment</w:t>
      </w:r>
    </w:p>
    <w:p>
      <w:r>
        <w:rPr>
          <w:b w:val="0"/>
          <w:i/>
        </w:rPr>
        <w:t>The boxes below are reserved for the supervisor's written feedback. The student-completed sections of this document are intended to give the supervisor enough material to assess each item.</w:t>
      </w:r>
    </w:p>
    <w:p>
      <w:r>
        <w:rPr>
          <w:i/>
          <w:color w:val="1F497D"/>
          <w:sz w:val="20"/>
        </w:rPr>
        <w:t>Comments on the project plan and on the student's progress to date:</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literature review and the framing of the problem:</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Comments on the technical progress and the experimental protocol: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Recommendations for the remainder of the project:</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p>
      <w:r>
        <w:rPr>
          <w:i/>
          <w:color w:val="1F497D"/>
          <w:sz w:val="20"/>
        </w:rPr>
        <w:t>Other comments (optional):</w:t>
      </w:r>
    </w:p>
    <w:tbl>
      <w:tblPr>
        <w:tblStyle w:val="TableGrid"/>
        <w:tblW w:type="auto" w:w="0"/>
        <w:tblLook w:firstColumn="1" w:firstRow="1" w:lastColumn="0" w:lastRow="0" w:noHBand="0" w:noVBand="1" w:val="04A0"/>
      </w:tblPr>
      <w:tblGrid>
        <w:gridCol w:w="9746"/>
      </w:tblGrid>
      <w:tr>
        <w:trPr>
          <w:trHeight w:val="1417" w:hRule="atLeast"/>
        </w:trPr>
        <w:tc>
          <w:tcPr>
            <w:tcW w:type="dxa" w:w="9746"/>
            <w:vAlign w:val="top"/>
            <w:shd w:fill="EAF1F8"/>
          </w:tcPr>
          <w:p>
            <w:r>
              <w:rPr>
                <w:color w:val="FFFFFF"/>
              </w:rPr>
              <w:t xml:space="preserv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