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120" w:before="0"/>
        <w:jc w:val="center"/>
      </w:pPr>
      <w:r>
        <w:rPr>
          <w:rFonts w:ascii="Arial" w:cs="Arial" w:eastAsia="Arial" w:hAnsi="Arial"/>
          <w:b/>
          <w:bCs/>
          <w:color w:val="0D1117"/>
          <w:sz w:val="64"/>
          <w:szCs w:val="64"/>
        </w:rPr>
        <w:t xml:space="preserve">OrgSight for Salesforce</w:t>
      </w:r>
    </w:p>
    <w:p>
      <w:pPr>
        <w:spacing w:after="240" w:before="0"/>
        <w:jc w:val="center"/>
      </w:pPr>
      <w:r>
        <w:rPr>
          <w:rFonts w:ascii="Arial" w:cs="Arial" w:eastAsia="Arial" w:hAnsi="Arial"/>
          <w:color w:val="3D4550"/>
          <w:sz w:val="36"/>
          <w:szCs w:val="36"/>
        </w:rPr>
        <w:t xml:space="preserve">User Documentation</w:t>
      </w:r>
    </w:p>
    <w:p>
      <w:pPr>
        <w:pBdr>
          <w:bottom w:val="single" w:color="1ECAD3" w:sz="8" w:space="8"/>
        </w:pBdr>
        <w:spacing w:after="480" w:before="0"/>
        <w:jc w:val="center"/>
      </w:pPr>
      <w:r>
        <w:t xml:space="preserve"/>
      </w:r>
    </w:p>
    <w:p>
      <w:pPr>
        <w:spacing w:after="120" w:before="0"/>
        <w:jc w:val="center"/>
      </w:pPr>
      <w:r>
        <w:rPr>
          <w:rFonts w:ascii="Arial" w:cs="Arial" w:eastAsia="Arial" w:hAnsi="Arial"/>
          <w:color w:val="3D4550"/>
          <w:sz w:val="26"/>
          <w:szCs w:val="26"/>
        </w:rPr>
        <w:t xml:space="preserve">Version 3.3.4</w:t>
      </w:r>
    </w:p>
    <w:p>
      <w:pPr>
        <w:spacing w:after="0" w:before="0"/>
        <w:jc w:val="center"/>
      </w:pPr>
      <w:r>
        <w:rPr>
          <w:rFonts w:ascii="Arial" w:cs="Arial" w:eastAsia="Arial" w:hAnsi="Arial"/>
          <w:i/>
          <w:iCs/>
          <w:color w:val="3D4550"/>
          <w:sz w:val="24"/>
          <w:szCs w:val="24"/>
        </w:rPr>
        <w:t xml:space="preserve">Built by Mashtrix</w:t>
      </w:r>
    </w:p>
    <w:p>
      <w:pPr>
        <w:pStyle w:val="Heading1"/>
        <w:pBdr>
          <w:bottom w:val="single" w:color="1ECAD3" w:sz="6" w:space="6"/>
        </w:pBdr>
        <w:spacing w:after="160" w:before="480"/>
      </w:pPr>
      <w:r>
        <w:rPr>
          <w:rFonts w:ascii="Arial" w:cs="Arial" w:eastAsia="Arial" w:hAnsi="Arial"/>
          <w:b/>
          <w:bCs/>
          <w:color w:val="0D1117"/>
          <w:sz w:val="32"/>
          <w:szCs w:val="32"/>
        </w:rPr>
        <w:t xml:space="preserve">Introduction</w:t>
      </w:r>
    </w:p>
    <w:p>
      <w:pPr>
        <w:spacing w:after="120" w:before="80"/>
      </w:pPr>
      <w:r>
        <w:rPr>
          <w:rFonts w:ascii="Arial" w:cs="Arial" w:eastAsia="Arial" w:hAnsi="Arial"/>
          <w:color w:val="1A1A2E"/>
          <w:sz w:val="22"/>
          <w:szCs w:val="22"/>
        </w:rPr>
        <w:t xml:space="preserve">OrgSight is a Chrome extension built for Salesforce administrators and developers. It surfaces field-level intelligence, metadata analysis, and org health information directly inside the Salesforce interface without leaving the browser or navigating to Setup.</w:t>
      </w:r>
    </w:p>
    <w:p>
      <w:pPr>
        <w:spacing w:after="120" w:before="80"/>
      </w:pPr>
      <w:r>
        <w:rPr>
          <w:rFonts w:ascii="Arial" w:cs="Arial" w:eastAsia="Arial" w:hAnsi="Arial"/>
          <w:color w:val="1A1A2E"/>
          <w:sz w:val="22"/>
          <w:szCs w:val="22"/>
        </w:rPr>
        <w:t xml:space="preserve">Rather than running manual SOQL queries or opening multiple Setup tabs to understand how a field is used, OrgSight aggregates all of that information into a single panel that appears alongside the record you are working on.</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Installation</w:t>
      </w:r>
    </w:p>
    <w:p>
      <w:pPr>
        <w:spacing w:after="120" w:before="80"/>
      </w:pPr>
      <w:r>
        <w:rPr>
          <w:rFonts w:ascii="Arial" w:cs="Arial" w:eastAsia="Arial" w:hAnsi="Arial"/>
          <w:color w:val="1A1A2E"/>
          <w:sz w:val="22"/>
          <w:szCs w:val="22"/>
        </w:rPr>
        <w:t xml:space="preserve">Install the extension from the Chrome Web Store (Extension ID: </w:t>
      </w:r>
      <w:r>
        <w:rPr>
          <w:rFonts w:ascii="Courier New" w:cs="Courier New" w:eastAsia="Courier New" w:hAnsi="Courier New"/>
          <w:color w:val="0E5A6E"/>
          <w:sz w:val="20"/>
          <w:szCs w:val="20"/>
          <w:shd w:fill="EDF8FA" w:val="clear"/>
        </w:rPr>
        <w:t xml:space="preserve">joellpmaagdomhfmgbaklpngnaoaddgg</w:t>
      </w:r>
      <w:r>
        <w:rPr>
          <w:rFonts w:ascii="Arial" w:cs="Arial" w:eastAsia="Arial" w:hAnsi="Arial"/>
          <w:color w:val="1A1A2E"/>
          <w:sz w:val="22"/>
          <w:szCs w:val="22"/>
        </w:rPr>
        <w:t xml:space="preserve">).</w:t>
      </w:r>
    </w:p>
    <w:p>
      <w:pPr>
        <w:spacing w:after="120" w:before="80"/>
      </w:pPr>
      <w:r>
        <w:rPr>
          <w:rFonts w:ascii="Arial" w:cs="Arial" w:eastAsia="Arial" w:hAnsi="Arial"/>
          <w:color w:val="1A1A2E"/>
          <w:sz w:val="22"/>
          <w:szCs w:val="22"/>
        </w:rPr>
        <w:t xml:space="preserve">After installation, navigate to any Salesforce record page. The extension activates automatically on supported domains including production, sandbox, scratch orgs, and the Setup domain. It does not run on Salesforce help pages, Trailhead, AppExchange, or login pages.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Opening the Field Inspector</w:t>
      </w:r>
    </w:p>
    <w:p>
      <w:pPr>
        <w:spacing w:after="120" w:before="80"/>
      </w:pPr>
      <w:r>
        <w:rPr>
          <w:rFonts w:ascii="Arial" w:cs="Arial" w:eastAsia="Arial" w:hAnsi="Arial"/>
          <w:color w:val="1A1A2E"/>
          <w:sz w:val="22"/>
          <w:szCs w:val="22"/>
        </w:rPr>
        <w:t xml:space="preserve">Hold </w:t>
      </w:r>
      <w:r>
        <w:rPr>
          <w:rFonts w:ascii="Arial" w:cs="Arial" w:eastAsia="Arial" w:hAnsi="Arial"/>
          <w:b/>
          <w:bCs/>
          <w:color w:val="1A1A2E"/>
          <w:sz w:val="22"/>
          <w:szCs w:val="22"/>
        </w:rPr>
        <w:t xml:space="preserve">Alt</w:t>
      </w:r>
      <w:r>
        <w:rPr>
          <w:rFonts w:ascii="Arial" w:cs="Arial" w:eastAsia="Arial" w:hAnsi="Arial"/>
          <w:color w:val="1A1A2E"/>
          <w:sz w:val="22"/>
          <w:szCs w:val="22"/>
        </w:rPr>
        <w:t xml:space="preserve"> and click any field label on a record page. The panel opens on the right side of the screen.</w:t>
      </w:r>
    </w:p>
    <w:p>
      <w:pPr>
        <w:spacing w:after="120" w:before="80"/>
      </w:pPr>
      <w:r>
        <w:rPr>
          <w:rFonts w:ascii="Arial" w:cs="Arial" w:eastAsia="Arial" w:hAnsi="Arial"/>
          <w:color w:val="1A1A2E"/>
          <w:sz w:val="22"/>
          <w:szCs w:val="22"/>
        </w:rPr>
        <w:t xml:space="preserve">From the All Fields page, hold Alt and click any row to open the inspector inline on that page without leaving the field list.</w:t>
      </w:r>
    </w:p>
    <w:p>
      <w:pPr>
        <w:spacing w:after="120" w:before="80"/>
      </w:pPr>
      <w:r>
        <w:rPr>
          <w:rFonts w:ascii="Arial" w:cs="Arial" w:eastAsia="Arial" w:hAnsi="Arial"/>
          <w:color w:val="1A1A2E"/>
          <w:sz w:val="22"/>
          <w:szCs w:val="22"/>
        </w:rPr>
        <w:t xml:space="preserve">From the OrgSight explorer sidebar, click any tool button to open SOQL Runner, All Fields, Flow Health, or Metadata Explorer as separate pages.</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Overview Tab</w:t>
      </w:r>
    </w:p>
    <w:p>
      <w:pPr>
        <w:spacing w:after="120" w:before="80"/>
      </w:pPr>
      <w:r>
        <w:rPr>
          <w:rFonts w:ascii="Arial" w:cs="Arial" w:eastAsia="Arial" w:hAnsi="Arial"/>
          <w:color w:val="1A1A2E"/>
          <w:sz w:val="22"/>
          <w:szCs w:val="22"/>
        </w:rPr>
        <w:t xml:space="preserve">The Overview tab is the first screen shown when you open the field inspector. It provides a complete picture of one field at a glance.</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Field Details</w:t>
      </w:r>
    </w:p>
    <w:p>
      <w:pPr>
        <w:spacing w:after="120" w:before="80"/>
      </w:pPr>
      <w:r>
        <w:rPr>
          <w:rFonts w:ascii="Arial" w:cs="Arial" w:eastAsia="Arial" w:hAnsi="Arial"/>
          <w:color w:val="1A1A2E"/>
          <w:sz w:val="22"/>
          <w:szCs w:val="22"/>
        </w:rPr>
        <w:t xml:space="preserve">The field details section shows metadata retrieved from the Salesforce Tooling API and the standard describe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Label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display label as shown to users on record pages and list views.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API Name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developer API name used in Apex, SOQL, flows, and configuration. A copy button saves it to the clipboard.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Object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parent object this field belongs to, with a copy button.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Type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field data type returned by the Salesforce describe API. Examples: Text, Picklist, Lookup, Formula, DateTime, Currency.</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Custom</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Whether the field was created in your org (custom) or shipped by Salesforce as part of the standard object definition (standard).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Source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Where the field originates. FieldDefinition means it was created directly in your org. Fields from managed packages show a warning that extended source metadata is not accessible.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When a field belongs to a managed package, some metadata sections will show limited information because Salesforce seals managed package source code.</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Stat Cards</w:t>
      </w:r>
    </w:p>
    <w:p>
      <w:pPr>
        <w:spacing w:after="120" w:before="80"/>
      </w:pPr>
      <w:r>
        <w:rPr>
          <w:rFonts w:ascii="Arial" w:cs="Arial" w:eastAsia="Arial" w:hAnsi="Arial"/>
          <w:color w:val="1A1A2E"/>
          <w:sz w:val="22"/>
          <w:szCs w:val="22"/>
        </w:rPr>
        <w:t xml:space="preserve">Five stat cards give a quick numerical summary of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FLS Entries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total number of FieldPermissions records across all profiles and permission sets. A high number means many permission configurations reference this field.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Can Edit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Of all FLS entries, how many grant write access. If this is much lower than FLS Entries, the field is visible to many but editable by few.</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Triggers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number of active Apex triggers on the parent object. This is object-level, not field-specific. It tells you how much trigger automation runs on every save.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Flows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number of active flows on the parent object at the object level.</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Populated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percentage of records in the org that have a non-null value in this field. Green means 70 percent or above, amber means 30 to 69 percent, red means below 30 percent.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The population query uses WHERE Field != null rather than COUNT(Field) because COUNT(Field) fails for Long Text Area, Rich Text, and Multi-select Picklist field types. The WHERE approach works for every field type.</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Field Usage Score</w:t>
      </w:r>
    </w:p>
    <w:p>
      <w:pPr>
        <w:spacing w:after="120" w:before="80"/>
      </w:pPr>
      <w:r>
        <w:rPr>
          <w:rFonts w:ascii="Arial" w:cs="Arial" w:eastAsia="Arial" w:hAnsi="Arial"/>
          <w:color w:val="1A1A2E"/>
          <w:sz w:val="22"/>
          <w:szCs w:val="22"/>
        </w:rPr>
        <w:t xml:space="preserve">The usage score is a number from 0 to 100 that estimates how actively this field is being used in the org. A higher score means the field is more likely to be important and safe to keep. A lower score suggests the field may be unused or a candidate for cleanup.</w:t>
      </w:r>
    </w:p>
    <w:p>
      <w:pPr>
        <w:spacing w:after="120" w:before="80"/>
      </w:pPr>
      <w:r>
        <w:rPr>
          <w:rFonts w:ascii="Arial" w:cs="Arial" w:eastAsia="Arial" w:hAnsi="Arial"/>
          <w:color w:val="1A1A2E"/>
          <w:sz w:val="22"/>
          <w:szCs w:val="22"/>
        </w:rPr>
        <w:t xml:space="preserve">The score is calculated from these signals:</w:t>
      </w:r>
    </w:p>
    <w:p>
      <w:pPr>
        <w:pStyle w:val="ListParagraph"/>
        <w:numPr>
          <w:ilvl w:val="0"/>
          <w:numId w:val="2"/>
        </w:numPr>
        <w:spacing w:after="60" w:before="60"/>
      </w:pPr>
      <w:r>
        <w:rPr>
          <w:rFonts w:ascii="Arial" w:cs="Arial" w:eastAsia="Arial" w:hAnsi="Arial"/>
          <w:b/>
          <w:bCs/>
          <w:color w:val="1A1A2E"/>
          <w:sz w:val="22"/>
          <w:szCs w:val="22"/>
        </w:rPr>
        <w:t xml:space="preserve">Flows on object: </w:t>
      </w:r>
      <w:r>
        <w:rPr>
          <w:rFonts w:ascii="Arial" w:cs="Arial" w:eastAsia="Arial" w:hAnsi="Arial"/>
          <w:color w:val="1A1A2E"/>
          <w:sz w:val="22"/>
          <w:szCs w:val="22"/>
        </w:rPr>
        <w:t xml:space="preserve">Whether any active flows reference this field in their metadata. This is high-confidence because it relies on structured metadata rather than text scanning. Contributes up to 30 points.</w:t>
      </w:r>
    </w:p>
    <w:p>
      <w:pPr>
        <w:pStyle w:val="ListParagraph"/>
        <w:numPr>
          <w:ilvl w:val="0"/>
          <w:numId w:val="2"/>
        </w:numPr>
        <w:spacing w:after="60" w:before="60"/>
      </w:pPr>
      <w:r>
        <w:rPr>
          <w:rFonts w:ascii="Arial" w:cs="Arial" w:eastAsia="Arial" w:hAnsi="Arial"/>
          <w:b/>
          <w:bCs/>
          <w:color w:val="1A1A2E"/>
          <w:sz w:val="22"/>
          <w:szCs w:val="22"/>
        </w:rPr>
        <w:t xml:space="preserve">Apex references: </w:t>
      </w:r>
      <w:r>
        <w:rPr>
          <w:rFonts w:ascii="Arial" w:cs="Arial" w:eastAsia="Arial" w:hAnsi="Arial"/>
          <w:color w:val="1A1A2E"/>
          <w:sz w:val="22"/>
          <w:szCs w:val="22"/>
        </w:rPr>
        <w:t xml:space="preserve">Whether any trigger or class bodies contain the field API name. Medium confidence because the scan is text-based and can have false positives on fields with generic names.</w:t>
      </w:r>
    </w:p>
    <w:p>
      <w:pPr>
        <w:pStyle w:val="ListParagraph"/>
        <w:numPr>
          <w:ilvl w:val="0"/>
          <w:numId w:val="2"/>
        </w:numPr>
        <w:spacing w:after="60" w:before="60"/>
      </w:pPr>
      <w:r>
        <w:rPr>
          <w:rFonts w:ascii="Arial" w:cs="Arial" w:eastAsia="Arial" w:hAnsi="Arial"/>
          <w:b/>
          <w:bCs/>
          <w:color w:val="1A1A2E"/>
          <w:sz w:val="22"/>
          <w:szCs w:val="22"/>
        </w:rPr>
        <w:t xml:space="preserve">LWC and Aura references: </w:t>
      </w:r>
      <w:r>
        <w:rPr>
          <w:rFonts w:ascii="Arial" w:cs="Arial" w:eastAsia="Arial" w:hAnsi="Arial"/>
          <w:color w:val="1A1A2E"/>
          <w:sz w:val="22"/>
          <w:szCs w:val="22"/>
        </w:rPr>
        <w:t xml:space="preserve">Whether any Lightning component source files reference the field.</w:t>
      </w:r>
    </w:p>
    <w:p>
      <w:pPr>
        <w:pStyle w:val="ListParagraph"/>
        <w:numPr>
          <w:ilvl w:val="0"/>
          <w:numId w:val="2"/>
        </w:numPr>
        <w:spacing w:after="60" w:before="60"/>
      </w:pPr>
      <w:r>
        <w:rPr>
          <w:rFonts w:ascii="Arial" w:cs="Arial" w:eastAsia="Arial" w:hAnsi="Arial"/>
          <w:b/>
          <w:bCs/>
          <w:color w:val="1A1A2E"/>
          <w:sz w:val="22"/>
          <w:szCs w:val="22"/>
        </w:rPr>
        <w:t xml:space="preserve">Data population: </w:t>
      </w:r>
      <w:r>
        <w:rPr>
          <w:rFonts w:ascii="Arial" w:cs="Arial" w:eastAsia="Arial" w:hAnsi="Arial"/>
          <w:color w:val="1A1A2E"/>
          <w:sz w:val="22"/>
          <w:szCs w:val="22"/>
        </w:rPr>
        <w:t xml:space="preserve">70 percent or above adds 20 points. 30 to 69 percent adds 8 points. Below 30 percent adds nothing.</w:t>
      </w:r>
    </w:p>
    <w:p>
      <w:pPr>
        <w:pStyle w:val="ListParagraph"/>
        <w:numPr>
          <w:ilvl w:val="0"/>
          <w:numId w:val="2"/>
        </w:numPr>
        <w:spacing w:after="60" w:before="60"/>
      </w:pPr>
      <w:r>
        <w:rPr>
          <w:rFonts w:ascii="Arial" w:cs="Arial" w:eastAsia="Arial" w:hAnsi="Arial"/>
          <w:b/>
          <w:bCs/>
          <w:color w:val="1A1A2E"/>
          <w:sz w:val="22"/>
          <w:szCs w:val="22"/>
        </w:rPr>
        <w:t xml:space="preserve">Page layouts: </w:t>
      </w:r>
      <w:r>
        <w:rPr>
          <w:rFonts w:ascii="Arial" w:cs="Arial" w:eastAsia="Arial" w:hAnsi="Arial"/>
          <w:color w:val="1A1A2E"/>
          <w:sz w:val="22"/>
          <w:szCs w:val="22"/>
        </w:rPr>
        <w:t xml:space="preserve">Whether the field appears on at least one page layout.</w:t>
      </w:r>
    </w:p>
    <w:p>
      <w:pPr>
        <w:pStyle w:val="ListParagraph"/>
        <w:numPr>
          <w:ilvl w:val="0"/>
          <w:numId w:val="2"/>
        </w:numPr>
        <w:spacing w:after="60" w:before="60"/>
      </w:pPr>
      <w:r>
        <w:rPr>
          <w:rFonts w:ascii="Arial" w:cs="Arial" w:eastAsia="Arial" w:hAnsi="Arial"/>
          <w:b/>
          <w:bCs/>
          <w:color w:val="1A1A2E"/>
          <w:sz w:val="22"/>
          <w:szCs w:val="22"/>
        </w:rPr>
        <w:t xml:space="preserve">Validation rules: </w:t>
      </w:r>
      <w:r>
        <w:rPr>
          <w:rFonts w:ascii="Arial" w:cs="Arial" w:eastAsia="Arial" w:hAnsi="Arial"/>
          <w:color w:val="1A1A2E"/>
          <w:sz w:val="22"/>
          <w:szCs w:val="22"/>
        </w:rPr>
        <w:t xml:space="preserve">Whether the field appears in any validation rule formulas.</w:t>
      </w:r>
    </w:p>
    <w:p>
      <w:pPr>
        <w:pStyle w:val="ListParagraph"/>
        <w:numPr>
          <w:ilvl w:val="0"/>
          <w:numId w:val="2"/>
        </w:numPr>
        <w:spacing w:after="60" w:before="60"/>
      </w:pPr>
      <w:r>
        <w:rPr>
          <w:rFonts w:ascii="Arial" w:cs="Arial" w:eastAsia="Arial" w:hAnsi="Arial"/>
          <w:b/>
          <w:bCs/>
          <w:color w:val="1A1A2E"/>
          <w:sz w:val="22"/>
          <w:szCs w:val="22"/>
        </w:rPr>
        <w:t xml:space="preserve">Description: </w:t>
      </w:r>
      <w:r>
        <w:rPr>
          <w:rFonts w:ascii="Arial" w:cs="Arial" w:eastAsia="Arial" w:hAnsi="Arial"/>
          <w:color w:val="1A1A2E"/>
          <w:sz w:val="22"/>
          <w:szCs w:val="22"/>
        </w:rPr>
        <w:t xml:space="preserve">Whether the field has a description. A missing description is a hygiene indicator.</w:t>
      </w:r>
    </w:p>
    <w:p>
      <w:pPr>
        <w:spacing w:after="160" w:before="0"/>
      </w:pPr>
      <w:r>
        <w:t xml:space="preserve"/>
      </w:r>
    </w:p>
    <w:p>
      <w:pPr>
        <w:spacing w:after="120" w:before="80"/>
      </w:pPr>
      <w:r>
        <w:rPr>
          <w:rFonts w:ascii="Arial" w:cs="Arial" w:eastAsia="Arial" w:hAnsi="Arial"/>
          <w:color w:val="1A1A2E"/>
          <w:sz w:val="22"/>
          <w:szCs w:val="22"/>
        </w:rPr>
        <w:t xml:space="preserve">The verdict label summarises the score: </w:t>
      </w:r>
      <w:r>
        <w:rPr>
          <w:rFonts w:ascii="Arial" w:cs="Arial" w:eastAsia="Arial" w:hAnsi="Arial"/>
          <w:b/>
          <w:bCs/>
          <w:color w:val="1A1A2E"/>
          <w:sz w:val="22"/>
          <w:szCs w:val="22"/>
        </w:rPr>
        <w:t xml:space="preserve">Active</w:t>
      </w:r>
      <w:r>
        <w:rPr>
          <w:rFonts w:ascii="Arial" w:cs="Arial" w:eastAsia="Arial" w:hAnsi="Arial"/>
          <w:color w:val="1A1A2E"/>
          <w:sz w:val="22"/>
          <w:szCs w:val="22"/>
        </w:rPr>
        <w:t xml:space="preserve"> (70 and above), </w:t>
      </w:r>
      <w:r>
        <w:rPr>
          <w:rFonts w:ascii="Arial" w:cs="Arial" w:eastAsia="Arial" w:hAnsi="Arial"/>
          <w:b/>
          <w:bCs/>
          <w:color w:val="1A1A2E"/>
          <w:sz w:val="22"/>
          <w:szCs w:val="22"/>
        </w:rPr>
        <w:t xml:space="preserve">Likely Active</w:t>
      </w:r>
      <w:r>
        <w:rPr>
          <w:rFonts w:ascii="Arial" w:cs="Arial" w:eastAsia="Arial" w:hAnsi="Arial"/>
          <w:color w:val="1A1A2E"/>
          <w:sz w:val="22"/>
          <w:szCs w:val="22"/>
        </w:rPr>
        <w:t xml:space="preserve"> (50 to 69), </w:t>
      </w:r>
      <w:r>
        <w:rPr>
          <w:rFonts w:ascii="Arial" w:cs="Arial" w:eastAsia="Arial" w:hAnsi="Arial"/>
          <w:b/>
          <w:bCs/>
          <w:color w:val="1A1A2E"/>
          <w:sz w:val="22"/>
          <w:szCs w:val="22"/>
        </w:rPr>
        <w:t xml:space="preserve">Low Usage</w:t>
      </w:r>
      <w:r>
        <w:rPr>
          <w:rFonts w:ascii="Arial" w:cs="Arial" w:eastAsia="Arial" w:hAnsi="Arial"/>
          <w:color w:val="1A1A2E"/>
          <w:sz w:val="22"/>
          <w:szCs w:val="22"/>
        </w:rPr>
        <w:t xml:space="preserve"> (25 to 49), or </w:t>
      </w:r>
      <w:r>
        <w:rPr>
          <w:rFonts w:ascii="Arial" w:cs="Arial" w:eastAsia="Arial" w:hAnsi="Arial"/>
          <w:b/>
          <w:bCs/>
          <w:color w:val="1A1A2E"/>
          <w:sz w:val="22"/>
          <w:szCs w:val="22"/>
        </w:rPr>
        <w:t xml:space="preserve">Likely Dead</w:t>
      </w:r>
      <w:r>
        <w:rPr>
          <w:rFonts w:ascii="Arial" w:cs="Arial" w:eastAsia="Arial" w:hAnsi="Arial"/>
          <w:color w:val="1A1A2E"/>
          <w:sz w:val="22"/>
          <w:szCs w:val="22"/>
        </w:rPr>
        <w:t xml:space="preserve"> (below 25).</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Picklist Value Distribution</w:t>
      </w:r>
    </w:p>
    <w:p>
      <w:pPr>
        <w:spacing w:after="120" w:before="80"/>
      </w:pPr>
      <w:r>
        <w:rPr>
          <w:rFonts w:ascii="Arial" w:cs="Arial" w:eastAsia="Arial" w:hAnsi="Arial"/>
          <w:color w:val="1A1A2E"/>
          <w:sz w:val="22"/>
          <w:szCs w:val="22"/>
        </w:rPr>
        <w:t xml:space="preserve">For picklist fields, a bar chart shows how values are distributed across all records. Each bar represents one picklist value and shows the count and percentage of records using it. Blank or null values appear separately. This chart requires the Picklist Usage feature to be enabled in Settings.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Setup Links and Notes</w:t>
      </w:r>
    </w:p>
    <w:p>
      <w:pPr>
        <w:spacing w:after="120" w:before="80"/>
      </w:pPr>
      <w:r>
        <w:rPr>
          <w:rFonts w:ascii="Arial" w:cs="Arial" w:eastAsia="Arial" w:hAnsi="Arial"/>
          <w:color w:val="1A1A2E"/>
          <w:sz w:val="22"/>
          <w:szCs w:val="22"/>
        </w:rPr>
        <w:t xml:space="preserve">Quick links open common Setup pages for the parent object. The Notes section lets you save private text notes about the field. Notes are stored locally in Chrome extension storage and are not shared with other users.</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Object Tab</w:t>
      </w:r>
    </w:p>
    <w:p>
      <w:pPr>
        <w:spacing w:after="120" w:before="80"/>
      </w:pPr>
      <w:r>
        <w:rPr>
          <w:rFonts w:ascii="Arial" w:cs="Arial" w:eastAsia="Arial" w:hAnsi="Arial"/>
          <w:color w:val="1A1A2E"/>
          <w:sz w:val="22"/>
          <w:szCs w:val="22"/>
        </w:rPr>
        <w:t xml:space="preserve">The Object tab shows metadata about the parent object rather than the individual field.</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Current Record</w:t>
      </w:r>
    </w:p>
    <w:p>
      <w:pPr>
        <w:spacing w:after="120" w:before="80"/>
      </w:pPr>
      <w:r>
        <w:rPr>
          <w:rFonts w:ascii="Arial" w:cs="Arial" w:eastAsia="Arial" w:hAnsi="Arial"/>
          <w:color w:val="1A1A2E"/>
          <w:sz w:val="22"/>
          <w:szCs w:val="22"/>
        </w:rPr>
        <w:t xml:space="preserve">When the inspector is opened from a record page with an active record, this section shows the record ID, name, record type, and created and modified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When opened from the All Fields page rather than a live record, the Current Record section shows an expected error because no record is in context. All other sections on this tab load normally.</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Object Information</w:t>
      </w:r>
    </w:p>
    <w:p>
      <w:pPr>
        <w:spacing w:after="120" w:before="80"/>
      </w:pPr>
      <w:r>
        <w:rPr>
          <w:rFonts w:ascii="Arial" w:cs="Arial" w:eastAsia="Arial" w:hAnsi="Arial"/>
          <w:color w:val="1A1A2E"/>
          <w:sz w:val="22"/>
          <w:szCs w:val="22"/>
        </w:rPr>
        <w:t xml:space="preserve">Shows metadata from the Salesforce describe API for the parent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Label and plural label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display names used in the Salesforce interface.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API name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developer name used in code and configuration.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Object ID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18-character ID of the object entity definition.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Key prefix</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3-character prefix used in record IDs for this object. For example, 001 for Account and 500 for Case.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Internal sharing</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organisation-wide default for internal user sharing on this object.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External sharing</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organisation-wide default for external portal user sharing on this object.</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Object Permissions</w:t>
      </w:r>
    </w:p>
    <w:p>
      <w:pPr>
        <w:spacing w:after="120" w:before="80"/>
      </w:pPr>
      <w:r>
        <w:rPr>
          <w:rFonts w:ascii="Arial" w:cs="Arial" w:eastAsia="Arial" w:hAnsi="Arial"/>
          <w:color w:val="1A1A2E"/>
          <w:sz w:val="22"/>
          <w:szCs w:val="22"/>
        </w:rPr>
        <w:t xml:space="preserve">Shows which profiles and permission sets have create, read, edit, delete, view all, and modify all access on the parent object. The arrow icon next to each row opens that profile or permission set directly in Salesforce Setup in a new tab.</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Sharing Rules</w:t>
      </w:r>
    </w:p>
    <w:p>
      <w:pPr>
        <w:spacing w:after="120" w:before="80"/>
      </w:pPr>
      <w:r>
        <w:rPr>
          <w:rFonts w:ascii="Arial" w:cs="Arial" w:eastAsia="Arial" w:hAnsi="Arial"/>
          <w:color w:val="1A1A2E"/>
          <w:sz w:val="22"/>
          <w:szCs w:val="22"/>
        </w:rPr>
        <w:t xml:space="preserve">Lists active sharing rules for the object including criteria-based and ownership-based rules.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Quick Links</w:t>
      </w:r>
    </w:p>
    <w:p>
      <w:pPr>
        <w:spacing w:after="120" w:before="80"/>
      </w:pPr>
      <w:r>
        <w:rPr>
          <w:rFonts w:ascii="Arial" w:cs="Arial" w:eastAsia="Arial" w:hAnsi="Arial"/>
          <w:color w:val="1A1A2E"/>
          <w:sz w:val="22"/>
          <w:szCs w:val="22"/>
        </w:rPr>
        <w:t xml:space="preserve">Shortcut links to related Setup pages for the object: Fields and Relationships, Page Layouts, Validation Rules, Record Types, and the Object Manager entry.</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Permissions Tab</w:t>
      </w:r>
    </w:p>
    <w:p>
      <w:pPr>
        <w:spacing w:after="120" w:before="80"/>
      </w:pPr>
      <w:r>
        <w:rPr>
          <w:rFonts w:ascii="Arial" w:cs="Arial" w:eastAsia="Arial" w:hAnsi="Arial"/>
          <w:color w:val="1A1A2E"/>
          <w:sz w:val="22"/>
          <w:szCs w:val="22"/>
        </w:rPr>
        <w:t xml:space="preserve">The Permissions tab shows field-level security for the inspected field across every profile and permission set in the org.</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Reading the List</w:t>
      </w:r>
    </w:p>
    <w:p>
      <w:pPr>
        <w:spacing w:after="120" w:before="80"/>
      </w:pPr>
      <w:r>
        <w:rPr>
          <w:rFonts w:ascii="Arial" w:cs="Arial" w:eastAsia="Arial" w:hAnsi="Arial"/>
          <w:color w:val="1A1A2E"/>
          <w:sz w:val="22"/>
          <w:szCs w:val="22"/>
        </w:rPr>
        <w:t xml:space="preserve">Each row represents one profile, permission set, or permission set group. Badges show the access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 badge (teal)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This entity has read access to the field.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W badge (green)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This entity has write (edit) access to the field.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Greyed-out badge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This entity does not have that level of access.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Arrow link</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Opens the profile, permission set, or permission set group directly in Salesforce Setup.</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Setup Links</w:t>
      </w:r>
    </w:p>
    <w:p>
      <w:pPr>
        <w:spacing w:after="120" w:before="80"/>
      </w:pPr>
      <w:r>
        <w:rPr>
          <w:rFonts w:ascii="Arial" w:cs="Arial" w:eastAsia="Arial" w:hAnsi="Arial"/>
          <w:color w:val="1A1A2E"/>
          <w:sz w:val="22"/>
          <w:szCs w:val="22"/>
        </w:rPr>
        <w:t xml:space="preserve">The arrow next to each row opens the corresponding Setup page based on the entity type:</w:t>
      </w:r>
    </w:p>
    <w:p>
      <w:pPr>
        <w:pStyle w:val="ListParagraph"/>
        <w:numPr>
          <w:ilvl w:val="0"/>
          <w:numId w:val="2"/>
        </w:numPr>
        <w:spacing w:after="60" w:before="60"/>
      </w:pPr>
      <w:r>
        <w:rPr>
          <w:rFonts w:ascii="Arial" w:cs="Arial" w:eastAsia="Arial" w:hAnsi="Arial"/>
          <w:b/>
          <w:bCs/>
          <w:color w:val="1A1A2E"/>
          <w:sz w:val="22"/>
          <w:szCs w:val="22"/>
        </w:rPr>
        <w:t xml:space="preserve">Profiles: </w:t>
      </w:r>
      <w:r>
        <w:rPr>
          <w:rFonts w:ascii="Arial" w:cs="Arial" w:eastAsia="Arial" w:hAnsi="Arial"/>
          <w:color w:val="1A1A2E"/>
          <w:sz w:val="22"/>
          <w:szCs w:val="22"/>
        </w:rPr>
        <w:t xml:space="preserve">Opens the Enhanced Profile page using the profile ID.</w:t>
      </w:r>
    </w:p>
    <w:p>
      <w:pPr>
        <w:pStyle w:val="ListParagraph"/>
        <w:numPr>
          <w:ilvl w:val="0"/>
          <w:numId w:val="2"/>
        </w:numPr>
        <w:spacing w:after="60" w:before="60"/>
      </w:pPr>
      <w:r>
        <w:rPr>
          <w:rFonts w:ascii="Arial" w:cs="Arial" w:eastAsia="Arial" w:hAnsi="Arial"/>
          <w:b/>
          <w:bCs/>
          <w:color w:val="1A1A2E"/>
          <w:sz w:val="22"/>
          <w:szCs w:val="22"/>
        </w:rPr>
        <w:t xml:space="preserve">Permission Sets: </w:t>
      </w:r>
      <w:r>
        <w:rPr>
          <w:rFonts w:ascii="Arial" w:cs="Arial" w:eastAsia="Arial" w:hAnsi="Arial"/>
          <w:color w:val="1A1A2E"/>
          <w:sz w:val="22"/>
          <w:szCs w:val="22"/>
        </w:rPr>
        <w:t xml:space="preserve">Opens the Permission Set detail page.</w:t>
      </w:r>
    </w:p>
    <w:p>
      <w:pPr>
        <w:pStyle w:val="ListParagraph"/>
        <w:numPr>
          <w:ilvl w:val="0"/>
          <w:numId w:val="2"/>
        </w:numPr>
        <w:spacing w:after="60" w:before="60"/>
      </w:pPr>
      <w:r>
        <w:rPr>
          <w:rFonts w:ascii="Arial" w:cs="Arial" w:eastAsia="Arial" w:hAnsi="Arial"/>
          <w:b/>
          <w:bCs/>
          <w:color w:val="1A1A2E"/>
          <w:sz w:val="22"/>
          <w:szCs w:val="22"/>
        </w:rPr>
        <w:t xml:space="preserve">Permission Set Groups: </w:t>
      </w:r>
      <w:r>
        <w:rPr>
          <w:rFonts w:ascii="Arial" w:cs="Arial" w:eastAsia="Arial" w:hAnsi="Arial"/>
          <w:color w:val="1A1A2E"/>
          <w:sz w:val="22"/>
          <w:szCs w:val="22"/>
        </w:rPr>
        <w:t xml:space="preserve">Opens the Permission Set Group detail page.</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Filtering</w:t>
      </w:r>
    </w:p>
    <w:p>
      <w:pPr>
        <w:spacing w:after="120" w:before="80"/>
      </w:pPr>
      <w:r>
        <w:rPr>
          <w:rFonts w:ascii="Arial" w:cs="Arial" w:eastAsia="Arial" w:hAnsi="Arial"/>
          <w:color w:val="1A1A2E"/>
          <w:sz w:val="22"/>
          <w:szCs w:val="22"/>
        </w:rPr>
        <w:t xml:space="preserve">Filter controls let you show only entries with edit access, only read-only entries, or only entries with no field access. This is useful when auditing who can modify a field.</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Permission Gap Finder</w:t>
      </w:r>
    </w:p>
    <w:p>
      <w:pPr>
        <w:spacing w:after="120" w:before="80"/>
      </w:pPr>
      <w:r>
        <w:rPr>
          <w:rFonts w:ascii="Arial" w:cs="Arial" w:eastAsia="Arial" w:hAnsi="Arial"/>
          <w:color w:val="1A1A2E"/>
          <w:sz w:val="22"/>
          <w:szCs w:val="22"/>
        </w:rPr>
        <w:t xml:space="preserve">This section flags profiles and permission sets that have object-level access to the parent object but have no field-level access configured for this specific field. This happens when a profile can see records but the field is hidden from them entirely due to missing FLS configuration.</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Automation Tab</w:t>
      </w:r>
    </w:p>
    <w:p>
      <w:pPr>
        <w:spacing w:after="120" w:before="80"/>
      </w:pPr>
      <w:r>
        <w:rPr>
          <w:rFonts w:ascii="Arial" w:cs="Arial" w:eastAsia="Arial" w:hAnsi="Arial"/>
          <w:color w:val="1A1A2E"/>
          <w:sz w:val="22"/>
          <w:szCs w:val="22"/>
        </w:rPr>
        <w:t xml:space="preserve">The Automation tab scans all automation components on the parent object and identifies which ones reference the inspected field. Understanding these references is essential before renaming, repurposing, or deleting a field.</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Match Types Explained</w:t>
      </w:r>
    </w:p>
    <w:p>
      <w:pPr>
        <w:spacing w:after="120" w:before="80"/>
      </w:pPr>
      <w:r>
        <w:rPr>
          <w:rFonts w:ascii="Arial" w:cs="Arial" w:eastAsia="Arial" w:hAnsi="Arial"/>
          <w:color w:val="1A1A2E"/>
          <w:sz w:val="22"/>
          <w:szCs w:val="22"/>
        </w:rPr>
        <w:t xml:space="preserve">Each result card shows a match type label that tells you how the reference was found and how confident OrgSight is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Exact match</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field API name appears verbatim in the component source or metadata. Highest confidence.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Object.Field match</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reference uses the full Object.FieldName format such as Account.MyField__c. Highest confidence because it is fully qualified.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Name match</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match was on a related name rather than the API name. Some flow metadata uses field labels or related names in certain contexts.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Schema token match</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static @salesforce/schema import was found in a Lightning component using the import syntax. This is a definitive compile-time dependency.</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Field API string match</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field API name appears as a string literal in source code. This catches dynamic references where the field name is passed as a string.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Dynamic reference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Patterns consistent with dynamic field access were found, such as record.get or record.put with the field name, or dynamic SOQL where the field name is constructed from a string.</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Apex Triggers</w:t>
      </w:r>
    </w:p>
    <w:p>
      <w:pPr>
        <w:spacing w:after="120" w:before="80"/>
      </w:pPr>
      <w:r>
        <w:rPr>
          <w:rFonts w:ascii="Arial" w:cs="Arial" w:eastAsia="Arial" w:hAnsi="Arial"/>
          <w:color w:val="1A1A2E"/>
          <w:sz w:val="22"/>
          <w:szCs w:val="22"/>
        </w:rPr>
        <w:t xml:space="preserve">Lists all active Apex triggers on the parent object and shows whether each one references the field. OrgSight scans the trigger body for the field API name, the Object.Field notation, and dynamic field access patterns.</w:t>
      </w:r>
    </w:p>
    <w:p>
      <w:pPr>
        <w:spacing w:after="120" w:before="80"/>
      </w:pPr>
      <w:r>
        <w:rPr>
          <w:rFonts w:ascii="Arial" w:cs="Arial" w:eastAsia="Arial" w:hAnsi="Arial"/>
          <w:color w:val="1A1A2E"/>
          <w:sz w:val="22"/>
          <w:szCs w:val="22"/>
        </w:rPr>
        <w:t xml:space="preserve">The snippet section shows the code surrounding the match so you can understand how the field is used without opening Developer Console.</w:t>
      </w:r>
    </w:p>
    <w:p>
      <w:pPr>
        <w:spacing w:after="120" w:before="80"/>
      </w:pPr>
      <w:r>
        <w:rPr>
          <w:rFonts w:ascii="Arial" w:cs="Arial" w:eastAsia="Arial" w:hAnsi="Arial"/>
          <w:color w:val="1A1A2E"/>
          <w:sz w:val="22"/>
          <w:szCs w:val="22"/>
        </w:rPr>
        <w:t xml:space="preserve">Only triggers with a match score of 82 or above are shown as confirmed references. The score reflects how directly the trigger references the field versus a coincidental string match.</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Apex Classes</w:t>
      </w:r>
    </w:p>
    <w:p>
      <w:pPr>
        <w:spacing w:after="120" w:before="80"/>
      </w:pPr>
      <w:r>
        <w:rPr>
          <w:rFonts w:ascii="Arial" w:cs="Arial" w:eastAsia="Arial" w:hAnsi="Arial"/>
          <w:color w:val="1A1A2E"/>
          <w:sz w:val="22"/>
          <w:szCs w:val="22"/>
        </w:rPr>
        <w:t xml:space="preserve">Lists Apex classes that reference this field by scanning class bodies for the field API name, full Object.Field notation, dynamic SOQL patterns, and record.get and record.put calls.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LWC Source References</w:t>
      </w:r>
    </w:p>
    <w:p>
      <w:pPr>
        <w:spacing w:after="120" w:before="80"/>
      </w:pPr>
      <w:r>
        <w:rPr>
          <w:rFonts w:ascii="Arial" w:cs="Arial" w:eastAsia="Arial" w:hAnsi="Arial"/>
          <w:color w:val="1A1A2E"/>
          <w:sz w:val="22"/>
          <w:szCs w:val="22"/>
        </w:rPr>
        <w:t xml:space="preserve">Lists Lightning Web Components that reference the field. Each card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JS Controller (amber)</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match was found in the component JavaScript file (.js).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HTML Template (red)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match was found in the component HTML template file (.html).</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@salesforce/schema import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component imports the field using the static schema import pattern. This creates an explicit compile-time dependency that Salesforce tracks in metadata.</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Dynamic ref</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string literal or dynamic pattern reference was found in the source.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File name badge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Shows the exact file within the component bundle where the match was found, such as myComponent.js.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Setup arrow</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Opens the Lightning Component Bundles list in Salesforce Setup in a new tab.</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Flows</w:t>
      </w:r>
    </w:p>
    <w:p>
      <w:pPr>
        <w:spacing w:after="120" w:before="80"/>
      </w:pPr>
      <w:r>
        <w:rPr>
          <w:rFonts w:ascii="Arial" w:cs="Arial" w:eastAsia="Arial" w:hAnsi="Arial"/>
          <w:color w:val="1A1A2E"/>
          <w:sz w:val="22"/>
          <w:szCs w:val="22"/>
        </w:rPr>
        <w:t xml:space="preserve">Lists active flows that reference the field in their flow metadata. The scan covers:</w:t>
      </w:r>
    </w:p>
    <w:p>
      <w:pPr>
        <w:pStyle w:val="ListParagraph"/>
        <w:numPr>
          <w:ilvl w:val="0"/>
          <w:numId w:val="2"/>
        </w:numPr>
        <w:spacing w:after="60" w:before="60"/>
      </w:pPr>
      <w:r>
        <w:rPr>
          <w:rFonts w:ascii="Arial" w:cs="Arial" w:eastAsia="Arial" w:hAnsi="Arial"/>
          <w:sz w:val="22"/>
          <w:szCs w:val="22"/>
        </w:rPr>
        <w:t xml:space="preserve">Record variable assignments that read from or write to this field</w:t>
      </w:r>
    </w:p>
    <w:p>
      <w:pPr>
        <w:pStyle w:val="ListParagraph"/>
        <w:numPr>
          <w:ilvl w:val="0"/>
          <w:numId w:val="2"/>
        </w:numPr>
        <w:spacing w:after="60" w:before="60"/>
      </w:pPr>
      <w:r>
        <w:rPr>
          <w:rFonts w:ascii="Arial" w:cs="Arial" w:eastAsia="Arial" w:hAnsi="Arial"/>
          <w:sz w:val="22"/>
          <w:szCs w:val="22"/>
        </w:rPr>
        <w:t xml:space="preserve">Decision element conditions that evaluate this field</w:t>
      </w:r>
    </w:p>
    <w:p>
      <w:pPr>
        <w:pStyle w:val="ListParagraph"/>
        <w:numPr>
          <w:ilvl w:val="0"/>
          <w:numId w:val="2"/>
        </w:numPr>
        <w:spacing w:after="60" w:before="60"/>
      </w:pPr>
      <w:r>
        <w:rPr>
          <w:rFonts w:ascii="Arial" w:cs="Arial" w:eastAsia="Arial" w:hAnsi="Arial"/>
          <w:sz w:val="22"/>
          <w:szCs w:val="22"/>
        </w:rPr>
        <w:t xml:space="preserve">Formula elements that use this field</w:t>
      </w:r>
    </w:p>
    <w:p>
      <w:pPr>
        <w:pStyle w:val="ListParagraph"/>
        <w:numPr>
          <w:ilvl w:val="0"/>
          <w:numId w:val="2"/>
        </w:numPr>
        <w:spacing w:after="60" w:before="60"/>
      </w:pPr>
      <w:r>
        <w:rPr>
          <w:rFonts w:ascii="Arial" w:cs="Arial" w:eastAsia="Arial" w:hAnsi="Arial"/>
          <w:sz w:val="22"/>
          <w:szCs w:val="22"/>
        </w:rPr>
        <w:t xml:space="preserve">Screen component field references</w:t>
      </w:r>
    </w:p>
    <w:p>
      <w:pPr>
        <w:spacing w:after="160" w:before="0"/>
      </w:pPr>
      <w:r>
        <w:t xml:space="preserve"/>
      </w:r>
    </w:p>
    <w:p>
      <w:pPr>
        <w:spacing w:after="120" w:before="80"/>
      </w:pPr>
      <w:r>
        <w:rPr>
          <w:rFonts w:ascii="Arial" w:cs="Arial" w:eastAsia="Arial" w:hAnsi="Arial"/>
          <w:color w:val="1A1A2E"/>
          <w:sz w:val="22"/>
          <w:szCs w:val="22"/>
        </w:rPr>
        <w:t xml:space="preserve">Each flow shows its label, process type, and a link to view flows for the object. The process types you may see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Record-Triggered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Runs automatically when a record is created, updated, or deleted.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Screen Flow</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Runs when a user clicks a button or navigates to a flow screen.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Scheduled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Runs on a time-based schedule against a batch of records.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Auto-Launched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Triggered by Apex code, process builders, or REST API calls.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Platform Event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Triggered when a platform event message is published.</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Validation Rules</w:t>
      </w:r>
    </w:p>
    <w:p>
      <w:pPr>
        <w:spacing w:after="120" w:before="80"/>
      </w:pPr>
      <w:r>
        <w:rPr>
          <w:rFonts w:ascii="Arial" w:cs="Arial" w:eastAsia="Arial" w:hAnsi="Arial"/>
          <w:color w:val="1A1A2E"/>
          <w:sz w:val="22"/>
          <w:szCs w:val="22"/>
        </w:rPr>
        <w:t xml:space="preserve">Lists validation rules that reference the field in their error condition formula or error message. The match is found by scanning the formula for the field API name.</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Aura Source References</w:t>
      </w:r>
    </w:p>
    <w:p>
      <w:pPr>
        <w:spacing w:after="120" w:before="80"/>
      </w:pPr>
      <w:r>
        <w:rPr>
          <w:rFonts w:ascii="Arial" w:cs="Arial" w:eastAsia="Arial" w:hAnsi="Arial"/>
          <w:color w:val="1A1A2E"/>
          <w:sz w:val="22"/>
          <w:szCs w:val="22"/>
        </w:rPr>
        <w:t xml:space="preserve">Lists Aura component bundles whose source files reference the field. Shows the component name and the Aura definition type where the reference was found.</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Custom Dependencies</w:t>
      </w:r>
    </w:p>
    <w:p>
      <w:pPr>
        <w:spacing w:after="120" w:before="80"/>
      </w:pPr>
      <w:r>
        <w:rPr>
          <w:rFonts w:ascii="Arial" w:cs="Arial" w:eastAsia="Arial" w:hAnsi="Arial"/>
          <w:color w:val="1A1A2E"/>
          <w:sz w:val="22"/>
          <w:szCs w:val="22"/>
        </w:rPr>
        <w:t xml:space="preserve">Three subsections scan for less obvious dependencies that do not appear in standard metadata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Custom Labels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Scans the MetadataComponentDependency API and Apex source for custom label references related to this field or its parent object.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Custom Settings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Scans Apex source for getInstance and getValues patterns suggesting a custom setting is used in logic related to this field.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Custom Metadata Types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Scans for references to custom metadata type records (types ending in __mdt) in automation related to this field.</w:t>
            </w:r>
          </w:p>
        </w:tc>
      </w:tr>
    </w:tbl>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Impact Tab</w:t>
      </w:r>
    </w:p>
    <w:p>
      <w:pPr>
        <w:spacing w:after="120" w:before="80"/>
      </w:pPr>
      <w:r>
        <w:rPr>
          <w:rFonts w:ascii="Arial" w:cs="Arial" w:eastAsia="Arial" w:hAnsi="Arial"/>
          <w:color w:val="1A1A2E"/>
          <w:sz w:val="22"/>
          <w:szCs w:val="22"/>
        </w:rPr>
        <w:t xml:space="preserve">The Impact tab shows where the field appears in the Salesforce UI and provides a detailed delete risk analysis.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Likely References Summary</w:t>
      </w:r>
    </w:p>
    <w:p>
      <w:pPr>
        <w:spacing w:after="120" w:before="80"/>
      </w:pPr>
      <w:r>
        <w:rPr>
          <w:rFonts w:ascii="Arial" w:cs="Arial" w:eastAsia="Arial" w:hAnsi="Arial"/>
          <w:color w:val="1A1A2E"/>
          <w:sz w:val="22"/>
          <w:szCs w:val="22"/>
        </w:rPr>
        <w:t xml:space="preserve">A summary card shows counts across all dependency categories including Apex Triggers, Apex Classes, Aura components, LWC components, Flows, Record Types, and Validation Rules. This gives a quick blast radius view before reviewing individual sections.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Individual Sections</w:t>
      </w:r>
    </w:p>
    <w:p>
      <w:pPr>
        <w:spacing w:after="120" w:before="80"/>
      </w:pPr>
      <w:r>
        <w:rPr>
          <w:rFonts w:ascii="Arial" w:cs="Arial" w:eastAsia="Arial" w:hAnsi="Arial"/>
          <w:color w:val="1A1A2E"/>
          <w:sz w:val="22"/>
          <w:szCs w:val="22"/>
        </w:rPr>
        <w:t xml:space="preserve">Collapsible sections for each dependency type can be expanded to see the full list. Each section shows a count badge in the header.</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Delete Risk Analysis</w:t>
      </w:r>
    </w:p>
    <w:p>
      <w:pPr>
        <w:spacing w:after="120" w:before="80"/>
      </w:pPr>
      <w:r>
        <w:rPr>
          <w:rFonts w:ascii="Arial" w:cs="Arial" w:eastAsia="Arial" w:hAnsi="Arial"/>
          <w:color w:val="1A1A2E"/>
          <w:sz w:val="22"/>
          <w:szCs w:val="22"/>
        </w:rPr>
        <w:t xml:space="preserve">This panel calculates how risky it would be to delete this field based on all found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Risk Score (0 to 100)</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composite score based on the number and criticality of found dependencies. Higher score means higher risk.</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Verdict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LOW, MEDIUM, HIGH, or CRITICAL based on the risk score.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Blast Radius Grid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Visual counts across 10 dependency categories. Non-zero counts are highlighted.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Scheduled Job Detection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Queries AsyncApexJob and CronTrigger to find classes that reference this field and are scheduled to run. Shows last run time and failure count.</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Approval Process Scan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Checks whether this field appears in approval process entry criteria, approval steps, or field updates.</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Safe Deletion Checklist</w:t>
      </w:r>
    </w:p>
    <w:p>
      <w:pPr>
        <w:spacing w:after="120" w:before="80"/>
      </w:pPr>
      <w:r>
        <w:rPr>
          <w:rFonts w:ascii="Arial" w:cs="Arial" w:eastAsia="Arial" w:hAnsi="Arial"/>
          <w:color w:val="1A1A2E"/>
          <w:sz w:val="22"/>
          <w:szCs w:val="22"/>
        </w:rPr>
        <w:t xml:space="preserve">A list of 11 items you should verify before deleting the field. Items are automatically checked based on what OrgSight found. Items you have verified manually can also be checked. A progress bar tracks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Unchecking a pre-checked item requires confirmation to prevent accidental data loss. Reaching 100 percent on the checklist means all safety conditions are satisfied, though it does not guarantee the deletion is safe in all cases.</w:t>
            </w:r>
          </w:p>
        </w:tc>
      </w:tr>
    </w:tbl>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Field Inspector: Graph Tab</w:t>
      </w:r>
    </w:p>
    <w:p>
      <w:pPr>
        <w:spacing w:after="120" w:before="80"/>
      </w:pPr>
      <w:r>
        <w:rPr>
          <w:rFonts w:ascii="Arial" w:cs="Arial" w:eastAsia="Arial" w:hAnsi="Arial"/>
          <w:color w:val="1A1A2E"/>
          <w:sz w:val="22"/>
          <w:szCs w:val="22"/>
        </w:rPr>
        <w:t xml:space="preserve">The Graph tab visualises all field dependencies as a node diagram. It gives a spatial overview of how connected a field is and what types of automation depend on it.</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Node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Teal (centre)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inspected field.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Apex Triggers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Blue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Apex Classes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Green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LWC Components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Light green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Aura Components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Purple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Flows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Amber</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Validation Rules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Orange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Page Layouts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Grey</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Profiles and Permission Sets</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Interaction</w:t>
      </w:r>
    </w:p>
    <w:p>
      <w:pPr>
        <w:spacing w:after="120" w:before="80"/>
      </w:pPr>
      <w:r>
        <w:rPr>
          <w:rFonts w:ascii="Arial" w:cs="Arial" w:eastAsia="Arial" w:hAnsi="Arial"/>
          <w:color w:val="1A1A2E"/>
          <w:sz w:val="22"/>
          <w:szCs w:val="22"/>
        </w:rPr>
        <w:t xml:space="preserve">Hover over any node to see the full name in a tooltip. The short labels in the diagram are truncated to keep the graph readable, so the tooltip is the primary way to read the full name.</w:t>
      </w:r>
    </w:p>
    <w:p>
      <w:pPr>
        <w:spacing w:after="120" w:before="80"/>
      </w:pPr>
      <w:r>
        <w:rPr>
          <w:rFonts w:ascii="Arial" w:cs="Arial" w:eastAsia="Arial" w:hAnsi="Arial"/>
          <w:color w:val="1A1A2E"/>
          <w:sz w:val="22"/>
          <w:szCs w:val="22"/>
        </w:rPr>
        <w:t xml:space="preserve">Click any node (other than the centre field node) to open the corresponding Salesforce Setup page in a new tab.</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Open Full Graph</w:t>
      </w:r>
    </w:p>
    <w:p>
      <w:pPr>
        <w:spacing w:after="120" w:before="80"/>
      </w:pPr>
      <w:r>
        <w:rPr>
          <w:rFonts w:ascii="Arial" w:cs="Arial" w:eastAsia="Arial" w:hAnsi="Arial"/>
          <w:color w:val="1A1A2E"/>
          <w:sz w:val="22"/>
          <w:szCs w:val="22"/>
        </w:rPr>
        <w:t xml:space="preserve">When there are more dependencies than the inline view shows clearly, an "Open full graph" button appears. This opens a dedicated full-page graph with additional controls.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Full Graph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Type filters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Toggle buttons at the top filter which dependency types are shown. Each button shows the count for that type. Click to hide or show a group without reloading data.</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Radial view</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Circular layout with the field at the centre. Node size and radius scale automatically based on the number of nodes so labels do not overlap.</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Grid view</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Card-based list layout that is easier to read when there are more than 50 nodes. Each card shows the name, a colour dot for the type, and opens the Setup page on click.</w:t>
            </w:r>
          </w:p>
        </w:tc>
      </w:tr>
    </w:tbl>
    <w:p>
      <w:pPr>
        <w:spacing w:after="120" w:before="80"/>
      </w:pPr>
      <w:r>
        <w:rPr>
          <w:rFonts w:ascii="Arial" w:cs="Arial" w:eastAsia="Arial" w:hAnsi="Arial"/>
          <w:color w:val="1A1A2E"/>
          <w:sz w:val="22"/>
          <w:szCs w:val="22"/>
        </w:rPr>
        <w:t xml:space="preserve">Resizing the browser window redraws the graph to fit the new dimensions.</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All Fields</w:t>
      </w:r>
    </w:p>
    <w:p>
      <w:pPr>
        <w:spacing w:after="120" w:before="80"/>
      </w:pPr>
      <w:r>
        <w:rPr>
          <w:rFonts w:ascii="Arial" w:cs="Arial" w:eastAsia="Arial" w:hAnsi="Arial"/>
          <w:color w:val="1A1A2E"/>
          <w:sz w:val="22"/>
          <w:szCs w:val="22"/>
        </w:rPr>
        <w:t xml:space="preserve">The All Fields page shows every field on the current object in a searchable, filterable table with optional inline editing.</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Opening All Fields</w:t>
      </w:r>
    </w:p>
    <w:p>
      <w:pPr>
        <w:spacing w:after="120" w:before="80"/>
      </w:pPr>
      <w:r>
        <w:rPr>
          <w:rFonts w:ascii="Arial" w:cs="Arial" w:eastAsia="Arial" w:hAnsi="Arial"/>
          <w:color w:val="1A1A2E"/>
          <w:sz w:val="22"/>
          <w:szCs w:val="22"/>
        </w:rPr>
        <w:t xml:space="preserve">Click the All Fields button in the OrgSight explorer sidebar from any record page on the target object.</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The Field List</w:t>
      </w:r>
    </w:p>
    <w:p>
      <w:pPr>
        <w:spacing w:after="120" w:before="80"/>
      </w:pPr>
      <w:r>
        <w:rPr>
          <w:rFonts w:ascii="Arial" w:cs="Arial" w:eastAsia="Arial" w:hAnsi="Arial"/>
          <w:color w:val="1A1A2E"/>
          <w:sz w:val="22"/>
          <w:szCs w:val="22"/>
        </w:rPr>
        <w:t xml:space="preserve">Each row shows: Field API Name, Label, Type, and Value. The Value column shows the current field value from the record that was open when All Fields was launched. If no record was open, values are blank.</w:t>
      </w:r>
    </w:p>
    <w:p>
      <w:pPr>
        <w:spacing w:after="120" w:before="80"/>
      </w:pPr>
      <w:r>
        <w:rPr>
          <w:rFonts w:ascii="Arial" w:cs="Arial" w:eastAsia="Arial" w:hAnsi="Arial"/>
          <w:color w:val="1A1A2E"/>
          <w:sz w:val="22"/>
          <w:szCs w:val="22"/>
        </w:rPr>
        <w:t xml:space="preserve">Field API names are colour-coded: teal for custom fields, white for standard fields.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Filter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All / Custom / Standard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Filter by whether the field is custom or standard.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Editable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 only fields that the current user can edit based on their field-level security.</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Required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 only required fields.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Picklist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 only picklist and multi-select picklist fields.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Lookup</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 only lookup and master-detail relationship fields.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Has Value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Show only fields that currently have a non-null value on the loaded record.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Search box</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Filter by field API name, label, or type.</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Inline Edit</w:t>
      </w:r>
    </w:p>
    <w:p>
      <w:pPr>
        <w:spacing w:after="120" w:before="80"/>
      </w:pPr>
      <w:r>
        <w:rPr>
          <w:rFonts w:ascii="Arial" w:cs="Arial" w:eastAsia="Arial" w:hAnsi="Arial"/>
          <w:color w:val="1A1A2E"/>
          <w:sz w:val="22"/>
          <w:szCs w:val="22"/>
        </w:rPr>
        <w:t xml:space="preserve">Double-click any row to enter edit mode for that field. The value column becomes an editable input matched to the field type:</w:t>
      </w:r>
    </w:p>
    <w:p>
      <w:pPr>
        <w:pStyle w:val="ListParagraph"/>
        <w:numPr>
          <w:ilvl w:val="0"/>
          <w:numId w:val="2"/>
        </w:numPr>
        <w:spacing w:after="60" w:before="60"/>
      </w:pPr>
      <w:r>
        <w:rPr>
          <w:rFonts w:ascii="Arial" w:cs="Arial" w:eastAsia="Arial" w:hAnsi="Arial"/>
          <w:b/>
          <w:bCs/>
          <w:color w:val="1A1A2E"/>
          <w:sz w:val="22"/>
          <w:szCs w:val="22"/>
        </w:rPr>
        <w:t xml:space="preserve">Date fields: </w:t>
      </w:r>
      <w:r>
        <w:rPr>
          <w:rFonts w:ascii="Arial" w:cs="Arial" w:eastAsia="Arial" w:hAnsi="Arial"/>
          <w:color w:val="1A1A2E"/>
          <w:sz w:val="22"/>
          <w:szCs w:val="22"/>
        </w:rPr>
        <w:t xml:space="preserve">A native date picker opens when you click anywhere in the field. A teal pulse animation confirms the click registered.</w:t>
      </w:r>
    </w:p>
    <w:p>
      <w:pPr>
        <w:pStyle w:val="ListParagraph"/>
        <w:numPr>
          <w:ilvl w:val="0"/>
          <w:numId w:val="2"/>
        </w:numPr>
        <w:spacing w:after="60" w:before="60"/>
      </w:pPr>
      <w:r>
        <w:rPr>
          <w:rFonts w:ascii="Arial" w:cs="Arial" w:eastAsia="Arial" w:hAnsi="Arial"/>
          <w:b/>
          <w:bCs/>
          <w:color w:val="1A1A2E"/>
          <w:sz w:val="22"/>
          <w:szCs w:val="22"/>
        </w:rPr>
        <w:t xml:space="preserve">Datetime fields: </w:t>
      </w:r>
      <w:r>
        <w:rPr>
          <w:rFonts w:ascii="Arial" w:cs="Arial" w:eastAsia="Arial" w:hAnsi="Arial"/>
          <w:color w:val="1A1A2E"/>
          <w:sz w:val="22"/>
          <w:szCs w:val="22"/>
        </w:rPr>
        <w:t xml:space="preserve">A native date and time picker opens on click.</w:t>
      </w:r>
    </w:p>
    <w:p>
      <w:pPr>
        <w:pStyle w:val="ListParagraph"/>
        <w:numPr>
          <w:ilvl w:val="0"/>
          <w:numId w:val="2"/>
        </w:numPr>
        <w:spacing w:after="60" w:before="60"/>
      </w:pPr>
      <w:r>
        <w:rPr>
          <w:rFonts w:ascii="Arial" w:cs="Arial" w:eastAsia="Arial" w:hAnsi="Arial"/>
          <w:b/>
          <w:bCs/>
          <w:color w:val="1A1A2E"/>
          <w:sz w:val="22"/>
          <w:szCs w:val="22"/>
        </w:rPr>
        <w:t xml:space="preserve">Picklist fields: </w:t>
      </w:r>
      <w:r>
        <w:rPr>
          <w:rFonts w:ascii="Arial" w:cs="Arial" w:eastAsia="Arial" w:hAnsi="Arial"/>
          <w:color w:val="1A1A2E"/>
          <w:sz w:val="22"/>
          <w:szCs w:val="22"/>
        </w:rPr>
        <w:t xml:space="preserve">A dropdown shows available values.</w:t>
      </w:r>
    </w:p>
    <w:p>
      <w:pPr>
        <w:pStyle w:val="ListParagraph"/>
        <w:numPr>
          <w:ilvl w:val="0"/>
          <w:numId w:val="2"/>
        </w:numPr>
        <w:spacing w:after="60" w:before="60"/>
      </w:pPr>
      <w:r>
        <w:rPr>
          <w:rFonts w:ascii="Arial" w:cs="Arial" w:eastAsia="Arial" w:hAnsi="Arial"/>
          <w:b/>
          <w:bCs/>
          <w:color w:val="1A1A2E"/>
          <w:sz w:val="22"/>
          <w:szCs w:val="22"/>
        </w:rPr>
        <w:t xml:space="preserve">Checkbox fields: </w:t>
      </w:r>
      <w:r>
        <w:rPr>
          <w:rFonts w:ascii="Arial" w:cs="Arial" w:eastAsia="Arial" w:hAnsi="Arial"/>
          <w:color w:val="1A1A2E"/>
          <w:sz w:val="22"/>
          <w:szCs w:val="22"/>
        </w:rPr>
        <w:t xml:space="preserve">A checkbox toggles the boolean value.</w:t>
      </w:r>
    </w:p>
    <w:p>
      <w:pPr>
        <w:pStyle w:val="ListParagraph"/>
        <w:numPr>
          <w:ilvl w:val="0"/>
          <w:numId w:val="2"/>
        </w:numPr>
        <w:spacing w:after="60" w:before="60"/>
      </w:pPr>
      <w:r>
        <w:rPr>
          <w:rFonts w:ascii="Arial" w:cs="Arial" w:eastAsia="Arial" w:hAnsi="Arial"/>
          <w:b/>
          <w:bCs/>
          <w:color w:val="1A1A2E"/>
          <w:sz w:val="22"/>
          <w:szCs w:val="22"/>
        </w:rPr>
        <w:t xml:space="preserve">Long Text Area and Rich Text fields: </w:t>
      </w:r>
      <w:r>
        <w:rPr>
          <w:rFonts w:ascii="Arial" w:cs="Arial" w:eastAsia="Arial" w:hAnsi="Arial"/>
          <w:color w:val="1A1A2E"/>
          <w:sz w:val="22"/>
          <w:szCs w:val="22"/>
        </w:rPr>
        <w:t xml:space="preserve">A multi-line textarea appears with a minimum height of 72 pixels that expands as you type.</w:t>
      </w:r>
    </w:p>
    <w:p>
      <w:pPr>
        <w:pStyle w:val="ListParagraph"/>
        <w:numPr>
          <w:ilvl w:val="0"/>
          <w:numId w:val="2"/>
        </w:numPr>
        <w:spacing w:after="60" w:before="60"/>
      </w:pPr>
      <w:r>
        <w:rPr>
          <w:rFonts w:ascii="Arial" w:cs="Arial" w:eastAsia="Arial" w:hAnsi="Arial"/>
          <w:b/>
          <w:bCs/>
          <w:color w:val="1A1A2E"/>
          <w:sz w:val="22"/>
          <w:szCs w:val="22"/>
        </w:rPr>
        <w:t xml:space="preserve">Text fields: </w:t>
      </w:r>
      <w:r>
        <w:rPr>
          <w:rFonts w:ascii="Arial" w:cs="Arial" w:eastAsia="Arial" w:hAnsi="Arial"/>
          <w:color w:val="1A1A2E"/>
          <w:sz w:val="22"/>
          <w:szCs w:val="22"/>
        </w:rPr>
        <w:t xml:space="preserve">A standard text input with the field length limit enforced.</w:t>
      </w:r>
    </w:p>
    <w:p>
      <w:pPr>
        <w:spacing w:after="160" w:before="0"/>
      </w:pPr>
      <w:r>
        <w:t xml:space="preserve"/>
      </w:r>
    </w:p>
    <w:p>
      <w:pPr>
        <w:spacing w:after="120" w:before="80"/>
      </w:pPr>
      <w:r>
        <w:rPr>
          <w:rFonts w:ascii="Arial" w:cs="Arial" w:eastAsia="Arial" w:hAnsi="Arial"/>
          <w:color w:val="1A1A2E"/>
          <w:sz w:val="22"/>
          <w:szCs w:val="22"/>
        </w:rPr>
        <w:t xml:space="preserve">The status bar at the bottom shows "Edit mode" while changes are pending. Click Save Changes to write all modifications to the record via the Salesforce REST API, or Cancel to discard them.</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Alt-Click to Inspect</w:t>
      </w:r>
    </w:p>
    <w:p>
      <w:pPr>
        <w:spacing w:after="120" w:before="80"/>
      </w:pPr>
      <w:r>
        <w:rPr>
          <w:rFonts w:ascii="Arial" w:cs="Arial" w:eastAsia="Arial" w:hAnsi="Arial"/>
          <w:color w:val="1A1A2E"/>
          <w:sz w:val="22"/>
          <w:szCs w:val="22"/>
        </w:rPr>
        <w:t xml:space="preserve">Hold Alt and click any row in the field list to open the full OrgSight Field Inspector panel on the right side of the All Fields page. The panel loads all six tabs with the same information as inspecting the field from a record page. Close the panel with the X button or the Escape key.</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Export</w:t>
      </w:r>
    </w:p>
    <w:p>
      <w:pPr>
        <w:spacing w:after="120" w:before="80"/>
      </w:pPr>
      <w:r>
        <w:rPr>
          <w:rFonts w:ascii="Arial" w:cs="Arial" w:eastAsia="Arial" w:hAnsi="Arial"/>
          <w:color w:val="1A1A2E"/>
          <w:sz w:val="22"/>
          <w:szCs w:val="22"/>
        </w:rPr>
        <w:t xml:space="preserve">The Export button downloads the current visible field list as a CSV file. The export respects the active filter so only the rows currently shown are included.</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Other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Clone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Creates a copy of the current record.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Delete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Deletes the current record after a confirmation prompt. Available only when a record is loaded.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Metadata</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Opens an overlay showing the Salesforce object describe metadata for the parent object.</w:t>
            </w:r>
          </w:p>
        </w:tc>
      </w:tr>
    </w:tbl>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SOQL Runner</w:t>
      </w:r>
    </w:p>
    <w:p>
      <w:pPr>
        <w:spacing w:after="120" w:before="80"/>
      </w:pPr>
      <w:r>
        <w:rPr>
          <w:rFonts w:ascii="Arial" w:cs="Arial" w:eastAsia="Arial" w:hAnsi="Arial"/>
          <w:color w:val="1A1A2E"/>
          <w:sz w:val="22"/>
          <w:szCs w:val="22"/>
        </w:rPr>
        <w:t xml:space="preserve">The SOQL Runner is a full-featured query editor for running SOQL against your Salesforce org directly from the browser, without needing Developer Console or Workbench.</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Query Editor</w:t>
      </w:r>
    </w:p>
    <w:p>
      <w:pPr>
        <w:spacing w:after="120" w:before="80"/>
      </w:pPr>
      <w:r>
        <w:rPr>
          <w:rFonts w:ascii="Arial" w:cs="Arial" w:eastAsia="Arial" w:hAnsi="Arial"/>
          <w:color w:val="1A1A2E"/>
          <w:sz w:val="22"/>
          <w:szCs w:val="22"/>
        </w:rPr>
        <w:t xml:space="preserve">Type or paste a SOQL query in the editor. Press </w:t>
      </w:r>
      <w:r>
        <w:rPr>
          <w:rFonts w:ascii="Arial" w:cs="Arial" w:eastAsia="Arial" w:hAnsi="Arial"/>
          <w:b/>
          <w:bCs/>
          <w:color w:val="1A1A2E"/>
          <w:sz w:val="22"/>
          <w:szCs w:val="22"/>
        </w:rPr>
        <w:t xml:space="preserve">Ctrl+Enter</w:t>
      </w:r>
      <w:r>
        <w:rPr>
          <w:rFonts w:ascii="Arial" w:cs="Arial" w:eastAsia="Arial" w:hAnsi="Arial"/>
          <w:color w:val="1A1A2E"/>
          <w:sz w:val="22"/>
          <w:szCs w:val="22"/>
        </w:rPr>
        <w:t xml:space="preserve"> (Cmd+Enter on Mac) to run. The editor supports multi-line queries, undo, redo, and tab indentation.</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API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REST API</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Standard Salesforce SOQL endpoint. Supports most standard objects and all custom objects.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Tooling API</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Salesforce Tooling API endpoint. Used for querying metadata objects such as ApexClass, Flow, FlowDefinitionView, LightningComponentResource, and FieldPermissions.</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Multi-Tab Support</w:t>
      </w:r>
    </w:p>
    <w:p>
      <w:pPr>
        <w:spacing w:after="120" w:before="80"/>
      </w:pPr>
      <w:r>
        <w:rPr>
          <w:rFonts w:ascii="Arial" w:cs="Arial" w:eastAsia="Arial" w:hAnsi="Arial"/>
          <w:color w:val="1A1A2E"/>
          <w:sz w:val="22"/>
          <w:szCs w:val="22"/>
        </w:rPr>
        <w:t xml:space="preserve">The SOQL Runner supports up to 15 independent tabs. Each tab has its own query, API type selection, and result set. Click the plus icon to add a tab. Tab labels update automatically to the object name from the FROM clause after a query runs.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Function Toolbar</w:t>
      </w:r>
    </w:p>
    <w:p>
      <w:pPr>
        <w:spacing w:after="120" w:before="80"/>
      </w:pPr>
      <w:r>
        <w:rPr>
          <w:rFonts w:ascii="Arial" w:cs="Arial" w:eastAsia="Arial" w:hAnsi="Arial"/>
          <w:color w:val="1A1A2E"/>
          <w:sz w:val="22"/>
          <w:szCs w:val="22"/>
        </w:rPr>
        <w:t xml:space="preserve">Quick-insert buttons add common SOQL clauses to the query at the cursor position:</w:t>
      </w:r>
    </w:p>
    <w:p>
      <w:pPr>
        <w:pStyle w:val="ListParagraph"/>
        <w:numPr>
          <w:ilvl w:val="0"/>
          <w:numId w:val="2"/>
        </w:numPr>
        <w:spacing w:after="60" w:before="60"/>
      </w:pPr>
      <w:r>
        <w:rPr>
          <w:rFonts w:ascii="Courier New" w:cs="Courier New" w:eastAsia="Courier New" w:hAnsi="Courier New"/>
          <w:color w:val="0E5A6E"/>
          <w:sz w:val="20"/>
          <w:szCs w:val="20"/>
          <w:shd w:fill="EDF8FA" w:val="clear"/>
        </w:rPr>
        <w:t xml:space="preserve">FIELDS(ALL)</w:t>
      </w:r>
      <w:r>
        <w:rPr>
          <w:rFonts w:ascii="Arial" w:cs="Arial" w:eastAsia="Arial" w:hAnsi="Arial"/>
          <w:color w:val="1A1A2E"/>
          <w:sz w:val="22"/>
          <w:szCs w:val="22"/>
        </w:rPr>
        <w:t xml:space="preserve">: selects all fields on the queried object</w:t>
      </w:r>
    </w:p>
    <w:p>
      <w:pPr>
        <w:pStyle w:val="ListParagraph"/>
        <w:numPr>
          <w:ilvl w:val="0"/>
          <w:numId w:val="2"/>
        </w:numPr>
        <w:spacing w:after="60" w:before="60"/>
      </w:pPr>
      <w:r>
        <w:rPr>
          <w:rFonts w:ascii="Courier New" w:cs="Courier New" w:eastAsia="Courier New" w:hAnsi="Courier New"/>
          <w:color w:val="0E5A6E"/>
          <w:sz w:val="20"/>
          <w:szCs w:val="20"/>
          <w:shd w:fill="EDF8FA" w:val="clear"/>
        </w:rPr>
        <w:t xml:space="preserve">FIELDS(CUSTOM)</w:t>
      </w:r>
      <w:r>
        <w:rPr>
          <w:rFonts w:ascii="Arial" w:cs="Arial" w:eastAsia="Arial" w:hAnsi="Arial"/>
          <w:color w:val="1A1A2E"/>
          <w:sz w:val="22"/>
          <w:szCs w:val="22"/>
        </w:rPr>
        <w:t xml:space="preserve">: selects only custom fields</w:t>
      </w:r>
    </w:p>
    <w:p>
      <w:pPr>
        <w:pStyle w:val="ListParagraph"/>
        <w:numPr>
          <w:ilvl w:val="0"/>
          <w:numId w:val="2"/>
        </w:numPr>
        <w:spacing w:after="60" w:before="60"/>
      </w:pPr>
      <w:r>
        <w:rPr>
          <w:rFonts w:ascii="Courier New" w:cs="Courier New" w:eastAsia="Courier New" w:hAnsi="Courier New"/>
          <w:color w:val="0E5A6E"/>
          <w:sz w:val="20"/>
          <w:szCs w:val="20"/>
          <w:shd w:fill="EDF8FA" w:val="clear"/>
        </w:rPr>
        <w:t xml:space="preserve">FIELDS(STANDARD)</w:t>
      </w:r>
      <w:r>
        <w:rPr>
          <w:rFonts w:ascii="Arial" w:cs="Arial" w:eastAsia="Arial" w:hAnsi="Arial"/>
          <w:color w:val="1A1A2E"/>
          <w:sz w:val="22"/>
          <w:szCs w:val="22"/>
        </w:rPr>
        <w:t xml:space="preserve">: selects only standard fields</w:t>
      </w:r>
    </w:p>
    <w:p>
      <w:pPr>
        <w:pStyle w:val="ListParagraph"/>
        <w:numPr>
          <w:ilvl w:val="0"/>
          <w:numId w:val="2"/>
        </w:numPr>
        <w:spacing w:after="60" w:before="60"/>
      </w:pPr>
      <w:r>
        <w:rPr>
          <w:rFonts w:ascii="Arial" w:cs="Arial" w:eastAsia="Arial" w:hAnsi="Arial"/>
          <w:color w:val="1A1A2E"/>
          <w:sz w:val="22"/>
          <w:szCs w:val="22"/>
        </w:rPr>
        <w:t xml:space="preserve">Aggregate functions: </w:t>
      </w:r>
      <w:r>
        <w:rPr>
          <w:rFonts w:ascii="Courier New" w:cs="Courier New" w:eastAsia="Courier New" w:hAnsi="Courier New"/>
          <w:color w:val="0E5A6E"/>
          <w:sz w:val="20"/>
          <w:szCs w:val="20"/>
          <w:shd w:fill="EDF8FA" w:val="clear"/>
        </w:rPr>
        <w:t xml:space="preserve">COUNT()</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COUNT_DISTINCT()</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SUM()</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AVG()</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MIN()</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MAX()</w:t>
      </w:r>
    </w:p>
    <w:p>
      <w:pPr>
        <w:pStyle w:val="ListParagraph"/>
        <w:numPr>
          <w:ilvl w:val="0"/>
          <w:numId w:val="2"/>
        </w:numPr>
        <w:spacing w:after="60" w:before="60"/>
      </w:pPr>
      <w:r>
        <w:rPr>
          <w:rFonts w:ascii="Arial" w:cs="Arial" w:eastAsia="Arial" w:hAnsi="Arial"/>
          <w:color w:val="1A1A2E"/>
          <w:sz w:val="22"/>
          <w:szCs w:val="22"/>
        </w:rPr>
        <w:t xml:space="preserve">Date literals: </w:t>
      </w:r>
      <w:r>
        <w:rPr>
          <w:rFonts w:ascii="Courier New" w:cs="Courier New" w:eastAsia="Courier New" w:hAnsi="Courier New"/>
          <w:color w:val="0E5A6E"/>
          <w:sz w:val="20"/>
          <w:szCs w:val="20"/>
          <w:shd w:fill="EDF8FA" w:val="clear"/>
        </w:rPr>
        <w:t xml:space="preserve">TODAY</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LAST_N_DAYS:30</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LAST_N_MONTHS:3</w:t>
      </w:r>
    </w:p>
    <w:p>
      <w:pPr>
        <w:pStyle w:val="ListParagraph"/>
        <w:numPr>
          <w:ilvl w:val="0"/>
          <w:numId w:val="2"/>
        </w:numPr>
        <w:spacing w:after="60" w:before="60"/>
      </w:pPr>
      <w:r>
        <w:rPr>
          <w:rFonts w:ascii="Arial" w:cs="Arial" w:eastAsia="Arial" w:hAnsi="Arial"/>
          <w:color w:val="1A1A2E"/>
          <w:sz w:val="22"/>
          <w:szCs w:val="22"/>
        </w:rPr>
        <w:t xml:space="preserve">Null checks: </w:t>
      </w:r>
      <w:r>
        <w:rPr>
          <w:rFonts w:ascii="Courier New" w:cs="Courier New" w:eastAsia="Courier New" w:hAnsi="Courier New"/>
          <w:color w:val="0E5A6E"/>
          <w:sz w:val="20"/>
          <w:szCs w:val="20"/>
          <w:shd w:fill="EDF8FA" w:val="clear"/>
        </w:rPr>
        <w:t xml:space="preserve">= NULL</w:t>
      </w:r>
      <w:r>
        <w:rPr>
          <w:rFonts w:ascii="Arial" w:cs="Arial" w:eastAsia="Arial" w:hAnsi="Arial"/>
          <w:color w:val="1A1A2E"/>
          <w:sz w:val="22"/>
          <w:szCs w:val="22"/>
        </w:rPr>
        <w:t xml:space="preserve">, </w:t>
      </w:r>
      <w:r>
        <w:rPr>
          <w:rFonts w:ascii="Courier New" w:cs="Courier New" w:eastAsia="Courier New" w:hAnsi="Courier New"/>
          <w:color w:val="0E5A6E"/>
          <w:sz w:val="20"/>
          <w:szCs w:val="20"/>
          <w:shd w:fill="EDF8FA" w:val="clear"/>
        </w:rPr>
        <w:t xml:space="preserve">!= NULL</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Results Table</w:t>
      </w:r>
    </w:p>
    <w:p>
      <w:pPr>
        <w:spacing w:after="120" w:before="80"/>
      </w:pPr>
      <w:r>
        <w:rPr>
          <w:rFonts w:ascii="Arial" w:cs="Arial" w:eastAsia="Arial" w:hAnsi="Arial"/>
          <w:color w:val="1A1A2E"/>
          <w:sz w:val="22"/>
          <w:szCs w:val="22"/>
        </w:rPr>
        <w:t xml:space="preserve">Results display in a table with visible borders for both rows and columns. Click any column header to sort ascending or descending. The filter box above the results filters across all columns.</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Salesforce ID Links</w:t>
      </w:r>
    </w:p>
    <w:p>
      <w:pPr>
        <w:spacing w:after="120" w:before="80"/>
      </w:pPr>
      <w:r>
        <w:rPr>
          <w:rFonts w:ascii="Arial" w:cs="Arial" w:eastAsia="Arial" w:hAnsi="Arial"/>
          <w:color w:val="1A1A2E"/>
          <w:sz w:val="22"/>
          <w:szCs w:val="22"/>
        </w:rPr>
        <w:t xml:space="preserve">Cell values that match the 15 or 18-character Salesforce ID format are shown as clickable links. Clicking any ID opens a context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Show all data</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Fetches the complete record from the org and opens it in the OrgSight All Fields page in a new tab. The object type is automatically detected from the ID using the Salesforce UI API.</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Query Record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Opens a new SOQL Runner tab pre-filled with SELECT FIELDS(ALL) FROM ObjectType WHERE Id = theId LIMIT 1. The object type is detected automatically from the ID.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View in Salesforce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Opens the record on its standard Salesforce page in a new tab.</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Copy Id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Copies the ID to the clipboard and shows a brief confirmation toast.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Show all data and Query Record automatically identify the object type from the record ID using the Salesforce UI API records endpoint. You do not need to know which object the ID belongs to before clicking.</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Copy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Copy CSV</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Copies all result rows as comma-separated values to the clipboard.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Copy JSON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Copies results as a JSON array to the clipboard.</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Copy Excel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Copies results in tab-separated format compatible with pasting directly into Excel.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Download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Downloads the results as a file.</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Delete Records</w:t>
      </w:r>
    </w:p>
    <w:p>
      <w:pPr>
        <w:spacing w:after="120" w:before="80"/>
      </w:pPr>
      <w:r>
        <w:rPr>
          <w:rFonts w:ascii="Arial" w:cs="Arial" w:eastAsia="Arial" w:hAnsi="Arial"/>
          <w:color w:val="1A1A2E"/>
          <w:sz w:val="22"/>
          <w:szCs w:val="22"/>
        </w:rPr>
        <w:t xml:space="preserve">After running a query, the Delete Records button deletes all records in the result set. A confirmation dialog shows how many records will be deleted. This operation cannot be undone.</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History and Saved Queries</w:t>
      </w:r>
    </w:p>
    <w:p>
      <w:pPr>
        <w:spacing w:after="120" w:before="80"/>
      </w:pPr>
      <w:r>
        <w:rPr>
          <w:rFonts w:ascii="Arial" w:cs="Arial" w:eastAsia="Arial" w:hAnsi="Arial"/>
          <w:color w:val="1A1A2E"/>
          <w:sz w:val="22"/>
          <w:szCs w:val="22"/>
        </w:rPr>
        <w:t xml:space="preserve">The History button shows the last 30 queries you have run. The Save button saves the current query with a custom name. Up to 50 queries can be saved and persist across sessions.</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Flow Health Analyser</w:t>
      </w:r>
    </w:p>
    <w:p>
      <w:pPr>
        <w:spacing w:after="120" w:before="80"/>
      </w:pPr>
      <w:r>
        <w:rPr>
          <w:rFonts w:ascii="Arial" w:cs="Arial" w:eastAsia="Arial" w:hAnsi="Arial"/>
          <w:color w:val="1A1A2E"/>
          <w:sz w:val="22"/>
          <w:szCs w:val="22"/>
        </w:rPr>
        <w:t xml:space="preserve">The Flow Health Analyser scans all active flows in your org and identifies patterns that commonly cause governor limit errors, data quality problems, or poor user experiences in production.</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How It Works</w:t>
      </w:r>
    </w:p>
    <w:p>
      <w:pPr>
        <w:spacing w:after="120" w:before="80"/>
      </w:pPr>
      <w:r>
        <w:rPr>
          <w:rFonts w:ascii="Arial" w:cs="Arial" w:eastAsia="Arial" w:hAnsi="Arial"/>
          <w:color w:val="1A1A2E"/>
          <w:sz w:val="22"/>
          <w:szCs w:val="22"/>
        </w:rPr>
        <w:t xml:space="preserve">OrgSight fetches all active flows using the FlowDefinitionView object, then retrieves the Metadata for each active flow version using the Tooling API. Flows are analysed in batches of 30 and results appear progressively so you do not wait for all flows to finish before seeing initial results.</w:t>
      </w:r>
    </w:p>
    <w:p>
      <w:pPr>
        <w:spacing w:after="120" w:before="80"/>
      </w:pPr>
      <w:r>
        <w:rPr>
          <w:rFonts w:ascii="Arial" w:cs="Arial" w:eastAsia="Arial" w:hAnsi="Arial"/>
          <w:color w:val="1A1A2E"/>
          <w:sz w:val="22"/>
          <w:szCs w:val="22"/>
        </w:rPr>
        <w:t xml:space="preserve">Results are cached after the first load. On subsequent opens, OrgSight checks the most recent LastModifiedDate across all flows. If nothing has changed, the cached results load instantly. If any flow was added, modified, or deleted, a fresh scan runs automatically.</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Issues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SOQL in loop (Critical)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SOQL query runs inside a loop element. This is the most common cause of hitting the 100-query governor limit in production. Flows processing high record volumes will fail.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DML in loop (Critical)</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record create, update, or delete operation runs inside a loop. This can hit the 150 DML operations governor limit.</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Subflow called in loop</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subflow invocation is inside a loop. If the subflow itself performs SOQL or DML, the limits multiply.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Apex action in loop</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An Apex invocable action is called inside a loop. Apex actions can consume SOQL and DML limits internally.</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No fault path on DML element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Create Records, Update Records, Delete Records, or Get Records element has no fault path. If the operation fails, the flow shows a generic unhandled error instead of recovering gracefully.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Multiple Get Records on same object</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flow queries the same object more than once using separate Get Records elements when a single query could cover both.</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Unfiltered scheduled flow</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scheduled-triggered flow has a Get Records element with no filter, querying all records of that object on every run.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Old API version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flow was last saved on API version 49 or earlier, missing features and security updates from recent releases.</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Critical (red)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Likely to cause governor limit errors or data loss at production scale.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Warning (amber)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Not immediately harmful but represents poor practice or future risk.</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Healthy (green)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No issues detected.</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Filters</w:t>
      </w:r>
    </w:p>
    <w:p>
      <w:pPr>
        <w:spacing w:after="120" w:before="80"/>
      </w:pPr>
      <w:r>
        <w:rPr>
          <w:rFonts w:ascii="Arial" w:cs="Arial" w:eastAsia="Arial" w:hAnsi="Arial"/>
          <w:color w:val="1A1A2E"/>
          <w:sz w:val="22"/>
          <w:szCs w:val="22"/>
        </w:rPr>
        <w:t xml:space="preserve">Filter by severity using the Critical, Warning, and Healthy buttons. Filter by flow type (Record-Triggered, Screen, Scheduled, Auto-Launched, Platform Event). Search by flow name.</w:t>
      </w:r>
    </w:p>
    <w:p>
      <w:pPr>
        <w:spacing w:after="120" w:before="80"/>
      </w:pPr>
      <w:r>
        <w:rPr>
          <w:rFonts w:ascii="Arial" w:cs="Arial" w:eastAsia="Arial" w:hAnsi="Arial"/>
          <w:color w:val="1A1A2E"/>
          <w:sz w:val="22"/>
          <w:szCs w:val="22"/>
        </w:rPr>
        <w:t xml:space="preserve">Each flow card has a direct link to open that flow in Flow Builder in a new tab.</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Metadata Explorer</w:t>
      </w:r>
    </w:p>
    <w:p>
      <w:pPr>
        <w:spacing w:after="120" w:before="80"/>
      </w:pPr>
      <w:r>
        <w:rPr>
          <w:rFonts w:ascii="Arial" w:cs="Arial" w:eastAsia="Arial" w:hAnsi="Arial"/>
          <w:color w:val="1A1A2E"/>
          <w:sz w:val="22"/>
          <w:szCs w:val="22"/>
        </w:rPr>
        <w:t xml:space="preserve">The Metadata Explorer is a full org metadata browser, package.xml generator, and retrieval tool built directly into the browser.</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Browsing Metadata Types</w:t>
      </w:r>
    </w:p>
    <w:p>
      <w:pPr>
        <w:spacing w:after="120" w:before="80"/>
      </w:pPr>
      <w:r>
        <w:rPr>
          <w:rFonts w:ascii="Arial" w:cs="Arial" w:eastAsia="Arial" w:hAnsi="Arial"/>
          <w:color w:val="1A1A2E"/>
          <w:sz w:val="22"/>
          <w:szCs w:val="22"/>
        </w:rPr>
        <w:t xml:space="preserve">The left panel shows all metadata types in your org organised into 13 groups: Apex and Visualforce, Lightning, Flows and Automation, Objects and Fields, Layouts and Pages, Security and Access, Analytics, UI, Integration, Configuration, Translation, Email, and Packages.</w:t>
      </w:r>
    </w:p>
    <w:p>
      <w:pPr>
        <w:spacing w:after="120" w:before="80"/>
      </w:pPr>
      <w:r>
        <w:rPr>
          <w:rFonts w:ascii="Arial" w:cs="Arial" w:eastAsia="Arial" w:hAnsi="Arial"/>
          <w:color w:val="1A1A2E"/>
          <w:sz w:val="22"/>
          <w:szCs w:val="22"/>
        </w:rPr>
        <w:t xml:space="preserve">Count badges fill in progressively as OrgSight loads member lists in the background. A progress bar below the controls row shows the overall loading percentage. Once it shows "All metadata loaded," all counts are available.</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Selecting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Whole type selection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Check the checkbox next to a type name to select all components using a wildcard.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Individual components</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Click the caret or type name to expand the list, then check individual component checkboxes. Clicking a component name also toggles its selection.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Parent-child sync</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Checking the parent type checkbox selects all visible child components and vice versa.</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Exclude managed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Excl. managed checkbox filters out components from managed packages.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Search</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Filters both type names and component names. Matching components are highlighted and their parent types expand automatically.</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Package XML Generation</w:t>
      </w:r>
    </w:p>
    <w:p>
      <w:pPr>
        <w:spacing w:after="120" w:before="80"/>
      </w:pPr>
      <w:r>
        <w:rPr>
          <w:rFonts w:ascii="Arial" w:cs="Arial" w:eastAsia="Arial" w:hAnsi="Arial"/>
          <w:color w:val="1A1A2E"/>
          <w:sz w:val="22"/>
          <w:szCs w:val="22"/>
        </w:rPr>
        <w:t xml:space="preserve">The package.xml tab shows the generated XML based on current selections and updates live. Supported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API version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Dropdown of supported API versions from your org.</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Wildcards toggle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When on, types that support wildcard retrieval use * for members. When off, only explicitly selected components are listed by name.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Copy XML</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Copies the package.xml content to the clipboard.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Download package.xml</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Downloads the file directly.</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Retrieval</w:t>
      </w:r>
    </w:p>
    <w:p>
      <w:pPr>
        <w:spacing w:after="120" w:before="80"/>
      </w:pPr>
      <w:r>
        <w:rPr>
          <w:rFonts w:ascii="Arial" w:cs="Arial" w:eastAsia="Arial" w:hAnsi="Arial"/>
          <w:color w:val="1A1A2E"/>
          <w:sz w:val="22"/>
          <w:szCs w:val="22"/>
        </w:rPr>
        <w:t xml:space="preserve">The Retrieve and Download tab retrieves selected metadata from the org as a ZIP file using the Salesforce Metadata API SOAP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Wildcard mode</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Retrieves all components of each selected type using wildcards where the API supports it. Fastest approach for broad retrievals.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Selective mode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Retrieves only specifically selected components by name. Use for targeted retrievals.</w:t>
            </w:r>
          </w:p>
        </w:tc>
      </w:tr>
    </w:tbl>
    <w:p>
      <w:pPr>
        <w:spacing w:after="120" w:before="80"/>
      </w:pPr>
      <w:r>
        <w:rPr>
          <w:rFonts w:ascii="Arial" w:cs="Arial" w:eastAsia="Arial" w:hAnsi="Arial"/>
          <w:color w:val="1A1A2E"/>
          <w:sz w:val="22"/>
          <w:szCs w:val="22"/>
        </w:rPr>
        <w:t xml:space="preserve">OrgSight polls the retrieve job every 5 seconds for up to 10 minutes. For large selections that exceed the 10,000-component Salesforce limit, the retrieval is automatically split into chunks and downloads as separate ZIP files named metadata_part1of3.zip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CAD3" w:sz="8"/>
              <w:left w:val="single" w:color="1ECAD3" w:sz="24"/>
              <w:bottom w:val="single" w:color="1ECAD3" w:sz="4"/>
              <w:right w:val="single" w:color="1ECAD3" w:sz="4"/>
            </w:tcBorders>
            <w:shd w:fill="EDF8FA" w:val="clear"/>
            <w:tcMar>
              <w:top w:type="dxa" w:w="120"/>
              <w:left w:type="dxa" w:w="160"/>
              <w:bottom w:type="dxa" w:w="120"/>
              <w:right w:type="dxa" w:w="120"/>
            </w:tcMar>
          </w:tcPr>
          <w:p>
            <w:pPr>
              <w:spacing w:after="0" w:before="0"/>
            </w:pPr>
            <w:r>
              <w:rPr>
                <w:rFonts w:ascii="Arial" w:cs="Arial" w:eastAsia="Arial" w:hAnsi="Arial"/>
                <w:b/>
                <w:bCs/>
                <w:color w:val="0E5A6E"/>
                <w:sz w:val="22"/>
                <w:szCs w:val="22"/>
              </w:rPr>
              <w:t xml:space="preserve">Note: </w:t>
            </w:r>
            <w:r>
              <w:rPr>
                <w:rFonts w:ascii="Arial" w:cs="Arial" w:eastAsia="Arial" w:hAnsi="Arial"/>
                <w:color w:val="1A3A4A"/>
                <w:sz w:val="22"/>
                <w:szCs w:val="22"/>
              </w:rPr>
              <w:t xml:space="preserve">Salesforce has a hard limit of 10,000 components per retrieve call. OrgSight detects when this limit would be exceeded and handles chunking automatically without requiring any action from you.</w:t>
            </w:r>
          </w:p>
        </w:tc>
      </w:tr>
    </w:tbl>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Environment Bar</w:t>
      </w:r>
    </w:p>
    <w:p>
      <w:pPr>
        <w:spacing w:after="120" w:before="80"/>
      </w:pPr>
      <w:r>
        <w:rPr>
          <w:rFonts w:ascii="Arial" w:cs="Arial" w:eastAsia="Arial" w:hAnsi="Arial"/>
          <w:color w:val="1A1A2E"/>
          <w:sz w:val="22"/>
          <w:szCs w:val="22"/>
        </w:rPr>
        <w:t xml:space="preserve">The Environment Bar adds a colour-coded identification bar to every Salesforce page. It immediately shows which org you are working in, preventing accidental changes in the wrong environment.</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Configuration</w:t>
      </w:r>
    </w:p>
    <w:p>
      <w:pPr>
        <w:spacing w:after="120" w:before="80"/>
      </w:pPr>
      <w:r>
        <w:rPr>
          <w:rFonts w:ascii="Arial" w:cs="Arial" w:eastAsia="Arial" w:hAnsi="Arial"/>
          <w:color w:val="1A1A2E"/>
          <w:sz w:val="22"/>
          <w:szCs w:val="22"/>
        </w:rPr>
        <w:t xml:space="preserve">Open OrgSight Settings and find the Environment Bar section. Each bar is configured per org, identified by the org slug in the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Text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Custom text to display such as PRODUCTION or Developer Sandbox.</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Background colour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bar background. Red is commonly used for production, green for sandbox.</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Text colour</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text colour in the bar.</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Position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Top or bottom of the browser window.</w:t>
            </w:r>
          </w:p>
        </w:tc>
      </w:tr>
    </w:tbl>
    <w:p>
      <w:pPr>
        <w:spacing w:after="120" w:before="80"/>
      </w:pPr>
      <w:r>
        <w:rPr>
          <w:rFonts w:ascii="Arial" w:cs="Arial" w:eastAsia="Arial" w:hAnsi="Arial"/>
          <w:color w:val="1A1A2E"/>
          <w:sz w:val="22"/>
          <w:szCs w:val="22"/>
        </w:rPr>
        <w:t xml:space="preserve">The bar automatically re-inserts itself if the Salesforce Aura framework removes it during single-page app navigation. It works on both the standard Salesforce domain and the Setup domain, keeping the same configuration across both.</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Settings</w:t>
      </w:r>
    </w:p>
    <w:p>
      <w:pPr>
        <w:spacing w:after="120" w:before="80"/>
      </w:pPr>
      <w:r>
        <w:rPr>
          <w:rFonts w:ascii="Arial" w:cs="Arial" w:eastAsia="Arial" w:hAnsi="Arial"/>
          <w:color w:val="1A1A2E"/>
          <w:sz w:val="22"/>
          <w:szCs w:val="22"/>
        </w:rPr>
        <w:t xml:space="preserve">Open Settings by clicking the gear icon in the OrgSight explorer sidebar or the panel header.</w:t>
      </w:r>
    </w:p>
    <w:p>
      <w:pPr>
        <w:spacing w:after="160" w:before="0"/>
      </w:pPr>
      <w:r>
        <w:t xml:space="preserve"/>
      </w:r>
    </w:p>
    <w:p>
      <w:pPr>
        <w:pStyle w:val="Heading2"/>
        <w:spacing w:after="120" w:before="320"/>
      </w:pPr>
      <w:r>
        <w:rPr>
          <w:rFonts w:ascii="Arial" w:cs="Arial" w:eastAsia="Arial" w:hAnsi="Arial"/>
          <w:b/>
          <w:bCs/>
          <w:color w:val="0D1117"/>
          <w:sz w:val="26"/>
          <w:szCs w:val="26"/>
        </w:rPr>
        <w:t xml:space="preserve">Feature Toggles</w:t>
      </w:r>
    </w:p>
    <w:p>
      <w:pPr>
        <w:spacing w:after="120" w:before="80"/>
      </w:pPr>
      <w:r>
        <w:rPr>
          <w:rFonts w:ascii="Arial" w:cs="Arial" w:eastAsia="Arial" w:hAnsi="Arial"/>
          <w:color w:val="1A1A2E"/>
          <w:sz w:val="22"/>
          <w:szCs w:val="22"/>
        </w:rPr>
        <w:t xml:space="preserve">Enable or disable individual OrgSight features. Disabling a feature removes its button from the explorer sidebar and stops its data from loading, which can reduce API call volume for users who only need 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Field Explorer</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floating side panel and Alt-click functionality.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All Fields page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full field list page.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Org Audit</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object-level audit and field health summary.</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Flow Health Analyser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flow scanning page.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Metadata Explorer</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metadata browser and retrieval tool.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Dead Field Detector</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usage score and scoring signals in the Overview tab.</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Picklist Value Distribution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value distribution chart for picklist fields.</w:t>
            </w:r>
          </w:p>
        </w:tc>
      </w:tr>
    </w:tbl>
    <w:p>
      <w:pPr>
        <w:spacing w:after="160" w:before="0"/>
      </w:pPr>
      <w:r>
        <w:t xml:space="preserve"/>
      </w:r>
    </w:p>
    <w:p>
      <w:pPr>
        <w:pStyle w:val="Heading2"/>
        <w:spacing w:after="120" w:before="320"/>
      </w:pPr>
      <w:r>
        <w:rPr>
          <w:rFonts w:ascii="Arial" w:cs="Arial" w:eastAsia="Arial" w:hAnsi="Arial"/>
          <w:b/>
          <w:bCs/>
          <w:color w:val="0D1117"/>
          <w:sz w:val="26"/>
          <w:szCs w:val="26"/>
        </w:rPr>
        <w:t xml:space="preserve">Cache Settings</w:t>
      </w:r>
    </w:p>
    <w:p>
      <w:pPr>
        <w:spacing w:after="120" w:before="80"/>
      </w:pPr>
      <w:r>
        <w:rPr>
          <w:rFonts w:ascii="Arial" w:cs="Arial" w:eastAsia="Arial" w:hAnsi="Arial"/>
          <w:color w:val="1A1A2E"/>
          <w:sz w:val="22"/>
          <w:szCs w:val="22"/>
        </w:rPr>
        <w:t xml:space="preserve">Controls how long field data is cached before OrgSight re-fetches it from the org. Shorter cache times mean fresher data but more API calls. Longer times mean faster panel opens. The Refresh button in the panel header bypasses the cache for the current field at any time.</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Understanding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Term</w:t>
            </w:r>
          </w:p>
        </w:tc>
        <w:tc>
          <w:tcPr>
            <w:tcW w:type="dxa" w:w="61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Explanation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URL not in allowed Salesforce domains</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OrgSight only makes API calls to Salesforce domains. Try refreshing the page. If the error persists, verify you are on a supported org domain.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Extension context invalidated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Chrome extension was updated or reloaded while the panel was open. Refresh the Salesforce page to restore the connection.</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Field not found in Tooling API</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field exists in the REST describe API but not in the Tooling API metadata objects. This happens for some managed package fields and certain system fields. Partial information is still shown from the describe API.</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Managed package: extended metadata not accessible</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The field belongs to a managed package. Salesforce does not allow reading managed package source code. FLS, usage counts, and some dependency data are still available.</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LIMIT undefined</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 query was built with a missing internal configuration value. Try closing and reopening the panel or refreshing the page.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G._sdescribe is not a function</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An internal function was called before all OrgSight scripts finished loading. Closing and reopening the panel resolves this.</w:t>
            </w:r>
          </w:p>
        </w:tc>
      </w:tr>
      <w:tr>
        <w:tc>
          <w:tcPr>
            <w:tcW w:type="dxa" w:w="32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b/>
                <w:bCs/>
                <w:color w:val="1A1A2E"/>
                <w:sz w:val="22"/>
                <w:szCs w:val="22"/>
              </w:rPr>
              <w:t xml:space="preserve">G._getRecordIdFromPage is not a function</w:t>
            </w:r>
          </w:p>
        </w:tc>
        <w:tc>
          <w:tcPr>
            <w:tcW w:type="dxa" w:w="61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Expected when the inspector is opened from the All Fields page rather than a live record page. Sections that require a record ID show this message. All other information loads normally.</w:t>
            </w:r>
          </w:p>
        </w:tc>
      </w:tr>
    </w:tbl>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Privacy and Data Handling</w:t>
      </w:r>
    </w:p>
    <w:p>
      <w:pPr>
        <w:spacing w:after="120" w:before="80"/>
      </w:pPr>
      <w:r>
        <w:rPr>
          <w:rFonts w:ascii="Arial" w:cs="Arial" w:eastAsia="Arial" w:hAnsi="Arial"/>
          <w:color w:val="1A1A2E"/>
          <w:sz w:val="22"/>
          <w:szCs w:val="22"/>
        </w:rPr>
        <w:t xml:space="preserve">OrgSight does not send any data to external servers. All API calls go directly from your browser to your Salesforce org using your existing authenticated session.</w:t>
      </w:r>
    </w:p>
    <w:p>
      <w:pPr>
        <w:spacing w:after="120" w:before="80"/>
      </w:pPr>
      <w:r>
        <w:rPr>
          <w:rFonts w:ascii="Arial" w:cs="Arial" w:eastAsia="Arial" w:hAnsi="Arial"/>
          <w:color w:val="1A1A2E"/>
          <w:sz w:val="22"/>
          <w:szCs w:val="22"/>
        </w:rPr>
        <w:t xml:space="preserve">Your Salesforce session token is read from the browser cookie store and used by the extension background service worker to authenticate API calls. No credentials are stored permanently. The session token is only held in memory during your browser session.</w:t>
      </w:r>
    </w:p>
    <w:p>
      <w:pPr>
        <w:spacing w:after="120" w:before="80"/>
      </w:pPr>
      <w:r>
        <w:rPr>
          <w:rFonts w:ascii="Arial" w:cs="Arial" w:eastAsia="Arial" w:hAnsi="Arial"/>
          <w:color w:val="1A1A2E"/>
          <w:sz w:val="22"/>
          <w:szCs w:val="22"/>
        </w:rPr>
        <w:t xml:space="preserve">Field notes and extension settings are stored locally in Chrome extension storage and remain on your device. They are not synced to any server or shared with other users.</w:t>
      </w:r>
    </w:p>
    <w:p>
      <w:pPr>
        <w:spacing w:after="120" w:before="80"/>
      </w:pPr>
      <w:r>
        <w:rPr>
          <w:rFonts w:ascii="Arial" w:cs="Arial" w:eastAsia="Arial" w:hAnsi="Arial"/>
          <w:color w:val="1A1A2E"/>
          <w:sz w:val="22"/>
          <w:szCs w:val="22"/>
        </w:rPr>
        <w:t xml:space="preserve">OrgSight reads metadata, field security, and automation configuration from your org for display purposes. It does not write any data to your org except when you explicitly use the inline edit feature in All Fields, the Delete Records feature in the SOQL Runner, or the Clone and Delete buttons on the All Fields page.</w:t>
      </w:r>
    </w:p>
    <w:p>
      <w:r>
        <w:br w:type="page"/>
      </w:r>
    </w:p>
    <w:p>
      <w:pPr>
        <w:pStyle w:val="Heading1"/>
        <w:pBdr>
          <w:bottom w:val="single" w:color="1ECAD3" w:sz="6" w:space="6"/>
        </w:pBdr>
        <w:spacing w:after="160" w:before="480"/>
      </w:pPr>
      <w:r>
        <w:rPr>
          <w:rFonts w:ascii="Arial" w:cs="Arial" w:eastAsia="Arial" w:hAnsi="Arial"/>
          <w:b/>
          <w:bCs/>
          <w:color w:val="0D1117"/>
          <w:sz w:val="32"/>
          <w:szCs w:val="32"/>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Action</w:t>
            </w:r>
          </w:p>
        </w:tc>
        <w:tc>
          <w:tcPr>
            <w:tcW w:type="dxa" w:w="5360"/>
            <w:tcBorders>
              <w:top w:val="single" w:color="1ECAD3" w:sz="4"/>
              <w:left w:val="single" w:color="1ECAD3" w:sz="4"/>
              <w:bottom w:val="single" w:color="1ECAD3" w:sz="4"/>
              <w:right w:val="single" w:color="1ECAD3" w:sz="4"/>
            </w:tcBorders>
            <w:shd w:fill="0D1117" w:val="clear"/>
            <w:tcMar>
              <w:top w:type="dxa" w:w="100"/>
              <w:left w:type="dxa" w:w="120"/>
              <w:bottom w:type="dxa" w:w="100"/>
              <w:right w:type="dxa" w:w="120"/>
            </w:tcMar>
          </w:tcPr>
          <w:p>
            <w:pPr>
              <w:spacing w:after="0" w:before="0"/>
            </w:pPr>
            <w:r>
              <w:rPr>
                <w:rFonts w:ascii="Arial" w:cs="Arial" w:eastAsia="Arial" w:hAnsi="Arial"/>
                <w:b/>
                <w:bCs/>
                <w:color w:val="1ECAD3"/>
                <w:sz w:val="22"/>
                <w:szCs w:val="22"/>
              </w:rPr>
              <w:t xml:space="preserve">Shortcut</w:t>
            </w:r>
          </w:p>
        </w:tc>
      </w:tr>
      <w:tr>
        <w:tc>
          <w:tcPr>
            <w:tcW w:type="dxa" w:w="40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 Field Inspector</w:t>
            </w:r>
          </w:p>
        </w:tc>
        <w:tc>
          <w:tcPr>
            <w:tcW w:type="dxa" w:w="53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Alt + Click on any field label on a record page</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Open Inspector from All Fields</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Alt + Click on any row in the All Fields page</w:t>
            </w:r>
          </w:p>
        </w:tc>
      </w:tr>
      <w:tr>
        <w:tc>
          <w:tcPr>
            <w:tcW w:type="dxa" w:w="40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Close Field Inspector</w:t>
            </w:r>
          </w:p>
        </w:tc>
        <w:tc>
          <w:tcPr>
            <w:tcW w:type="dxa" w:w="53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Escape, or click the X button</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Run SOQL query</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Ctrl + Enter (Cmd + Enter on Mac)</w:t>
            </w:r>
          </w:p>
        </w:tc>
      </w:tr>
      <w:tr>
        <w:tc>
          <w:tcPr>
            <w:tcW w:type="dxa" w:w="40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Undo in SOQL editor</w:t>
            </w:r>
          </w:p>
        </w:tc>
        <w:tc>
          <w:tcPr>
            <w:tcW w:type="dxa" w:w="53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Ctrl + Z (Cmd + Z on Mac)</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Redo in SOQL editor</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Ctrl + Y (Cmd + Y on Mac)</w:t>
            </w:r>
          </w:p>
        </w:tc>
      </w:tr>
      <w:tr>
        <w:tc>
          <w:tcPr>
            <w:tcW w:type="dxa" w:w="400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Arial" w:cs="Arial" w:eastAsia="Arial" w:hAnsi="Arial"/>
                <w:color w:val="1A1A2E"/>
                <w:sz w:val="22"/>
                <w:szCs w:val="22"/>
              </w:rPr>
              <w:t xml:space="preserve">Close Alt-click panel in All Fields</w:t>
            </w:r>
          </w:p>
        </w:tc>
        <w:tc>
          <w:tcPr>
            <w:tcW w:type="dxa" w:w="5360"/>
            <w:tcBorders>
              <w:top w:val="single" w:color="DDDDDD" w:sz="4"/>
              <w:left w:val="single" w:color="DDDDDD" w:sz="4"/>
              <w:bottom w:val="single" w:color="DDDDDD" w:sz="4"/>
              <w:right w:val="single" w:color="DDDDDD" w:sz="4"/>
            </w:tcBorders>
            <w:shd w:fill="F2F4F6" w:val="clear"/>
            <w:tcMar>
              <w:top w:type="dxa" w:w="80"/>
              <w:left w:type="dxa" w:w="120"/>
              <w:bottom w:type="dxa" w:w="80"/>
              <w:right w:type="dxa" w:w="120"/>
            </w:tcMar>
          </w:tcPr>
          <w:p>
            <w:pPr>
              <w:spacing w:after="0" w:before="0"/>
            </w:pPr>
            <w:r>
              <w:rPr>
                <w:rFonts w:ascii="Courier New" w:cs="Courier New" w:eastAsia="Courier New" w:hAnsi="Courier New"/>
                <w:color w:val="0E5A6E"/>
                <w:sz w:val="20"/>
                <w:szCs w:val="20"/>
                <w:shd w:fill="EDF8FA" w:val="clear"/>
              </w:rPr>
              <w:t xml:space="preserve">Escape</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0"/>
    </w:pPr>
    <w:r>
      <w:rPr>
        <w:rFonts w:ascii="Arial" w:cs="Arial" w:eastAsia="Arial" w:hAnsi="Arial"/>
        <w:color w:val="BBBBBB"/>
        <w:sz w:val="18"/>
        <w:szCs w:val="18"/>
      </w:rPr>
      <w:t xml:space="preserve">v3.3.4 by Mashtrix</w:t>
    </w:r>
    <w:r>
      <w:rPr>
        <w:rFonts w:ascii="Arial" w:cs="Arial" w:eastAsia="Arial" w:hAnsi="Arial"/>
        <w:color w:val="3D4550"/>
        <w:sz w:val="18"/>
        <w:szCs w:val="18"/>
      </w:rPr>
      <w:t xml:space="preserve">	Page </w:t>
    </w:r>
    <w:r>
      <w:rPr>
        <w:rFonts w:ascii="Arial" w:cs="Arial" w:eastAsia="Arial" w:hAnsi="Arial"/>
        <w:color w:val="3D45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0" w:before="0"/>
    </w:pPr>
    <w:r>
      <w:rPr>
        <w:rFonts w:ascii="Arial" w:cs="Arial" w:eastAsia="Arial" w:hAnsi="Arial"/>
        <w:color w:val="3D4550"/>
        <w:sz w:val="18"/>
        <w:szCs w:val="18"/>
      </w:rPr>
      <w:t xml:space="preserve">OrgSight for Salesforce</w:t>
    </w:r>
    <w:r>
      <w:rPr>
        <w:rFonts w:ascii="Arial" w:cs="Arial" w:eastAsia="Arial" w:hAnsi="Arial"/>
        <w:color w:val="BBBBBB"/>
        <w:sz w:val="18"/>
        <w:szCs w:val="18"/>
      </w:rPr>
      <w:t xml:space="preserve">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11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D111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4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2026-05-19T20:10:39.695Z</dcterms:created>
  <dcterms:modified xsi:type="dcterms:W3CDTF">2026-05-19T20:10:39.709Z</dcterms:modified>
</cp:coreProperties>
</file>

<file path=docProps/custom.xml><?xml version="1.0" encoding="utf-8"?>
<Properties xmlns="http://schemas.openxmlformats.org/officeDocument/2006/custom-properties" xmlns:vt="http://schemas.openxmlformats.org/officeDocument/2006/docPropsVTypes"/>
</file>