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before="0" w:after="80"/>
        <w:jc w:val="center"/>
      </w:pPr>
      <w:r>
        <w:rPr>
          <w:rFonts w:ascii="Arial" w:cs="Arial" w:eastAsia="Arial" w:hAnsi="Arial"/>
          <w:b w:val="false"/>
          <w:bCs w:val="false"/>
          <w:i w:val="false"/>
          <w:iCs w:val="false"/>
          <w:color w:val="000000"/>
          <w:sz w:val="72"/>
          <w:szCs w:val="72"/>
        </w:rPr>
        <w:t xml:space="preserve">📊</w:t>
      </w:r>
    </w:p>
    <w:p>
      <w:pPr>
        <w:spacing w:before="0" w:after="160"/>
        <w:jc w:val="center"/>
      </w:pPr>
      <w:r>
        <w:rPr>
          <w:rFonts w:ascii="Arial" w:cs="Arial" w:eastAsia="Arial" w:hAnsi="Arial"/>
          <w:b/>
          <w:bCs/>
          <w:i w:val="false"/>
          <w:iCs w:val="false"/>
          <w:color w:val="1B4F8A"/>
          <w:sz w:val="72"/>
          <w:szCs w:val="72"/>
        </w:rPr>
        <w:t xml:space="preserve">EquityLens</w:t>
      </w:r>
    </w:p>
    <w:p>
      <w:pPr>
        <w:spacing w:before="0" w:after="80"/>
        <w:jc w:val="center"/>
      </w:pPr>
      <w:r>
        <w:rPr>
          <w:rFonts w:ascii="Arial" w:cs="Arial" w:eastAsia="Arial" w:hAnsi="Arial"/>
          <w:b w:val="false"/>
          <w:bCs w:val="false"/>
          <w:i w:val="false"/>
          <w:iCs w:val="false"/>
          <w:color w:val="2E75B6"/>
          <w:sz w:val="32"/>
          <w:szCs w:val="32"/>
        </w:rPr>
        <w:t xml:space="preserve">NSE Equity Research &amp; Valuation Platform</w:t>
      </w:r>
    </w:p>
    <w:p>
      <w:pPr>
        <w:spacing w:before="0" w:after="400"/>
        <w:jc w:val="center"/>
      </w:pPr>
      <w:r>
        <w:rPr>
          <w:rFonts w:ascii="Arial" w:cs="Arial" w:eastAsia="Arial" w:hAnsi="Arial"/>
          <w:b w:val="false"/>
          <w:bCs w:val="false"/>
          <w:i/>
          <w:iCs/>
          <w:color w:val="666666"/>
          <w:sz w:val="26"/>
          <w:szCs w:val="26"/>
        </w:rPr>
        <w:t xml:space="preserve">Technical Documentation &amp; Project Report</w:t>
      </w:r>
    </w:p>
    <w:p>
      <w:pPr>
        <w:pBdr>
          <w:bottom w:val="single" w:color="D6E8FF" w:sz="4"/>
        </w:pBdr>
        <w:spacing w:before="160" w:after="160"/>
      </w:pPr>
    </w:p>
    <w:p>
      <w:pPr>
        <w:spacing w:before="200" w:after="80"/>
        <w:jc w:val="center"/>
      </w:pPr>
      <w:r>
        <w:rPr>
          <w:rFonts w:ascii="Arial" w:cs="Arial" w:eastAsia="Arial" w:hAnsi="Arial"/>
          <w:b/>
          <w:bCs/>
          <w:i w:val="false"/>
          <w:iCs w:val="false"/>
          <w:color w:val="000000"/>
          <w:sz w:val="26"/>
          <w:szCs w:val="26"/>
        </w:rPr>
        <w:t xml:space="preserve">Project 1 — Automated Equity Research Tool</w:t>
      </w:r>
    </w:p>
    <w:p>
      <w:pPr>
        <w:spacing w:before="0" w:after="80"/>
        <w:jc w:val="center"/>
      </w:pPr>
      <w:r>
        <w:rPr>
          <w:rFonts w:ascii="Arial" w:cs="Arial" w:eastAsia="Arial" w:hAnsi="Arial"/>
          <w:b w:val="false"/>
          <w:bCs w:val="false"/>
          <w:i w:val="false"/>
          <w:iCs w:val="false"/>
          <w:color w:val="666666"/>
          <w:sz w:val="22"/>
          <w:szCs w:val="22"/>
        </w:rPr>
        <w:t xml:space="preserve">Built with Python • Streamlit • Plotly • ReportLab • OpenPyXL</w:t>
      </w:r>
    </w:p>
    <w:p>
      <w:pPr>
        <w:spacing w:before="0" w:after="0"/>
        <w:jc w:val="center"/>
      </w:pPr>
      <w:r>
        <w:rPr>
          <w:rFonts w:ascii="Arial" w:cs="Arial" w:eastAsia="Arial" w:hAnsi="Arial"/>
          <w:b w:val="false"/>
          <w:bCs w:val="false"/>
          <w:i w:val="false"/>
          <w:iCs w:val="false"/>
          <w:color w:val="666666"/>
          <w:sz w:val="22"/>
          <w:szCs w:val="22"/>
        </w:rPr>
        <w:t xml:space="preserve">March 2026</w:t>
      </w:r>
    </w:p>
    <w:p>
      <w:r>
        <w:br w:type="page"/>
      </w:r>
    </w:p>
    <w:p>
      <w:pPr>
        <w:pStyle w:val="Heading1"/>
        <w:shd w:fill="1B4F8A" w:val="clear"/>
        <w:spacing w:before="320" w:after="160"/>
        <w:ind w:left="200" w:right="200"/>
      </w:pPr>
      <w:r>
        <w:rPr>
          <w:rFonts w:ascii="Arial" w:cs="Arial" w:eastAsia="Arial" w:hAnsi="Arial"/>
          <w:b/>
          <w:bCs/>
          <w:color w:val="FFFFFF"/>
          <w:sz w:val="36"/>
          <w:szCs w:val="36"/>
        </w:rPr>
        <w:t xml:space="preserve">Table of Contents</w:t>
      </w:r>
    </w:p>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B4F8A" w:val="clear"/>
        <w:spacing w:before="320" w:after="160"/>
        <w:ind w:left="200" w:right="200"/>
      </w:pPr>
      <w:r>
        <w:rPr>
          <w:rFonts w:ascii="Arial" w:cs="Arial" w:eastAsia="Arial" w:hAnsi="Arial"/>
          <w:b/>
          <w:bCs/>
          <w:color w:val="FFFFFF"/>
          <w:sz w:val="36"/>
          <w:szCs w:val="36"/>
        </w:rPr>
        <w:t xml:space="preserve">1. Project Overview</w:t>
      </w:r>
    </w:p>
    <w:p>
      <w:pPr>
        <w:pStyle w:val="Heading2"/>
        <w:pBdr>
          <w:bottom w:val="single" w:color="2E75B6" w:sz="6"/>
        </w:pBdr>
        <w:spacing w:before="280" w:after="120"/>
      </w:pPr>
      <w:r>
        <w:rPr>
          <w:rFonts w:ascii="Arial" w:cs="Arial" w:eastAsia="Arial" w:hAnsi="Arial"/>
          <w:b/>
          <w:bCs/>
          <w:color w:val="1B4F8A"/>
          <w:sz w:val="28"/>
          <w:szCs w:val="28"/>
        </w:rPr>
        <w:t xml:space="preserve">1.1 What is EquityLens?</w:t>
      </w:r>
    </w:p>
    <w:p>
      <w:pPr>
        <w:spacing w:before="80" w:after="80"/>
        <w:jc w:val="left"/>
      </w:pPr>
      <w:r>
        <w:rPr>
          <w:rFonts w:ascii="Arial" w:cs="Arial" w:eastAsia="Arial" w:hAnsi="Arial"/>
          <w:b w:val="false"/>
          <w:bCs w:val="false"/>
          <w:i w:val="false"/>
          <w:iCs w:val="false"/>
          <w:color w:val="000000"/>
          <w:sz w:val="22"/>
          <w:szCs w:val="22"/>
        </w:rPr>
        <w:t xml:space="preserve">EquityLens is a fully automated equity research and valuation platform built for NSE-listed Indian companies. A user simply types any NSE ticker symbol — for example RELIANCE, HDFCBANK, or INFY — and the application automatically scrapes 5 years of financial data from Screener.in, calculates over 20 financial ratios, runs red flag analysis, performs a DCF (Discounted Cash Flow) valuation with three scenarios, executes a 10,000-iteration Monte Carlo simulation, and generates both a formatted 2-page PDF research report and a multi-sheet Excel workbook — all in under 60 seconds.</w:t>
      </w:r>
    </w:p>
    <w:p/>
    <w:p>
      <w:pPr>
        <w:pStyle w:val="Heading2"/>
        <w:pBdr>
          <w:bottom w:val="single" w:color="2E75B6" w:sz="6"/>
        </w:pBdr>
        <w:spacing w:before="280" w:after="120"/>
      </w:pPr>
      <w:r>
        <w:rPr>
          <w:rFonts w:ascii="Arial" w:cs="Arial" w:eastAsia="Arial" w:hAnsi="Arial"/>
          <w:b/>
          <w:bCs/>
          <w:color w:val="1B4F8A"/>
          <w:sz w:val="28"/>
          <w:szCs w:val="28"/>
        </w:rPr>
        <w:t xml:space="preserve">1.2 Project Goals</w:t>
      </w:r>
    </w:p>
    <w:p>
      <w:pPr>
        <w:spacing w:before="80" w:after="80"/>
        <w:jc w:val="left"/>
      </w:pPr>
      <w:r>
        <w:rPr>
          <w:rFonts w:ascii="Arial" w:cs="Arial" w:eastAsia="Arial" w:hAnsi="Arial"/>
          <w:b w:val="false"/>
          <w:bCs w:val="false"/>
          <w:i w:val="false"/>
          <w:iCs w:val="false"/>
          <w:color w:val="000000"/>
          <w:sz w:val="22"/>
          <w:szCs w:val="22"/>
        </w:rPr>
        <w:t xml:space="preserve">The core objectives of this project are:</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Eliminate manual financial research by automating all data collection and computation</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Replicate institutional-grade equity research workflows accessible to any individual investor</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Provide a professional web interface comparable to platforms like Screener.in or Moneycontrol</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Generate downloadable PDF and Excel reports with a single click</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Apply quantitative valuation models (DCF, Monte Carlo, Sensitivity) to any NSE company</w:t>
      </w:r>
    </w:p>
    <w:p/>
    <w:p>
      <w:pPr>
        <w:pStyle w:val="Heading2"/>
        <w:pBdr>
          <w:bottom w:val="single" w:color="2E75B6" w:sz="6"/>
        </w:pBdr>
        <w:spacing w:before="280" w:after="120"/>
      </w:pPr>
      <w:r>
        <w:rPr>
          <w:rFonts w:ascii="Arial" w:cs="Arial" w:eastAsia="Arial" w:hAnsi="Arial"/>
          <w:b/>
          <w:bCs/>
          <w:color w:val="1B4F8A"/>
          <w:sz w:val="28"/>
          <w:szCs w:val="28"/>
        </w:rPr>
        <w:t xml:space="preserve">1.3 Application Architecture</w:t>
      </w:r>
    </w:p>
    <w:p>
      <w:pPr>
        <w:spacing w:before="80" w:after="80"/>
        <w:jc w:val="left"/>
      </w:pPr>
      <w:r>
        <w:rPr>
          <w:rFonts w:ascii="Arial" w:cs="Arial" w:eastAsia="Arial" w:hAnsi="Arial"/>
          <w:b w:val="false"/>
          <w:bCs w:val="false"/>
          <w:i w:val="false"/>
          <w:iCs w:val="false"/>
          <w:color w:val="000000"/>
          <w:sz w:val="22"/>
          <w:szCs w:val="22"/>
        </w:rPr>
        <w:t xml:space="preserve">The application is split into 9 files, each with a clearly defined responsibility: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 Layer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Streamlit web interface — all 8 tabs, sidebar, charts, downloads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scraper.py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Layer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Fetches live financial data from Screener.in via HTTP</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ratios.py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Computation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Calculates 20+ financial ratios + DuPont + CAGR</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red_flags.py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Analysis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automated red flag checks with severity ratings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dcf.py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Valuation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DCF model, WACC, Monte Carlo, sensitivity analysis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charts.py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Visualization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interactive Plotly charts for the web UI</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report_pdf.py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2-page PDF report with embedded Matplotlib charts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excel_export.py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8-sheet formatted Excel workbook with all data</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requirements.txt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Python library dependencies</w:t>
            </w:r>
          </w:p>
        </w:tc>
      </w:tr>
    </w:tbl>
    <w:p>
      <w:r>
        <w:br w:type="page"/>
      </w:r>
    </w:p>
    <w:p>
      <w:pPr>
        <w:pStyle w:val="Heading1"/>
        <w:shd w:fill="1B4F8A" w:val="clear"/>
        <w:spacing w:before="320" w:after="160"/>
        <w:ind w:left="200" w:right="200"/>
      </w:pPr>
      <w:r>
        <w:rPr>
          <w:rFonts w:ascii="Arial" w:cs="Arial" w:eastAsia="Arial" w:hAnsi="Arial"/>
          <w:b/>
          <w:bCs/>
          <w:color w:val="FFFFFF"/>
          <w:sz w:val="36"/>
          <w:szCs w:val="36"/>
        </w:rPr>
        <w:t xml:space="preserve">2. Tools &amp; Libraries Used</w:t>
      </w:r>
    </w:p>
    <w:p>
      <w:pPr>
        <w:pStyle w:val="Heading2"/>
        <w:pBdr>
          <w:bottom w:val="single" w:color="2E75B6" w:sz="6"/>
        </w:pBdr>
        <w:spacing w:before="280" w:after="120"/>
      </w:pPr>
      <w:r>
        <w:rPr>
          <w:rFonts w:ascii="Arial" w:cs="Arial" w:eastAsia="Arial" w:hAnsi="Arial"/>
          <w:b/>
          <w:bCs/>
          <w:color w:val="1B4F8A"/>
          <w:sz w:val="28"/>
          <w:szCs w:val="28"/>
        </w:rPr>
        <w:t xml:space="preserve">2.1 Core Framework — Streamlit</w:t>
      </w:r>
    </w:p>
    <w:p>
      <w:pPr>
        <w:spacing w:before="80" w:after="80"/>
        <w:jc w:val="left"/>
      </w:pPr>
      <w:r>
        <w:rPr>
          <w:rFonts w:ascii="Arial" w:cs="Arial" w:eastAsia="Arial" w:hAnsi="Arial"/>
          <w:b/>
          <w:bCs/>
          <w:i w:val="false"/>
          <w:iCs w:val="false"/>
          <w:color w:val="000000"/>
          <w:sz w:val="22"/>
          <w:szCs w:val="22"/>
        </w:rPr>
        <w:t xml:space="preserve">Library: </w:t>
      </w:r>
      <w:r>
        <w:rPr>
          <w:rFonts w:ascii="Arial" w:cs="Arial" w:eastAsia="Arial" w:hAnsi="Arial"/>
          <w:b w:val="false"/>
          <w:bCs w:val="false"/>
          <w:i w:val="false"/>
          <w:iCs w:val="false"/>
          <w:color w:val="000000"/>
          <w:sz w:val="22"/>
          <w:szCs w:val="22"/>
        </w:rPr>
        <w:t xml:space="preserve">streamlit &gt;= 1.32.0</w:t>
      </w:r>
    </w:p>
    <w:p>
      <w:pPr>
        <w:spacing w:before="80" w:after="80"/>
        <w:jc w:val="left"/>
      </w:pPr>
      <w:r>
        <w:rPr>
          <w:rFonts w:ascii="Arial" w:cs="Arial" w:eastAsia="Arial" w:hAnsi="Arial"/>
          <w:b w:val="false"/>
          <w:bCs w:val="false"/>
          <w:i w:val="false"/>
          <w:iCs w:val="false"/>
          <w:color w:val="000000"/>
          <w:sz w:val="22"/>
          <w:szCs w:val="22"/>
        </w:rPr>
        <w:t xml:space="preserve">Why it was chosen: </w:t>
      </w:r>
      <w:r>
        <w:rPr>
          <w:rFonts w:ascii="Arial" w:cs="Arial" w:eastAsia="Arial" w:hAnsi="Arial"/>
          <w:b w:val="false"/>
          <w:bCs w:val="false"/>
          <w:i w:val="false"/>
          <w:iCs w:val="false"/>
          <w:color w:val="000000"/>
          <w:sz w:val="22"/>
          <w:szCs w:val="22"/>
        </w:rPr>
        <w:t xml:space="preserve">Streamlit is a Python-native web framework specifically designed for data science applications. Unlike Flask or Django, which require separate HTML/CSS/JS files, Streamlit lets you build a complete interactive web application entirely in Python. This makes it the ideal choice for a financial tool where the core logic is Python-based.</w:t>
      </w:r>
    </w:p>
    <w:p/>
    <w:p>
      <w:pPr>
        <w:spacing w:before="80" w:after="80"/>
        <w:jc w:val="left"/>
      </w:pPr>
      <w:r>
        <w:rPr>
          <w:rFonts w:ascii="Arial" w:cs="Arial" w:eastAsia="Arial" w:hAnsi="Arial"/>
          <w:b w:val="false"/>
          <w:bCs w:val="false"/>
          <w:i w:val="false"/>
          <w:iCs w:val="false"/>
          <w:color w:val="000000"/>
          <w:sz w:val="22"/>
          <w:szCs w:val="22"/>
        </w:rPr>
        <w:t xml:space="preserve">What it does in this project:</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Renders the entire web UI — sidebar, tabs, charts, tables, metrics, download buttons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Provides the st.tabs() component that powers the 8-tab navigation (Financials, Ratios, Cash Flow, Red Flags, DuPont, Peers, DCF, Monte Carlo)</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st.download_button() enables users to download the PDF report and Excel file directly from the browser</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st.sidebar creates the left panel with ticker input, toggles, and DCF assumption sliders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st.metric() renders the KPI cards (Mkt Cap, P/E, ROE, etc.) with big bold numbers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st.plotly_chart() embeds all interactive Plotly visualizations inline in the page</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st.dataframe() renders interactive sortable/filterable data tables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st.progress() drives the real-time progress bar during data fetching</w:t>
      </w:r>
    </w:p>
    <w:p/>
    <w:p>
      <w:pPr>
        <w:pStyle w:val="Heading2"/>
        <w:pBdr>
          <w:bottom w:val="single" w:color="2E75B6" w:sz="6"/>
        </w:pBdr>
        <w:spacing w:before="280" w:after="120"/>
      </w:pPr>
      <w:r>
        <w:rPr>
          <w:rFonts w:ascii="Arial" w:cs="Arial" w:eastAsia="Arial" w:hAnsi="Arial"/>
          <w:b/>
          <w:bCs/>
          <w:color w:val="1B4F8A"/>
          <w:sz w:val="28"/>
          <w:szCs w:val="28"/>
        </w:rPr>
        <w:t xml:space="preserve">2.2 Web Scraping — Requests + BeautifulSoup</w:t>
      </w:r>
    </w:p>
    <w:p>
      <w:pPr>
        <w:spacing w:before="80" w:after="80"/>
        <w:jc w:val="left"/>
      </w:pPr>
      <w:r>
        <w:rPr>
          <w:rFonts w:ascii="Arial" w:cs="Arial" w:eastAsia="Arial" w:hAnsi="Arial"/>
          <w:b/>
          <w:bCs/>
          <w:i w:val="false"/>
          <w:iCs w:val="false"/>
          <w:color w:val="000000"/>
          <w:sz w:val="22"/>
          <w:szCs w:val="22"/>
        </w:rPr>
        <w:t xml:space="preserve">Libraries: </w:t>
      </w:r>
      <w:r>
        <w:rPr>
          <w:rFonts w:ascii="Arial" w:cs="Arial" w:eastAsia="Arial" w:hAnsi="Arial"/>
          <w:b w:val="false"/>
          <w:bCs w:val="false"/>
          <w:i w:val="false"/>
          <w:iCs w:val="false"/>
          <w:color w:val="000000"/>
          <w:sz w:val="22"/>
          <w:szCs w:val="22"/>
        </w:rPr>
        <w:t xml:space="preserve">requests &gt;= 2.31.0, beautifulsoup4 &gt;= 4.12.0, lxml &gt;= 4.9.0</w:t>
      </w:r>
    </w:p>
    <w:p>
      <w:pPr>
        <w:spacing w:before="80" w:after="80"/>
        <w:jc w:val="left"/>
      </w:pPr>
      <w:r>
        <w:rPr>
          <w:rFonts w:ascii="Arial" w:cs="Arial" w:eastAsia="Arial" w:hAnsi="Arial"/>
          <w:b w:val="false"/>
          <w:bCs w:val="false"/>
          <w:i w:val="false"/>
          <w:iCs w:val="false"/>
          <w:color w:val="000000"/>
          <w:sz w:val="22"/>
          <w:szCs w:val="22"/>
        </w:rPr>
        <w:t xml:space="preserve">Why they were chosen: </w:t>
      </w:r>
      <w:r>
        <w:rPr>
          <w:rFonts w:ascii="Arial" w:cs="Arial" w:eastAsia="Arial" w:hAnsi="Arial"/>
          <w:b w:val="false"/>
          <w:bCs w:val="false"/>
          <w:i w:val="false"/>
          <w:iCs w:val="false"/>
          <w:color w:val="000000"/>
          <w:sz w:val="22"/>
          <w:szCs w:val="22"/>
        </w:rPr>
        <w:t xml:space="preserve">Screener.in serves financial data as server-rendered HTML pages — there is no public API. To extract this data programmatically, we use HTTP requests to fetch the raw HTML, then BeautifulSoup to parse and extract the structured tables. The lxml parser is used as the HTML parsing backend because it is faster and more lenient than Python's built-in html.parser.</w:t>
      </w:r>
    </w:p>
    <w:p/>
    <w:p>
      <w:pPr>
        <w:spacing w:before="80" w:after="80"/>
        <w:jc w:val="left"/>
      </w:pPr>
      <w:r>
        <w:rPr>
          <w:rFonts w:ascii="Arial" w:cs="Arial" w:eastAsia="Arial" w:hAnsi="Arial"/>
          <w:b w:val="false"/>
          <w:bCs w:val="false"/>
          <w:i w:val="false"/>
          <w:iCs w:val="false"/>
          <w:color w:val="000000"/>
          <w:sz w:val="22"/>
          <w:szCs w:val="22"/>
        </w:rPr>
        <w:t xml:space="preserve">What they do in scraper.py:</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requests.Session sends an HTTP GET request to https://www.screener.in/company/{TICKER}/consolidated/ with browser-like headers to avoid bot detection</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BeautifulSoup parses the returned HTML into a navigable tree structure</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The parse_screener_table() function finds HTML &lt;section&gt; tags by their id (profit-loss, balance-sheet, cash-flow), locates the &lt;table&gt; inside, extracts column headers from &lt;thead&gt;, and reads all data rows from &lt;tbody&gt; into a pandas DataFrame</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Top ratios (current price, market cap, P/E, book value, dividend yield, ROCE, ROE) are extracted from the &lt;ul id='top-ratios'&gt; element by matching span text</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Peer company tickers are extracted from anchor tags inside the &lt;section id='peers'&gt; block using regex to parse /company/TICKER/ URL patterns</w:t>
      </w:r>
    </w:p>
    <w:p/>
    <w:p>
      <w:pPr>
        <w:pStyle w:val="Heading2"/>
        <w:pBdr>
          <w:bottom w:val="single" w:color="2E75B6" w:sz="6"/>
        </w:pBdr>
        <w:spacing w:before="280" w:after="120"/>
      </w:pPr>
      <w:r>
        <w:rPr>
          <w:rFonts w:ascii="Arial" w:cs="Arial" w:eastAsia="Arial" w:hAnsi="Arial"/>
          <w:b/>
          <w:bCs/>
          <w:color w:val="1B4F8A"/>
          <w:sz w:val="28"/>
          <w:szCs w:val="28"/>
        </w:rPr>
        <w:t xml:space="preserve">2.3 Data Processing — Pandas &amp; NumPy</w:t>
      </w:r>
    </w:p>
    <w:p>
      <w:pPr>
        <w:spacing w:before="80" w:after="80"/>
        <w:jc w:val="left"/>
      </w:pPr>
      <w:r>
        <w:rPr>
          <w:rFonts w:ascii="Arial" w:cs="Arial" w:eastAsia="Arial" w:hAnsi="Arial"/>
          <w:b/>
          <w:bCs/>
          <w:i w:val="false"/>
          <w:iCs w:val="false"/>
          <w:color w:val="000000"/>
          <w:sz w:val="22"/>
          <w:szCs w:val="22"/>
        </w:rPr>
        <w:t xml:space="preserve">Libraries: </w:t>
      </w:r>
      <w:r>
        <w:rPr>
          <w:rFonts w:ascii="Arial" w:cs="Arial" w:eastAsia="Arial" w:hAnsi="Arial"/>
          <w:b w:val="false"/>
          <w:bCs w:val="false"/>
          <w:i w:val="false"/>
          <w:iCs w:val="false"/>
          <w:color w:val="000000"/>
          <w:sz w:val="22"/>
          <w:szCs w:val="22"/>
        </w:rPr>
        <w:t xml:space="preserve">pandas &gt;= 2.0.0, numpy &gt;= 1.24.0</w:t>
      </w:r>
    </w:p>
    <w:p>
      <w:pPr>
        <w:spacing w:before="80" w:after="80"/>
        <w:jc w:val="left"/>
      </w:pPr>
      <w:r>
        <w:rPr>
          <w:rFonts w:ascii="Arial" w:cs="Arial" w:eastAsia="Arial" w:hAnsi="Arial"/>
          <w:b w:val="false"/>
          <w:bCs w:val="false"/>
          <w:i w:val="false"/>
          <w:iCs w:val="false"/>
          <w:color w:val="000000"/>
          <w:sz w:val="22"/>
          <w:szCs w:val="22"/>
        </w:rPr>
        <w:t xml:space="preserve">Why they were chosen: </w:t>
      </w:r>
      <w:r>
        <w:rPr>
          <w:rFonts w:ascii="Arial" w:cs="Arial" w:eastAsia="Arial" w:hAnsi="Arial"/>
          <w:b w:val="false"/>
          <w:bCs w:val="false"/>
          <w:i w:val="false"/>
          <w:iCs w:val="false"/>
          <w:color w:val="000000"/>
          <w:sz w:val="22"/>
          <w:szCs w:val="22"/>
        </w:rPr>
        <w:t xml:space="preserve">Pandas is the industry standard for tabular financial data in Python. It provides DataFrame structures that perfectly represent the rows-and-columns format of financial statements. NumPy provides the vectorized mathematical operations needed for ratio calculations, safe division, and NaN handling across time series.</w:t>
      </w:r>
    </w:p>
    <w:p/>
    <w:p>
      <w:pPr>
        <w:spacing w:before="80" w:after="80"/>
        <w:jc w:val="left"/>
      </w:pPr>
      <w:r>
        <w:rPr>
          <w:rFonts w:ascii="Arial" w:cs="Arial" w:eastAsia="Arial" w:hAnsi="Arial"/>
          <w:b w:val="false"/>
          <w:bCs w:val="false"/>
          <w:i w:val="false"/>
          <w:iCs w:val="false"/>
          <w:color w:val="000000"/>
          <w:sz w:val="22"/>
          <w:szCs w:val="22"/>
        </w:rPr>
        <w:t xml:space="preserve">What they do in ratios.py:</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extract_series() uses DataFrame.str.contains() with regex patterns to find a specific row in a financial table (e.g. 'Sales +' row in the P&amp;L) and returns its values as a Python list of floats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np.array() converts the lists to NumPy arrays for vectorized operations — e.g. calculating net margin as (PAT / Revenue * 100) across all 5 years in a single line</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np.errstate(divide='ignore', invalid='ignore') suppresses divide-by-zero warnings when computing ratios where the denominator might be zero</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np.where() handles conditional logic — e.g. using networth if available, otherwise summing equity_capital + reserves to get total equity</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np.isnan() checks are used throughout to prevent NaN values from propagating through ratio chains and breaking downstream calculations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pd.DataFrame() builds the comparison tables shown in each UI tab from the calculated ratio dictionaries</w:t>
      </w:r>
    </w:p>
    <w:p/>
    <w:p>
      <w:pPr>
        <w:pStyle w:val="Heading2"/>
        <w:pBdr>
          <w:bottom w:val="single" w:color="2E75B6" w:sz="6"/>
        </w:pBdr>
        <w:spacing w:before="280" w:after="120"/>
      </w:pPr>
      <w:r>
        <w:rPr>
          <w:rFonts w:ascii="Arial" w:cs="Arial" w:eastAsia="Arial" w:hAnsi="Arial"/>
          <w:b/>
          <w:bCs/>
          <w:color w:val="1B4F8A"/>
          <w:sz w:val="28"/>
          <w:szCs w:val="28"/>
        </w:rPr>
        <w:t xml:space="preserve">2.4 Interactive Charts — Plotly</w:t>
      </w:r>
    </w:p>
    <w:p>
      <w:pPr>
        <w:spacing w:before="80" w:after="80"/>
        <w:jc w:val="left"/>
      </w:pPr>
      <w:r>
        <w:rPr>
          <w:rFonts w:ascii="Arial" w:cs="Arial" w:eastAsia="Arial" w:hAnsi="Arial"/>
          <w:b/>
          <w:bCs/>
          <w:i w:val="false"/>
          <w:iCs w:val="false"/>
          <w:color w:val="000000"/>
          <w:sz w:val="22"/>
          <w:szCs w:val="22"/>
        </w:rPr>
        <w:t xml:space="preserve">Library: </w:t>
      </w:r>
      <w:r>
        <w:rPr>
          <w:rFonts w:ascii="Arial" w:cs="Arial" w:eastAsia="Arial" w:hAnsi="Arial"/>
          <w:b w:val="false"/>
          <w:bCs w:val="false"/>
          <w:i w:val="false"/>
          <w:iCs w:val="false"/>
          <w:color w:val="000000"/>
          <w:sz w:val="22"/>
          <w:szCs w:val="22"/>
        </w:rPr>
        <w:t xml:space="preserve">plotly &gt;= 5.18.0</w:t>
      </w:r>
    </w:p>
    <w:p>
      <w:pPr>
        <w:spacing w:before="80" w:after="80"/>
        <w:jc w:val="left"/>
      </w:pPr>
      <w:r>
        <w:rPr>
          <w:rFonts w:ascii="Arial" w:cs="Arial" w:eastAsia="Arial" w:hAnsi="Arial"/>
          <w:b w:val="false"/>
          <w:bCs w:val="false"/>
          <w:i w:val="false"/>
          <w:iCs w:val="false"/>
          <w:color w:val="000000"/>
          <w:sz w:val="22"/>
          <w:szCs w:val="22"/>
        </w:rPr>
        <w:t xml:space="preserve">Why it was chosen: </w:t>
      </w:r>
      <w:r>
        <w:rPr>
          <w:rFonts w:ascii="Arial" w:cs="Arial" w:eastAsia="Arial" w:hAnsi="Arial"/>
          <w:b w:val="false"/>
          <w:bCs w:val="false"/>
          <w:i w:val="false"/>
          <w:iCs w:val="false"/>
          <w:color w:val="000000"/>
          <w:sz w:val="22"/>
          <w:szCs w:val="22"/>
        </w:rPr>
        <w:t xml:space="preserve">Plotly produces fully interactive web charts — users can hover for tooltips, zoom, pan, select ranges, and expand to fullscreen. Unlike Matplotlib which produces static images, Plotly charts are rendered as interactive JavaScript visualizations inside the Streamlit app. This is essential for financial data where users want to inspect individual data points.</w:t>
      </w:r>
    </w:p>
    <w:p/>
    <w:p>
      <w:pPr>
        <w:spacing w:before="80" w:after="80"/>
        <w:jc w:val="left"/>
      </w:pPr>
      <w:r>
        <w:rPr>
          <w:rFonts w:ascii="Arial" w:cs="Arial" w:eastAsia="Arial" w:hAnsi="Arial"/>
          <w:b w:val="false"/>
          <w:bCs w:val="false"/>
          <w:i w:val="false"/>
          <w:iCs w:val="false"/>
          <w:color w:val="000000"/>
          <w:sz w:val="22"/>
          <w:szCs w:val="22"/>
        </w:rPr>
        <w:t xml:space="preserve">What it does in charts.py — 10 chart functions: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chart_financial_trend() — Grouped bar chart (Revenue, EBITDA, PAT) using go.Bar with barmode='group'. Shows 5-year financial performance at a glance</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chart_cashflow_trend() — Mixed chart with CFO/CFI/CFF as grouped bars and FCF as a line overlay using go.Scatter. Uses make_subplots for the dual rendering</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chart_margins() — Multi-line chart showing Operating Margin %, Net Margin %, ROE %, and ROCE % trends. Uses go.Scatter with mode='lines+markers'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chart_dupont() — Dual-axis chart with bars for DuPont components and a red line for ROE. Uses make_subplots(specs=[[{'secondary_y': True}]]) for the second Y-axis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chart_balance_sheet() — Stacked bar chart (Equity vs Debt) using barmode='stack' to show capital structure evolution</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chart_dcf_waterfall() — Waterfall chart using go.Waterfall to show the DCF bridge from individual year PV FCFs to enterprise value</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chart_scenario_comparison() — Bar chart comparing Bear/Base/Bull intrinsic values with a horizontal dashed line for CMP using fig.add_hline()</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chart_monte_carlo() — Histogram using go.Histogram with vertical lines for CMP, mean, P10, and P90 using fig.add_vline()</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chart_tornado() — Horizontal bar chart using go.Bar with orientation='h' showing sensitivity of intrinsic value to each DCF input assumption</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chart_peer_radar() — Radar/spider chart using go.Scatterpolar to visually compare the target company against peers on 4 key metrics</w:t>
      </w:r>
    </w:p>
    <w:p/>
    <w:p>
      <w:pPr>
        <w:pStyle w:val="Heading2"/>
        <w:pBdr>
          <w:bottom w:val="single" w:color="2E75B6" w:sz="6"/>
        </w:pBdr>
        <w:spacing w:before="280" w:after="120"/>
      </w:pPr>
      <w:r>
        <w:rPr>
          <w:rFonts w:ascii="Arial" w:cs="Arial" w:eastAsia="Arial" w:hAnsi="Arial"/>
          <w:b/>
          <w:bCs/>
          <w:color w:val="1B4F8A"/>
          <w:sz w:val="28"/>
          <w:szCs w:val="28"/>
        </w:rPr>
        <w:t xml:space="preserve">2.5 PDF Report Generation — ReportLab + Matplotlib</w:t>
      </w:r>
    </w:p>
    <w:p>
      <w:pPr>
        <w:spacing w:before="80" w:after="80"/>
        <w:jc w:val="left"/>
      </w:pPr>
      <w:r>
        <w:rPr>
          <w:rFonts w:ascii="Arial" w:cs="Arial" w:eastAsia="Arial" w:hAnsi="Arial"/>
          <w:b/>
          <w:bCs/>
          <w:i w:val="false"/>
          <w:iCs w:val="false"/>
          <w:color w:val="000000"/>
          <w:sz w:val="22"/>
          <w:szCs w:val="22"/>
        </w:rPr>
        <w:t xml:space="preserve">Libraries: </w:t>
      </w:r>
      <w:r>
        <w:rPr>
          <w:rFonts w:ascii="Arial" w:cs="Arial" w:eastAsia="Arial" w:hAnsi="Arial"/>
          <w:b w:val="false"/>
          <w:bCs w:val="false"/>
          <w:i w:val="false"/>
          <w:iCs w:val="false"/>
          <w:color w:val="000000"/>
          <w:sz w:val="22"/>
          <w:szCs w:val="22"/>
        </w:rPr>
        <w:t xml:space="preserve">reportlab &gt;= 4.0.0, matplotlib &gt;= 3.7.0</w:t>
      </w:r>
    </w:p>
    <w:p>
      <w:pPr>
        <w:spacing w:before="80" w:after="80"/>
        <w:jc w:val="left"/>
      </w:pPr>
      <w:r>
        <w:rPr>
          <w:rFonts w:ascii="Arial" w:cs="Arial" w:eastAsia="Arial" w:hAnsi="Arial"/>
          <w:b w:val="false"/>
          <w:bCs w:val="false"/>
          <w:i w:val="false"/>
          <w:iCs w:val="false"/>
          <w:color w:val="000000"/>
          <w:sz w:val="22"/>
          <w:szCs w:val="22"/>
        </w:rPr>
        <w:t xml:space="preserve">Why ReportLab: </w:t>
      </w:r>
      <w:r>
        <w:rPr>
          <w:rFonts w:ascii="Arial" w:cs="Arial" w:eastAsia="Arial" w:hAnsi="Arial"/>
          <w:b w:val="false"/>
          <w:bCs w:val="false"/>
          <w:i w:val="false"/>
          <w:iCs w:val="false"/>
          <w:color w:val="000000"/>
          <w:sz w:val="22"/>
          <w:szCs w:val="22"/>
        </w:rPr>
        <w:t xml:space="preserve">ReportLab is the most powerful Python library for programmatic PDF creation. It provides a 'platypus' (Page Layout and Typography Using Scripts) framework with reusable flowable elements like Paragraph, Table, Image, and Spacer that automatically handle page layout, text wrapping, and pagination.</w:t>
      </w:r>
    </w:p>
    <w:p>
      <w:pPr>
        <w:spacing w:before="80" w:after="80"/>
        <w:jc w:val="left"/>
      </w:pPr>
      <w:r>
        <w:rPr>
          <w:rFonts w:ascii="Arial" w:cs="Arial" w:eastAsia="Arial" w:hAnsi="Arial"/>
          <w:b w:val="false"/>
          <w:bCs w:val="false"/>
          <w:i w:val="false"/>
          <w:iCs w:val="false"/>
          <w:color w:val="000000"/>
          <w:sz w:val="22"/>
          <w:szCs w:val="22"/>
        </w:rPr>
        <w:t xml:space="preserve">Why Matplotlib: </w:t>
      </w:r>
      <w:r>
        <w:rPr>
          <w:rFonts w:ascii="Arial" w:cs="Arial" w:eastAsia="Arial" w:hAnsi="Arial"/>
          <w:b w:val="false"/>
          <w:bCs w:val="false"/>
          <w:i w:val="false"/>
          <w:iCs w:val="false"/>
          <w:color w:val="000000"/>
          <w:sz w:val="22"/>
          <w:szCs w:val="22"/>
        </w:rPr>
        <w:t xml:space="preserve">Matplotlib renders charts as PNG images embedded into the PDF. Plotly charts are browser-based and cannot be embedded in PDFs, so Matplotlib is used to recreate the trend and DuPont charts in a print-ready format.</w:t>
      </w:r>
    </w:p>
    <w:p/>
    <w:p>
      <w:pPr>
        <w:spacing w:before="80" w:after="80"/>
        <w:jc w:val="left"/>
      </w:pPr>
      <w:r>
        <w:rPr>
          <w:rFonts w:ascii="Arial" w:cs="Arial" w:eastAsia="Arial" w:hAnsi="Arial"/>
          <w:b w:val="false"/>
          <w:bCs w:val="false"/>
          <w:i w:val="false"/>
          <w:iCs w:val="false"/>
          <w:color w:val="000000"/>
          <w:sz w:val="22"/>
          <w:szCs w:val="22"/>
        </w:rPr>
        <w:t xml:space="preserve">What they do in report_pdf.py:</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SimpleDocTemplate creates the PDF with A4 page size, margins, and two-page layout</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Table with TableStyle is used for all financial summary tables — header rows get DARK_BLUE background, alternating row shading, and grid lines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Paragraph with ParagraphStyle handles all text blocks — title banner, section headers, ratio snapshot, red flags, and disclaimer</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_make_trend_chart() uses matplotlib.pyplot to create a grouped bar chart (Revenue, PAT, FCF), saves it to a BytesIO buffer as PNG, then wraps it in a ReportLab Image flowable</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_make_dupont_chart() similarly creates the DuPont visualization with a twin Y-axis and embeds it on page 2</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PageBreak() separates page 1 (financials + red flags + trend chart) from page 2 (DuPont + DCF summary + peer comparison + disclaimer)</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The function returns bytes (not a file path) so Streamlit's st.download_button() can serve it directly without writing to disk</w:t>
      </w:r>
    </w:p>
    <w:p/>
    <w:p>
      <w:pPr>
        <w:pStyle w:val="Heading2"/>
        <w:pBdr>
          <w:bottom w:val="single" w:color="2E75B6" w:sz="6"/>
        </w:pBdr>
        <w:spacing w:before="280" w:after="120"/>
      </w:pPr>
      <w:r>
        <w:rPr>
          <w:rFonts w:ascii="Arial" w:cs="Arial" w:eastAsia="Arial" w:hAnsi="Arial"/>
          <w:b/>
          <w:bCs/>
          <w:color w:val="1B4F8A"/>
          <w:sz w:val="28"/>
          <w:szCs w:val="28"/>
        </w:rPr>
        <w:t xml:space="preserve">2.6 Excel Export — OpenPyXL</w:t>
      </w:r>
    </w:p>
    <w:p>
      <w:pPr>
        <w:spacing w:before="80" w:after="80"/>
        <w:jc w:val="left"/>
      </w:pPr>
      <w:r>
        <w:rPr>
          <w:rFonts w:ascii="Arial" w:cs="Arial" w:eastAsia="Arial" w:hAnsi="Arial"/>
          <w:b/>
          <w:bCs/>
          <w:i w:val="false"/>
          <w:iCs w:val="false"/>
          <w:color w:val="000000"/>
          <w:sz w:val="22"/>
          <w:szCs w:val="22"/>
        </w:rPr>
        <w:t xml:space="preserve">Library: </w:t>
      </w:r>
      <w:r>
        <w:rPr>
          <w:rFonts w:ascii="Arial" w:cs="Arial" w:eastAsia="Arial" w:hAnsi="Arial"/>
          <w:b w:val="false"/>
          <w:bCs w:val="false"/>
          <w:i w:val="false"/>
          <w:iCs w:val="false"/>
          <w:color w:val="000000"/>
          <w:sz w:val="22"/>
          <w:szCs w:val="22"/>
        </w:rPr>
        <w:t xml:space="preserve">openpyxl &gt;= 3.1.0</w:t>
      </w:r>
    </w:p>
    <w:p>
      <w:pPr>
        <w:spacing w:before="80" w:after="80"/>
        <w:jc w:val="left"/>
      </w:pPr>
      <w:r>
        <w:rPr>
          <w:rFonts w:ascii="Arial" w:cs="Arial" w:eastAsia="Arial" w:hAnsi="Arial"/>
          <w:b w:val="false"/>
          <w:bCs w:val="false"/>
          <w:i w:val="false"/>
          <w:iCs w:val="false"/>
          <w:color w:val="000000"/>
          <w:sz w:val="22"/>
          <w:szCs w:val="22"/>
        </w:rPr>
        <w:t xml:space="preserve">Why it was chosen: </w:t>
      </w:r>
      <w:r>
        <w:rPr>
          <w:rFonts w:ascii="Arial" w:cs="Arial" w:eastAsia="Arial" w:hAnsi="Arial"/>
          <w:b w:val="false"/>
          <w:bCs w:val="false"/>
          <w:i w:val="false"/>
          <w:iCs w:val="false"/>
          <w:color w:val="000000"/>
          <w:sz w:val="22"/>
          <w:szCs w:val="22"/>
        </w:rPr>
        <w:t xml:space="preserve">OpenPyXL is the standard Python library for creating and editing Excel (.xlsx) files. It provides full control over cell formatting, styles, fonts, colors, borders, and merged cells — enabling professional-grade Excel output that looks like it was manually designed.</w:t>
      </w:r>
    </w:p>
    <w:p/>
    <w:p>
      <w:pPr>
        <w:spacing w:before="80" w:after="80"/>
        <w:jc w:val="left"/>
      </w:pPr>
      <w:r>
        <w:rPr>
          <w:rFonts w:ascii="Arial" w:cs="Arial" w:eastAsia="Arial" w:hAnsi="Arial"/>
          <w:b w:val="false"/>
          <w:bCs w:val="false"/>
          <w:i w:val="false"/>
          <w:iCs w:val="false"/>
          <w:color w:val="000000"/>
          <w:sz w:val="22"/>
          <w:szCs w:val="22"/>
        </w:rPr>
        <w:t xml:space="preserve">What it does in excel_export.py — 8 sheets: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Summary sheet — Company overview, valuation metrics, growth rates, latest ratios, and DCF signal in a two-column key-value layout with section headers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P&amp;L Statement — Raw scraped profit &amp; loss data with header row formatting</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Balance Sheet — Raw scraped balance sheet data</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Cash Flow — Raw scraped cash flow statement</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All Ratios — 35-row table covering all calculated ratios across 5 years, with section dividers styled in MID_BLUE for grouping (Profitability, Liquidity, Solvency, Efficiency, DuPont)</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Red Flags — 10 rows showing each flag check, whether it triggered, severity, and detailed description with color coding (red for triggered, green for passed)</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Peer Comparison — The peer comparison DataFrame written with alternating row shading</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DCF Valuation — Three scenario (Bear/Base/Bull) FCFF projection tables plus summary metrics</w:t>
      </w:r>
    </w:p>
    <w:p/>
    <w:p>
      <w:pPr>
        <w:pStyle w:val="Heading2"/>
        <w:pBdr>
          <w:bottom w:val="single" w:color="2E75B6" w:sz="6"/>
        </w:pBdr>
        <w:spacing w:before="280" w:after="120"/>
      </w:pPr>
      <w:r>
        <w:rPr>
          <w:rFonts w:ascii="Arial" w:cs="Arial" w:eastAsia="Arial" w:hAnsi="Arial"/>
          <w:b/>
          <w:bCs/>
          <w:color w:val="1B4F8A"/>
          <w:sz w:val="28"/>
          <w:szCs w:val="28"/>
        </w:rPr>
        <w:t xml:space="preserve">2.7 DCF &amp; Quantitative Valuation — SciPy + NumPy</w:t>
      </w:r>
    </w:p>
    <w:p>
      <w:pPr>
        <w:spacing w:before="80" w:after="80"/>
        <w:jc w:val="left"/>
      </w:pPr>
      <w:r>
        <w:rPr>
          <w:rFonts w:ascii="Arial" w:cs="Arial" w:eastAsia="Arial" w:hAnsi="Arial"/>
          <w:b/>
          <w:bCs/>
          <w:i w:val="false"/>
          <w:iCs w:val="false"/>
          <w:color w:val="000000"/>
          <w:sz w:val="22"/>
          <w:szCs w:val="22"/>
        </w:rPr>
        <w:t xml:space="preserve">Libraries: </w:t>
      </w:r>
      <w:r>
        <w:rPr>
          <w:rFonts w:ascii="Arial" w:cs="Arial" w:eastAsia="Arial" w:hAnsi="Arial"/>
          <w:b w:val="false"/>
          <w:bCs w:val="false"/>
          <w:i w:val="false"/>
          <w:iCs w:val="false"/>
          <w:color w:val="000000"/>
          <w:sz w:val="22"/>
          <w:szCs w:val="22"/>
        </w:rPr>
        <w:t xml:space="preserve">scipy &gt;= 1.11.0, numpy &gt;= 1.24.0</w:t>
      </w:r>
    </w:p>
    <w:p>
      <w:pPr>
        <w:spacing w:before="80" w:after="80"/>
        <w:jc w:val="left"/>
      </w:pPr>
      <w:r>
        <w:rPr>
          <w:rFonts w:ascii="Arial" w:cs="Arial" w:eastAsia="Arial" w:hAnsi="Arial"/>
          <w:b w:val="false"/>
          <w:bCs w:val="false"/>
          <w:i w:val="false"/>
          <w:iCs w:val="false"/>
          <w:color w:val="000000"/>
          <w:sz w:val="22"/>
          <w:szCs w:val="22"/>
        </w:rPr>
        <w:t xml:space="preserve">Why they were chosen: </w:t>
      </w:r>
      <w:r>
        <w:rPr>
          <w:rFonts w:ascii="Arial" w:cs="Arial" w:eastAsia="Arial" w:hAnsi="Arial"/>
          <w:b w:val="false"/>
          <w:bCs w:val="false"/>
          <w:i w:val="false"/>
          <w:iCs w:val="false"/>
          <w:color w:val="000000"/>
          <w:sz w:val="22"/>
          <w:szCs w:val="22"/>
        </w:rPr>
        <w:t xml:space="preserve">NumPy provides the fast array operations needed for the 10,000-iteration Monte Carlo loop. SciPy provides statistical functions for distribution analysis. Together they enable professional-grade quantitative finance computations in pure Python.</w:t>
      </w:r>
    </w:p>
    <w:p/>
    <w:p>
      <w:pPr>
        <w:spacing w:before="80" w:after="80"/>
        <w:jc w:val="left"/>
      </w:pPr>
      <w:r>
        <w:rPr>
          <w:rFonts w:ascii="Arial" w:cs="Arial" w:eastAsia="Arial" w:hAnsi="Arial"/>
          <w:b w:val="false"/>
          <w:bCs w:val="false"/>
          <w:i w:val="false"/>
          <w:iCs w:val="false"/>
          <w:color w:val="000000"/>
          <w:sz w:val="22"/>
          <w:szCs w:val="22"/>
        </w:rPr>
        <w:t xml:space="preserve">What dcf.py contains and does: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calculate_wacc() computes the Weighted Average Cost of Capital using the CAPM formula: Cost of Equity = Risk-Free Rate + Beta × Equity Risk Premium. It uses a 7% risk-free rate (10Y Indian G-Sec yield), 5.5% equity risk premium, and weights equity and debt by market value</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project_fcff() projects 5 years of Free Cash Flow to Firm by growing revenue at the input rate, applying EBITDA margin, deducting tax (NOPAT), subtracting capex % of revenue, and working capital changes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dcf_valuation() discounts each year's FCFF to present value, computes terminal value using the Gordon Growth Model (FCF5 × (1+g) / (WACC-g)), sums to enterprise value, subtracts debt, adds cash, and divides by shares to get intrinsic value per share</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run_three_scenarios() runs the full DCF for Bear, Base, and Bull cases with different growth, margin, and terminal growth assumptions. Compares base case IV to CMP to generate a BUY / HOLD / SELL signal</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run_monte_carlo() runs 10,000 iterations using np.random.normal() to randomize revenue growth (±5%), WACC (±1.5%), terminal growth (±1%), and capex %. Filters invalid outputs and returns the full distribution with P10, P25, median, P75, P90 percentiles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run_sensitivity() varies each assumption by ±1 standard deviation one at a time, measures the change in intrinsic value, and returns a sorted DataFrame for the tornado chart</w:t>
      </w:r>
    </w:p>
    <w:p>
      <w:r>
        <w:br w:type="page"/>
      </w:r>
    </w:p>
    <w:p>
      <w:pPr>
        <w:pStyle w:val="Heading1"/>
        <w:shd w:fill="1B4F8A" w:val="clear"/>
        <w:spacing w:before="320" w:after="160"/>
        <w:ind w:left="200" w:right="200"/>
      </w:pPr>
      <w:r>
        <w:rPr>
          <w:rFonts w:ascii="Arial" w:cs="Arial" w:eastAsia="Arial" w:hAnsi="Arial"/>
          <w:b/>
          <w:bCs/>
          <w:color w:val="FFFFFF"/>
          <w:sz w:val="36"/>
          <w:szCs w:val="36"/>
        </w:rPr>
        <w:t xml:space="preserve">3. File-by-File Code Explanation</w:t>
      </w:r>
    </w:p>
    <w:p>
      <w:pPr>
        <w:pStyle w:val="Heading2"/>
        <w:pBdr>
          <w:bottom w:val="single" w:color="2E75B6" w:sz="6"/>
        </w:pBdr>
        <w:spacing w:before="280" w:after="120"/>
      </w:pPr>
      <w:r>
        <w:rPr>
          <w:rFonts w:ascii="Arial" w:cs="Arial" w:eastAsia="Arial" w:hAnsi="Arial"/>
          <w:b/>
          <w:bCs/>
          <w:color w:val="1B4F8A"/>
          <w:sz w:val="28"/>
          <w:szCs w:val="28"/>
        </w:rPr>
        <w:t xml:space="preserve">3.1 scraper.py — Data Scraping Engine</w:t>
      </w:r>
    </w:p>
    <w:p>
      <w:pPr>
        <w:spacing w:before="80" w:after="80"/>
        <w:jc w:val="left"/>
      </w:pPr>
      <w:r>
        <w:rPr>
          <w:rFonts w:ascii="Arial" w:cs="Arial" w:eastAsia="Arial" w:hAnsi="Arial"/>
          <w:b w:val="false"/>
          <w:bCs w:val="false"/>
          <w:i w:val="false"/>
          <w:iCs w:val="false"/>
          <w:color w:val="000000"/>
          <w:sz w:val="22"/>
          <w:szCs w:val="22"/>
        </w:rPr>
        <w:t xml:space="preserve">This is the data foundation of the entire application. Every number shown in the UI starts here.</w:t>
      </w:r>
    </w:p>
    <w:p/>
    <w:p>
      <w:pPr>
        <w:pStyle w:val="Heading3"/>
        <w:spacing w:before="200" w:after="80"/>
      </w:pPr>
      <w:r>
        <w:rPr>
          <w:rFonts w:ascii="Arial" w:cs="Arial" w:eastAsia="Arial" w:hAnsi="Arial"/>
          <w:b/>
          <w:bCs/>
          <w:color w:val="2E75B6"/>
          <w:sz w:val="24"/>
          <w:szCs w:val="24"/>
        </w:rPr>
        <w:t xml:space="preserve">HEADERS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8FF" w:val="clear"/>
            <w:tcMar>
              <w:top w:type="dxa" w:w="100"/>
              <w:left w:type="dxa" w:w="160"/>
              <w:bottom w:type="dxa" w:w="100"/>
              <w:right w:type="dxa" w:w="160"/>
            </w:tcMar>
          </w:tcPr>
          <w:p>
            <w:r>
              <w:rPr>
                <w:rFonts w:ascii="Arial" w:cs="Arial" w:eastAsia="Arial" w:hAnsi="Arial"/>
                <w:color w:val="000000"/>
                <w:sz w:val="20"/>
                <w:szCs w:val="20"/>
              </w:rPr>
              <w:t xml:space="preserve">Purpose: Defines HTTP request headers that mimic a real Chrome browser. Without these, Screener.in detects automated requests and blocks them with a 403 error. The User-Agent string identifies the request as coming from Chrome 120 on Windows.</w:t>
            </w:r>
          </w:p>
        </w:tc>
      </w:tr>
    </w:tbl>
    <w:p/>
    <w:p>
      <w:pPr>
        <w:pStyle w:val="Heading3"/>
        <w:spacing w:before="200" w:after="80"/>
      </w:pPr>
      <w:r>
        <w:rPr>
          <w:rFonts w:ascii="Arial" w:cs="Arial" w:eastAsia="Arial" w:hAnsi="Arial"/>
          <w:b/>
          <w:bCs/>
          <w:color w:val="2E75B6"/>
          <w:sz w:val="24"/>
          <w:szCs w:val="24"/>
        </w:rPr>
        <w:t xml:space="preserve">to_num()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8FF" w:val="clear"/>
            <w:tcMar>
              <w:top w:type="dxa" w:w="100"/>
              <w:left w:type="dxa" w:w="160"/>
              <w:bottom w:type="dxa" w:w="100"/>
              <w:right w:type="dxa" w:w="160"/>
            </w:tcMar>
          </w:tcPr>
          <w:p>
            <w:r>
              <w:rPr>
                <w:rFonts w:ascii="Arial" w:cs="Arial" w:eastAsia="Arial" w:hAnsi="Arial"/>
                <w:color w:val="000000"/>
                <w:sz w:val="20"/>
                <w:szCs w:val="20"/>
              </w:rPr>
              <w:t xml:space="preserve">Purpose: A safe string-to-float converter. Financial data from HTML often contains commas (1,00,000), rupee symbols (₹), percentage signs (%), and the word 'Cr'. This function strips all those characters before converting. Returns NaN (not-a-number) if conversion fails, which prevents crashes and allows the rest of the code to handle missing data gracefully.</w:t>
            </w:r>
          </w:p>
        </w:tc>
      </w:tr>
    </w:tbl>
    <w:p/>
    <w:p>
      <w:pPr>
        <w:pStyle w:val="Heading3"/>
        <w:spacing w:before="200" w:after="80"/>
      </w:pPr>
      <w:r>
        <w:rPr>
          <w:rFonts w:ascii="Arial" w:cs="Arial" w:eastAsia="Arial" w:hAnsi="Arial"/>
          <w:b/>
          <w:bCs/>
          <w:color w:val="2E75B6"/>
          <w:sz w:val="24"/>
          <w:szCs w:val="24"/>
        </w:rPr>
        <w:t xml:space="preserve">parse_screener_table()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4"/>
              <w:left w:val="thick" w:color="1E5631" w:sz="12"/>
              <w:bottom w:val="single" w:color="1E5631" w:sz="4"/>
              <w:right w:val="single" w:color="1E5631" w:sz="4"/>
            </w:tcBorders>
            <w:shd w:fill="E2EFDA" w:val="clear"/>
            <w:tcMar>
              <w:top w:type="dxa" w:w="100"/>
              <w:left w:type="dxa" w:w="160"/>
              <w:bottom w:type="dxa" w:w="100"/>
              <w:right w:type="dxa" w:w="160"/>
            </w:tcMar>
          </w:tcPr>
          <w:p>
            <w:r>
              <w:rPr>
                <w:rFonts w:ascii="Arial" w:cs="Arial" w:eastAsia="Arial" w:hAnsi="Arial"/>
                <w:color w:val="000000"/>
                <w:sz w:val="20"/>
                <w:szCs w:val="20"/>
              </w:rPr>
              <w:t xml:space="preserve">Purpose: Parses a single financial table (P&amp;L, Balance Sheet, or Cash Flow) from the Screener.in HTML page. Takes a BeautifulSoup object and a section ID (e.g. 'profit-loss'). Finds the &lt;section&gt; tag, locates the &lt;table&gt; inside it, reads column headers from &lt;thead&gt;, iterates over &lt;tbody&gt; rows, and returns a pandas DataFrame. The first column contains row labels (e.g. 'Sales +', 'Net Profit +') and subsequent columns contain the yearly values.</w:t>
            </w:r>
          </w:p>
        </w:tc>
      </w:tr>
    </w:tbl>
    <w:p/>
    <w:p>
      <w:pPr>
        <w:pStyle w:val="Heading3"/>
        <w:spacing w:before="200" w:after="80"/>
      </w:pPr>
      <w:r>
        <w:rPr>
          <w:rFonts w:ascii="Arial" w:cs="Arial" w:eastAsia="Arial" w:hAnsi="Arial"/>
          <w:b/>
          <w:bCs/>
          <w:color w:val="2E75B6"/>
          <w:sz w:val="24"/>
          <w:szCs w:val="24"/>
        </w:rPr>
        <w:t xml:space="preserve">fetch_screener_data()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4"/>
              <w:left w:val="thick" w:color="1E5631" w:sz="12"/>
              <w:bottom w:val="single" w:color="1E5631" w:sz="4"/>
              <w:right w:val="single" w:color="1E5631" w:sz="4"/>
            </w:tcBorders>
            <w:shd w:fill="E2EFDA" w:val="clear"/>
            <w:tcMar>
              <w:top w:type="dxa" w:w="100"/>
              <w:left w:type="dxa" w:w="160"/>
              <w:bottom w:type="dxa" w:w="100"/>
              <w:right w:type="dxa" w:w="160"/>
            </w:tcMar>
          </w:tcPr>
          <w:p>
            <w:r>
              <w:rPr>
                <w:rFonts w:ascii="Arial" w:cs="Arial" w:eastAsia="Arial" w:hAnsi="Arial"/>
                <w:color w:val="000000"/>
                <w:sz w:val="20"/>
                <w:szCs w:val="20"/>
              </w:rPr>
              <w:t xml:space="preserve">Purpose: The main entry point for data fetching. Takes a ticker string, constructs the Screener.in URL, tries the consolidated view first (then standalone if 404), sends the HTTP request with browser headers, and parses the full page. Extracts: company name from &lt;h1&gt;, top ratios (price, mkt cap, P/E etc.) from the #top-ratios UL, all three financial tables via parse_screener_table(), peer tickers from the #peers section, and sector from the breadcrumb navigation. Returns a dictionary with all this data.</w:t>
            </w:r>
          </w:p>
        </w:tc>
      </w:tr>
    </w:tbl>
    <w:p/>
    <w:p>
      <w:pPr>
        <w:pStyle w:val="Heading3"/>
        <w:spacing w:before="200" w:after="80"/>
      </w:pPr>
      <w:r>
        <w:rPr>
          <w:rFonts w:ascii="Arial" w:cs="Arial" w:eastAsia="Arial" w:hAnsi="Arial"/>
          <w:b/>
          <w:bCs/>
          <w:color w:val="2E75B6"/>
          <w:sz w:val="24"/>
          <w:szCs w:val="24"/>
        </w:rPr>
        <w:t xml:space="preserve">fetch_peer_data()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thick" w:color="F39C12" w:sz="12"/>
              <w:bottom w:val="single" w:color="F39C12" w:sz="4"/>
              <w:right w:val="single" w:color="F39C12" w:sz="4"/>
            </w:tcBorders>
            <w:shd w:fill="FFF3CD" w:val="clear"/>
            <w:tcMar>
              <w:top w:type="dxa" w:w="100"/>
              <w:left w:type="dxa" w:w="160"/>
              <w:bottom w:type="dxa" w:w="100"/>
              <w:right w:type="dxa" w:w="160"/>
            </w:tcMar>
          </w:tcPr>
          <w:p>
            <w:r>
              <w:rPr>
                <w:rFonts w:ascii="Arial" w:cs="Arial" w:eastAsia="Arial" w:hAnsi="Arial"/>
                <w:color w:val="000000"/>
                <w:sz w:val="20"/>
                <w:szCs w:val="20"/>
              </w:rPr>
              <w:t xml:space="preserve">Purpose: Calls fetch_screener_data() for each peer ticker in the list, with a 1.5-second delay between requests to avoid being rate-limited by Screener.in. Returns a list of data dictionaries, one per peer. Silently skips peers that fail (network errors, invalid tickers) rather than crashing the whole report.</w:t>
            </w:r>
          </w:p>
        </w:tc>
      </w:tr>
    </w:tbl>
    <w:p/>
    <w:p>
      <w:pPr>
        <w:pStyle w:val="Heading3"/>
        <w:spacing w:before="200" w:after="80"/>
      </w:pPr>
      <w:r>
        <w:rPr>
          <w:rFonts w:ascii="Arial" w:cs="Arial" w:eastAsia="Arial" w:hAnsi="Arial"/>
          <w:b/>
          <w:bCs/>
          <w:color w:val="2E75B6"/>
          <w:sz w:val="24"/>
          <w:szCs w:val="24"/>
        </w:rPr>
        <w:t xml:space="preserve">extract_series()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thick" w:color="F39C12" w:sz="12"/>
              <w:bottom w:val="single" w:color="F39C12" w:sz="4"/>
              <w:right w:val="single" w:color="F39C12" w:sz="4"/>
            </w:tcBorders>
            <w:shd w:fill="FFF3CD" w:val="clear"/>
            <w:tcMar>
              <w:top w:type="dxa" w:w="100"/>
              <w:left w:type="dxa" w:w="160"/>
              <w:bottom w:type="dxa" w:w="100"/>
              <w:right w:type="dxa" w:w="160"/>
            </w:tcMar>
          </w:tcPr>
          <w:p>
            <w:r>
              <w:rPr>
                <w:rFonts w:ascii="Arial" w:cs="Arial" w:eastAsia="Arial" w:hAnsi="Arial"/>
                <w:color w:val="000000"/>
                <w:sz w:val="20"/>
                <w:szCs w:val="20"/>
              </w:rPr>
              <w:t xml:space="preserve">Purpose: Extracts a single financial metric's 5-year time series from a table. Takes a DataFrame and a list of regex patterns (ordered by preference). Uses DataFrame.str.contains() to find the matching row — for example, 'Sales +' matches the pattern '^Sales'. Returns the last n years of values as a list of floats. The list of patterns allows fallback matching across different companies that label the same metric differently (e.g. some companies say 'Revenue from Operations' instead of 'Sales').</w:t>
            </w:r>
          </w:p>
        </w:tc>
      </w:tr>
    </w:tbl>
    <w:p/>
    <w:p>
      <w:pPr>
        <w:pStyle w:val="Heading3"/>
        <w:spacing w:before="200" w:after="80"/>
      </w:pPr>
      <w:r>
        <w:rPr>
          <w:rFonts w:ascii="Arial" w:cs="Arial" w:eastAsia="Arial" w:hAnsi="Arial"/>
          <w:b/>
          <w:bCs/>
          <w:color w:val="2E75B6"/>
          <w:sz w:val="24"/>
          <w:szCs w:val="24"/>
        </w:rPr>
        <w:t xml:space="preserve">get_year_labels()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8FF" w:val="clear"/>
            <w:tcMar>
              <w:top w:type="dxa" w:w="100"/>
              <w:left w:type="dxa" w:w="160"/>
              <w:bottom w:type="dxa" w:w="100"/>
              <w:right w:type="dxa" w:w="160"/>
            </w:tcMar>
          </w:tcPr>
          <w:p>
            <w:r>
              <w:rPr>
                <w:rFonts w:ascii="Arial" w:cs="Arial" w:eastAsia="Arial" w:hAnsi="Arial"/>
                <w:color w:val="000000"/>
                <w:sz w:val="20"/>
                <w:szCs w:val="20"/>
              </w:rPr>
              <w:t xml:space="preserve">Purpose: Extracts the year column headers (e.g. 'Mar 2020', 'Mar 2021', ...) from a financial table's column names. These are used as axis labels in all charts and as column headers in all displayed tables throughout the application.</w:t>
            </w:r>
          </w:p>
        </w:tc>
      </w:tr>
    </w:tbl>
    <w:p/>
    <w:p>
      <w:pPr>
        <w:pStyle w:val="Heading2"/>
        <w:pBdr>
          <w:bottom w:val="single" w:color="2E75B6" w:sz="6"/>
        </w:pBdr>
        <w:spacing w:before="280" w:after="120"/>
      </w:pPr>
      <w:r>
        <w:rPr>
          <w:rFonts w:ascii="Arial" w:cs="Arial" w:eastAsia="Arial" w:hAnsi="Arial"/>
          <w:b/>
          <w:bCs/>
          <w:color w:val="1B4F8A"/>
          <w:sz w:val="28"/>
          <w:szCs w:val="28"/>
        </w:rPr>
        <w:t xml:space="preserve">3.2 ratios.py — Financial Ratio Calculator</w:t>
      </w:r>
    </w:p>
    <w:p>
      <w:pPr>
        <w:spacing w:before="80" w:after="80"/>
        <w:jc w:val="left"/>
      </w:pPr>
      <w:r>
        <w:rPr>
          <w:rFonts w:ascii="Arial" w:cs="Arial" w:eastAsia="Arial" w:hAnsi="Arial"/>
          <w:b w:val="false"/>
          <w:bCs w:val="false"/>
          <w:i w:val="false"/>
          <w:iCs w:val="false"/>
          <w:color w:val="000000"/>
          <w:sz w:val="22"/>
          <w:szCs w:val="22"/>
        </w:rPr>
        <w:t xml:space="preserve">This module transforms raw financial statement data into the 20+ ratios used throughout the application.</w:t>
      </w:r>
    </w:p>
    <w:p/>
    <w:p>
      <w:pPr>
        <w:pStyle w:val="Heading3"/>
        <w:spacing w:before="200" w:after="80"/>
      </w:pPr>
      <w:r>
        <w:rPr>
          <w:rFonts w:ascii="Arial" w:cs="Arial" w:eastAsia="Arial" w:hAnsi="Arial"/>
          <w:b/>
          <w:bCs/>
          <w:color w:val="2E75B6"/>
          <w:sz w:val="24"/>
          <w:szCs w:val="24"/>
        </w:rPr>
        <w:t xml:space="preserve">safe_div()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8FF" w:val="clear"/>
            <w:tcMar>
              <w:top w:type="dxa" w:w="100"/>
              <w:left w:type="dxa" w:w="160"/>
              <w:bottom w:type="dxa" w:w="100"/>
              <w:right w:type="dxa" w:w="160"/>
            </w:tcMar>
          </w:tcPr>
          <w:p>
            <w:r>
              <w:rPr>
                <w:rFonts w:ascii="Arial" w:cs="Arial" w:eastAsia="Arial" w:hAnsi="Arial"/>
                <w:color w:val="000000"/>
                <w:sz w:val="20"/>
                <w:szCs w:val="20"/>
              </w:rPr>
              <w:t xml:space="preserve">Purpose: Performs element-wise division on two NumPy arrays without raising errors. Uses np.where() to return NaN wherever the denominator is zero or NaN, and the actual ratio elsewhere. This is critical because financial data often has zeros (e.g. a company with no debt has zero borrowings, making D/E = 0/equity, not a division error).</w:t>
            </w:r>
          </w:p>
        </w:tc>
      </w:tr>
    </w:tbl>
    <w:p/>
    <w:p>
      <w:pPr>
        <w:pStyle w:val="Heading3"/>
        <w:spacing w:before="200" w:after="80"/>
      </w:pPr>
      <w:r>
        <w:rPr>
          <w:rFonts w:ascii="Arial" w:cs="Arial" w:eastAsia="Arial" w:hAnsi="Arial"/>
          <w:b/>
          <w:bCs/>
          <w:color w:val="2E75B6"/>
          <w:sz w:val="24"/>
          <w:szCs w:val="24"/>
        </w:rPr>
        <w:t xml:space="preserve">last_valid()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8FF" w:val="clear"/>
            <w:tcMar>
              <w:top w:type="dxa" w:w="100"/>
              <w:left w:type="dxa" w:w="160"/>
              <w:bottom w:type="dxa" w:w="100"/>
              <w:right w:type="dxa" w:w="160"/>
            </w:tcMar>
          </w:tcPr>
          <w:p>
            <w:r>
              <w:rPr>
                <w:rFonts w:ascii="Arial" w:cs="Arial" w:eastAsia="Arial" w:hAnsi="Arial"/>
                <w:color w:val="000000"/>
                <w:sz w:val="20"/>
                <w:szCs w:val="20"/>
              </w:rPr>
              <w:t xml:space="preserve">Purpose: Returns the last non-NaN value from a list. Used throughout the app to display 'the latest year's value' for a ratio. Iterates the list in reverse and returns the first valid number. Returns a default (NaN) if the entire list is empty or all-NaN.</w:t>
            </w:r>
          </w:p>
        </w:tc>
      </w:tr>
    </w:tbl>
    <w:p/>
    <w:p>
      <w:pPr>
        <w:pStyle w:val="Heading3"/>
        <w:spacing w:before="200" w:after="80"/>
      </w:pPr>
      <w:r>
        <w:rPr>
          <w:rFonts w:ascii="Arial" w:cs="Arial" w:eastAsia="Arial" w:hAnsi="Arial"/>
          <w:b/>
          <w:bCs/>
          <w:color w:val="2E75B6"/>
          <w:sz w:val="24"/>
          <w:szCs w:val="24"/>
        </w:rPr>
        <w:t xml:space="preserve">calculate_ratios() — P&amp;L extraction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00000" w:sz="4"/>
            </w:tcBorders>
            <w:shd w:fill="FCE4D6" w:val="clear"/>
            <w:tcMar>
              <w:top w:type="dxa" w:w="100"/>
              <w:left w:type="dxa" w:w="160"/>
              <w:bottom w:type="dxa" w:w="100"/>
              <w:right w:type="dxa" w:w="160"/>
            </w:tcMar>
          </w:tcPr>
          <w:p>
            <w:r>
              <w:rPr>
                <w:rFonts w:ascii="Arial" w:cs="Arial" w:eastAsia="Arial" w:hAnsi="Arial"/>
                <w:color w:val="000000"/>
                <w:sz w:val="20"/>
                <w:szCs w:val="20"/>
              </w:rPr>
              <w:t xml:space="preserve">Purpose: Calls extract_series() for each P&amp;L line item with multiple fallback patterns. The key fix applied here was changing 'Sales$' (which never matched because rows are 'Sales +') to '^Sales' (starts with Sales). Similarly 'Net Profit$' was changed to 'Net Profit' to match 'Net Profit +'. This was the root cause of Revenue and PAT showing as empty.</w:t>
            </w:r>
          </w:p>
        </w:tc>
      </w:tr>
    </w:tbl>
    <w:p/>
    <w:p>
      <w:pPr>
        <w:pStyle w:val="Heading3"/>
        <w:spacing w:before="200" w:after="80"/>
      </w:pPr>
      <w:r>
        <w:rPr>
          <w:rFonts w:ascii="Arial" w:cs="Arial" w:eastAsia="Arial" w:hAnsi="Arial"/>
          <w:b/>
          <w:bCs/>
          <w:color w:val="2E75B6"/>
          <w:sz w:val="24"/>
          <w:szCs w:val="24"/>
        </w:rPr>
        <w:t xml:space="preserve">calculate_ratios() — Equity calculation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00000" w:sz="4"/>
            </w:tcBorders>
            <w:shd w:fill="FCE4D6" w:val="clear"/>
            <w:tcMar>
              <w:top w:type="dxa" w:w="100"/>
              <w:left w:type="dxa" w:w="160"/>
              <w:bottom w:type="dxa" w:w="100"/>
              <w:right w:type="dxa" w:w="160"/>
            </w:tcMar>
          </w:tcPr>
          <w:p>
            <w:r>
              <w:rPr>
                <w:rFonts w:ascii="Arial" w:cs="Arial" w:eastAsia="Arial" w:hAnsi="Arial"/>
                <w:color w:val="000000"/>
                <w:sz w:val="20"/>
                <w:szCs w:val="20"/>
              </w:rPr>
              <w:t xml:space="preserve">Purpose: Computes total shareholders' equity. Screener.in splits equity into two rows: 'Equity Capital' (just the paid-up share capital, typically small) and 'Reserves' (retained earnings + share premium, much larger). The previous code only fetched 'Equity Capital', giving a D/E ratio of 43x instead of the correct 0.4x. The fix: sum both rows (equity_capital + reserves) to get true net worth. Falls back to a 'Net Worth' combined row if one exists.</w:t>
            </w:r>
          </w:p>
        </w:tc>
      </w:tr>
    </w:tbl>
    <w:p/>
    <w:p>
      <w:pPr>
        <w:pStyle w:val="Heading3"/>
        <w:spacing w:before="200" w:after="80"/>
      </w:pPr>
      <w:r>
        <w:rPr>
          <w:rFonts w:ascii="Arial" w:cs="Arial" w:eastAsia="Arial" w:hAnsi="Arial"/>
          <w:b/>
          <w:bCs/>
          <w:color w:val="2E75B6"/>
          <w:sz w:val="24"/>
          <w:szCs w:val="24"/>
        </w:rPr>
        <w:t xml:space="preserve">calculate_ratios() — Profitability ratios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4"/>
              <w:left w:val="thick" w:color="1E5631" w:sz="12"/>
              <w:bottom w:val="single" w:color="1E5631" w:sz="4"/>
              <w:right w:val="single" w:color="1E5631" w:sz="4"/>
            </w:tcBorders>
            <w:shd w:fill="E2EFDA" w:val="clear"/>
            <w:tcMar>
              <w:top w:type="dxa" w:w="100"/>
              <w:left w:type="dxa" w:w="160"/>
              <w:bottom w:type="dxa" w:w="100"/>
              <w:right w:type="dxa" w:w="160"/>
            </w:tcMar>
          </w:tcPr>
          <w:p>
            <w:r>
              <w:rPr>
                <w:rFonts w:ascii="Arial" w:cs="Arial" w:eastAsia="Arial" w:hAnsi="Arial"/>
                <w:color w:val="000000"/>
                <w:sz w:val="20"/>
                <w:szCs w:val="20"/>
              </w:rPr>
              <w:t xml:space="preserve">Purpose: Computes 6 profitability ratios vectorized across all 5 years simultaneously. Operating Margin = EBITDA/Revenue × 100. Net Margin = PAT/Revenue × 100. ROE = PAT/Equity × 100. ROA = PAT/Total Assets × 100. ROCE = EBIT / Capital Employed × 100, where EBIT = EBITDA minus Depreciation, and Capital Employed = Total Assets minus Current Liabilities.</w:t>
            </w:r>
          </w:p>
        </w:tc>
      </w:tr>
    </w:tbl>
    <w:p/>
    <w:p>
      <w:pPr>
        <w:pStyle w:val="Heading3"/>
        <w:spacing w:before="200" w:after="80"/>
      </w:pPr>
      <w:r>
        <w:rPr>
          <w:rFonts w:ascii="Arial" w:cs="Arial" w:eastAsia="Arial" w:hAnsi="Arial"/>
          <w:b/>
          <w:bCs/>
          <w:color w:val="2E75B6"/>
          <w:sz w:val="24"/>
          <w:szCs w:val="24"/>
        </w:rPr>
        <w:t xml:space="preserve">calculate_ratios() — Liquidity ratios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4"/>
              <w:left w:val="thick" w:color="1E5631" w:sz="12"/>
              <w:bottom w:val="single" w:color="1E5631" w:sz="4"/>
              <w:right w:val="single" w:color="1E5631" w:sz="4"/>
            </w:tcBorders>
            <w:shd w:fill="E2EFDA" w:val="clear"/>
            <w:tcMar>
              <w:top w:type="dxa" w:w="100"/>
              <w:left w:type="dxa" w:w="160"/>
              <w:bottom w:type="dxa" w:w="100"/>
              <w:right w:type="dxa" w:w="160"/>
            </w:tcMar>
          </w:tcPr>
          <w:p>
            <w:r>
              <w:rPr>
                <w:rFonts w:ascii="Arial" w:cs="Arial" w:eastAsia="Arial" w:hAnsi="Arial"/>
                <w:color w:val="000000"/>
                <w:sz w:val="20"/>
                <w:szCs w:val="20"/>
              </w:rPr>
              <w:t xml:space="preserve">Purpose: Computes Current Ratio, Quick Ratio, and Cash Ratio. Since Screener.in's compact balance sheet does not always show separate 'Current Assets' and 'Current Liabilities' rows, fallback estimates are used: Current Assets ≈ 25% of Total Assets, Current Liabilities ≈ 20% of Total Assets. This ensures the ratios always produce a number rather than NaN when detailed BS data is unavailable.</w:t>
            </w:r>
          </w:p>
        </w:tc>
      </w:tr>
    </w:tbl>
    <w:p/>
    <w:p>
      <w:pPr>
        <w:pStyle w:val="Heading3"/>
        <w:spacing w:before="200" w:after="80"/>
      </w:pPr>
      <w:r>
        <w:rPr>
          <w:rFonts w:ascii="Arial" w:cs="Arial" w:eastAsia="Arial" w:hAnsi="Arial"/>
          <w:b/>
          <w:bCs/>
          <w:color w:val="2E75B6"/>
          <w:sz w:val="24"/>
          <w:szCs w:val="24"/>
        </w:rPr>
        <w:t xml:space="preserve">calculate_ratios() — DuPont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thick" w:color="F39C12" w:sz="12"/>
              <w:bottom w:val="single" w:color="F39C12" w:sz="4"/>
              <w:right w:val="single" w:color="F39C12" w:sz="4"/>
            </w:tcBorders>
            <w:shd w:fill="FFF3CD" w:val="clear"/>
            <w:tcMar>
              <w:top w:type="dxa" w:w="100"/>
              <w:left w:type="dxa" w:w="160"/>
              <w:bottom w:type="dxa" w:w="100"/>
              <w:right w:type="dxa" w:w="160"/>
            </w:tcMar>
          </w:tcPr>
          <w:p>
            <w:r>
              <w:rPr>
                <w:rFonts w:ascii="Arial" w:cs="Arial" w:eastAsia="Arial" w:hAnsi="Arial"/>
                <w:color w:val="000000"/>
                <w:sz w:val="20"/>
                <w:szCs w:val="20"/>
              </w:rPr>
              <w:t xml:space="preserve">Purpose: Implements the 3-step DuPont decomposition. ROE is broken into three multiplicative drivers: Net Profit Margin (profitability), Asset Turnover (efficiency), and Equity Multiplier (leverage). The formula is ROE = (PAT/Revenue) × (Revenue/Assets) × (Assets/Equity) × 100. Showing this decomposition explains whether a company's ROE is driven by profitability, asset efficiency, or financial leverage.</w:t>
            </w:r>
          </w:p>
        </w:tc>
      </w:tr>
    </w:tbl>
    <w:p/>
    <w:p>
      <w:pPr>
        <w:pStyle w:val="Heading3"/>
        <w:spacing w:before="200" w:after="80"/>
      </w:pPr>
      <w:r>
        <w:rPr>
          <w:rFonts w:ascii="Arial" w:cs="Arial" w:eastAsia="Arial" w:hAnsi="Arial"/>
          <w:b/>
          <w:bCs/>
          <w:color w:val="2E75B6"/>
          <w:sz w:val="24"/>
          <w:szCs w:val="24"/>
        </w:rPr>
        <w:t xml:space="preserve">calculate_ratios() — CAGR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thick" w:color="F39C12" w:sz="12"/>
              <w:bottom w:val="single" w:color="F39C12" w:sz="4"/>
              <w:right w:val="single" w:color="F39C12" w:sz="4"/>
            </w:tcBorders>
            <w:shd w:fill="FFF3CD" w:val="clear"/>
            <w:tcMar>
              <w:top w:type="dxa" w:w="100"/>
              <w:left w:type="dxa" w:w="160"/>
              <w:bottom w:type="dxa" w:w="100"/>
              <w:right w:type="dxa" w:w="160"/>
            </w:tcMar>
          </w:tcPr>
          <w:p>
            <w:r>
              <w:rPr>
                <w:rFonts w:ascii="Arial" w:cs="Arial" w:eastAsia="Arial" w:hAnsi="Arial"/>
                <w:color w:val="000000"/>
                <w:sz w:val="20"/>
                <w:szCs w:val="20"/>
              </w:rPr>
              <w:t xml:space="preserve">Purpose: Computes Compound Annual Growth Rates for Revenue, PAT, and EPS over 3 and 5-year periods. Formula: CAGR = (End Value / Start Value)^(1/n) - 1. These rates are displayed as headline metrics in the Financials tab and help investors quickly gauge the company's historical growth trajectory.</w:t>
            </w:r>
          </w:p>
        </w:tc>
      </w:tr>
    </w:tbl>
    <w:p/>
    <w:p>
      <w:pPr>
        <w:pStyle w:val="Heading3"/>
        <w:spacing w:before="200" w:after="80"/>
      </w:pPr>
      <w:r>
        <w:rPr>
          <w:rFonts w:ascii="Arial" w:cs="Arial" w:eastAsia="Arial" w:hAnsi="Arial"/>
          <w:b/>
          <w:bCs/>
          <w:color w:val="2E75B6"/>
          <w:sz w:val="24"/>
          <w:szCs w:val="24"/>
        </w:rPr>
        <w:t xml:space="preserve">build_peer_comparison()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8FF" w:val="clear"/>
            <w:tcMar>
              <w:top w:type="dxa" w:w="100"/>
              <w:left w:type="dxa" w:w="160"/>
              <w:bottom w:type="dxa" w:w="100"/>
              <w:right w:type="dxa" w:w="160"/>
            </w:tcMar>
          </w:tcPr>
          <w:p>
            <w:r>
              <w:rPr>
                <w:rFonts w:ascii="Arial" w:cs="Arial" w:eastAsia="Arial" w:hAnsi="Arial"/>
                <w:color w:val="000000"/>
                <w:sz w:val="20"/>
                <w:szCs w:val="20"/>
              </w:rPr>
              <w:t xml:space="preserve">Purpose: Builds a consolidated DataFrame containing the target company and all peers with key metrics for side-by-side comparison. Runs calculate_ratios() on each peer's scraped data. Appends an 'Industry Median' row computed from peer-only values (excluding target) using DataFrame.median(). Adds a _is_target flag column used by the UI to highlight the target company row in blue.</w:t>
            </w:r>
          </w:p>
        </w:tc>
      </w:tr>
    </w:tbl>
    <w:p/>
    <w:p>
      <w:pPr>
        <w:pStyle w:val="Heading2"/>
        <w:pBdr>
          <w:bottom w:val="single" w:color="2E75B6" w:sz="6"/>
        </w:pBdr>
        <w:spacing w:before="280" w:after="120"/>
      </w:pPr>
      <w:r>
        <w:rPr>
          <w:rFonts w:ascii="Arial" w:cs="Arial" w:eastAsia="Arial" w:hAnsi="Arial"/>
          <w:b/>
          <w:bCs/>
          <w:color w:val="1B4F8A"/>
          <w:sz w:val="28"/>
          <w:szCs w:val="28"/>
        </w:rPr>
        <w:t xml:space="preserve">3.3 red_flags.py — Red Flag Analysis Engine</w:t>
      </w:r>
    </w:p>
    <w:p>
      <w:pPr>
        <w:spacing w:before="80" w:after="80"/>
        <w:jc w:val="left"/>
      </w:pPr>
      <w:r>
        <w:rPr>
          <w:rFonts w:ascii="Arial" w:cs="Arial" w:eastAsia="Arial" w:hAnsi="Arial"/>
          <w:b w:val="false"/>
          <w:bCs w:val="false"/>
          <w:i w:val="false"/>
          <w:iCs w:val="false"/>
          <w:color w:val="000000"/>
          <w:sz w:val="22"/>
          <w:szCs w:val="22"/>
        </w:rPr>
        <w:t xml:space="preserve">Runs 10 independent financial health checks, each returning a structured dict with name, triggered status, severity, detail, and description.</w:t>
      </w:r>
    </w:p>
    <w:p/>
    <w:p>
      <w:pPr>
        <w:pStyle w:val="Heading3"/>
        <w:spacing w:before="200" w:after="80"/>
      </w:pPr>
      <w:r>
        <w:rPr>
          <w:rFonts w:ascii="Arial" w:cs="Arial" w:eastAsia="Arial" w:hAnsi="Arial"/>
          <w:b/>
          <w:bCs/>
          <w:color w:val="2E75B6"/>
          <w:sz w:val="24"/>
          <w:szCs w:val="24"/>
        </w:rPr>
        <w:t xml:space="preserve">Flag 1 — Earnings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00000" w:sz="4"/>
            </w:tcBorders>
            <w:shd w:fill="FCE4D6" w:val="clear"/>
            <w:tcMar>
              <w:top w:type="dxa" w:w="100"/>
              <w:left w:type="dxa" w:w="160"/>
              <w:bottom w:type="dxa" w:w="100"/>
              <w:right w:type="dxa" w:w="160"/>
            </w:tcMar>
          </w:tcPr>
          <w:p>
            <w:r>
              <w:rPr>
                <w:rFonts w:ascii="Arial" w:cs="Arial" w:eastAsia="Arial" w:hAnsi="Arial"/>
                <w:color w:val="000000"/>
                <w:sz w:val="20"/>
                <w:szCs w:val="20"/>
              </w:rPr>
              <w:t xml:space="preserve">Check: Is CFO declining while PAT is rising? Why it matters: When a company reports growing profit but its operating cash flow is shrinking, it often means profit is being recognized on paper (accrual accounting) without actual cash collection. This is a classic earnings manipulation signal seen in companies with aggressive revenue recognition.</w:t>
            </w:r>
          </w:p>
        </w:tc>
      </w:tr>
    </w:tbl>
    <w:p/>
    <w:p>
      <w:pPr>
        <w:pStyle w:val="Heading3"/>
        <w:spacing w:before="200" w:after="80"/>
      </w:pPr>
      <w:r>
        <w:rPr>
          <w:rFonts w:ascii="Arial" w:cs="Arial" w:eastAsia="Arial" w:hAnsi="Arial"/>
          <w:b/>
          <w:bCs/>
          <w:color w:val="2E75B6"/>
          <w:sz w:val="24"/>
          <w:szCs w:val="24"/>
        </w:rPr>
        <w:t xml:space="preserve">Flag 2 — Capital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00000" w:sz="4"/>
            </w:tcBorders>
            <w:shd w:fill="FCE4D6" w:val="clear"/>
            <w:tcMar>
              <w:top w:type="dxa" w:w="100"/>
              <w:left w:type="dxa" w:w="160"/>
              <w:bottom w:type="dxa" w:w="100"/>
              <w:right w:type="dxa" w:w="160"/>
            </w:tcMar>
          </w:tcPr>
          <w:p>
            <w:r>
              <w:rPr>
                <w:rFonts w:ascii="Arial" w:cs="Arial" w:eastAsia="Arial" w:hAnsi="Arial"/>
                <w:color w:val="000000"/>
                <w:sz w:val="20"/>
                <w:szCs w:val="20"/>
              </w:rPr>
              <w:t xml:space="preserve">Check: Is total debt increasing while ROCE is falling? Why it matters: A company should borrow money to invest in projects that earn more than the cost of that debt. If debt is rising but returns are falling, management is destroying shareholder value by deploying capital inefficiently.</w:t>
            </w:r>
          </w:p>
        </w:tc>
      </w:tr>
    </w:tbl>
    <w:p/>
    <w:p>
      <w:pPr>
        <w:pStyle w:val="Heading3"/>
        <w:spacing w:before="200" w:after="80"/>
      </w:pPr>
      <w:r>
        <w:rPr>
          <w:rFonts w:ascii="Arial" w:cs="Arial" w:eastAsia="Arial" w:hAnsi="Arial"/>
          <w:b/>
          <w:bCs/>
          <w:color w:val="2E75B6"/>
          <w:sz w:val="24"/>
          <w:szCs w:val="24"/>
        </w:rPr>
        <w:t xml:space="preserve">Flag 3 — Collection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thick" w:color="F39C12" w:sz="12"/>
              <w:bottom w:val="single" w:color="F39C12" w:sz="4"/>
              <w:right w:val="single" w:color="F39C12" w:sz="4"/>
            </w:tcBorders>
            <w:shd w:fill="FFF3CD" w:val="clear"/>
            <w:tcMar>
              <w:top w:type="dxa" w:w="100"/>
              <w:left w:type="dxa" w:w="160"/>
              <w:bottom w:type="dxa" w:w="100"/>
              <w:right w:type="dxa" w:w="160"/>
            </w:tcMar>
          </w:tcPr>
          <w:p>
            <w:r>
              <w:rPr>
                <w:rFonts w:ascii="Arial" w:cs="Arial" w:eastAsia="Arial" w:hAnsi="Arial"/>
                <w:color w:val="000000"/>
                <w:sz w:val="20"/>
                <w:szCs w:val="20"/>
              </w:rPr>
              <w:t xml:space="preserve">Check: Are receivables (money owed by customers) growing more than 15% faster than revenue? Why it matters: Fast-growing receivables relative to sales often indicate channel stuffing (shipping goods to distributors to book sales that may be returned) or deteriorating customer creditworthiness.</w:t>
            </w:r>
          </w:p>
        </w:tc>
      </w:tr>
    </w:tbl>
    <w:p/>
    <w:p>
      <w:pPr>
        <w:pStyle w:val="Heading3"/>
        <w:spacing w:before="200" w:after="80"/>
      </w:pPr>
      <w:r>
        <w:rPr>
          <w:rFonts w:ascii="Arial" w:cs="Arial" w:eastAsia="Arial" w:hAnsi="Arial"/>
          <w:b/>
          <w:bCs/>
          <w:color w:val="2E75B6"/>
          <w:sz w:val="24"/>
          <w:szCs w:val="24"/>
        </w:rPr>
        <w:t xml:space="preserve">Flag 4 — Free Cash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00000" w:sz="4"/>
            </w:tcBorders>
            <w:shd w:fill="FCE4D6" w:val="clear"/>
            <w:tcMar>
              <w:top w:type="dxa" w:w="100"/>
              <w:left w:type="dxa" w:w="160"/>
              <w:bottom w:type="dxa" w:w="100"/>
              <w:right w:type="dxa" w:w="160"/>
            </w:tcMar>
          </w:tcPr>
          <w:p>
            <w:r>
              <w:rPr>
                <w:rFonts w:ascii="Arial" w:cs="Arial" w:eastAsia="Arial" w:hAnsi="Arial"/>
                <w:color w:val="000000"/>
                <w:sz w:val="20"/>
                <w:szCs w:val="20"/>
              </w:rPr>
              <w:t xml:space="preserve">Check: Has FCF been negative for 3 consecutive years? Why it matters: Negative FCF means the company burns more cash than it generates. While one or two years can be acceptable during heavy investment phases, three consecutive years signals the business may be structurally unable to fund itself and is dependent on external financing.</w:t>
            </w:r>
          </w:p>
        </w:tc>
      </w:tr>
    </w:tbl>
    <w:p/>
    <w:p>
      <w:pPr>
        <w:pStyle w:val="Heading3"/>
        <w:spacing w:before="200" w:after="80"/>
      </w:pPr>
      <w:r>
        <w:rPr>
          <w:rFonts w:ascii="Arial" w:cs="Arial" w:eastAsia="Arial" w:hAnsi="Arial"/>
          <w:b/>
          <w:bCs/>
          <w:color w:val="2E75B6"/>
          <w:sz w:val="24"/>
          <w:szCs w:val="24"/>
        </w:rPr>
        <w:t xml:space="preserve">Flags 5-10 — Remaining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thick" w:color="F39C12" w:sz="12"/>
              <w:bottom w:val="single" w:color="F39C12" w:sz="4"/>
              <w:right w:val="single" w:color="F39C12" w:sz="4"/>
            </w:tcBorders>
            <w:shd w:fill="FFF3CD" w:val="clear"/>
            <w:tcMar>
              <w:top w:type="dxa" w:w="100"/>
              <w:left w:type="dxa" w:w="160"/>
              <w:bottom w:type="dxa" w:w="100"/>
              <w:right w:type="dxa" w:w="160"/>
            </w:tcMar>
          </w:tcPr>
          <w:p>
            <w:r>
              <w:rPr>
                <w:rFonts w:ascii="Arial" w:cs="Arial" w:eastAsia="Arial" w:hAnsi="Arial"/>
                <w:color w:val="000000"/>
                <w:sz w:val="20"/>
                <w:szCs w:val="20"/>
              </w:rPr>
              <w:t xml:space="preserve">Flag 5 (Margin Erosion): Operating margin fallen &gt;3pp — indicates pricing power loss or cost inflation. Flag 6 (Leverage Risk): D/E &gt; 2x — excessive debt amplifies downside. Flag 7 (Debt Servicing): Interest coverage &lt; 2x — barely covering interest payments. Flag 8 (Return Dilution): ROE fallen &gt;5pp — retaining profits but deploying at lower returns. Flag 9 (Liquidity Stress): Current ratio &lt; 1 — current liabilities exceed current assets. Flag 10 (Revenue Contraction): Revenue lower than 3 years ago — loss of market share or demand.</w:t>
            </w:r>
          </w:p>
        </w:tc>
      </w:tr>
    </w:tbl>
    <w:p/>
    <w:p>
      <w:pPr>
        <w:pStyle w:val="Heading2"/>
        <w:pBdr>
          <w:bottom w:val="single" w:color="2E75B6" w:sz="6"/>
        </w:pBdr>
        <w:spacing w:before="280" w:after="120"/>
      </w:pPr>
      <w:r>
        <w:rPr>
          <w:rFonts w:ascii="Arial" w:cs="Arial" w:eastAsia="Arial" w:hAnsi="Arial"/>
          <w:b/>
          <w:bCs/>
          <w:color w:val="1B4F8A"/>
          <w:sz w:val="28"/>
          <w:szCs w:val="28"/>
        </w:rPr>
        <w:t xml:space="preserve">3.4 dcf.py — Valuation Engine</w:t>
      </w:r>
    </w:p>
    <w:p/>
    <w:p>
      <w:pPr>
        <w:pStyle w:val="Heading3"/>
        <w:spacing w:before="200" w:after="80"/>
      </w:pPr>
      <w:r>
        <w:rPr>
          <w:rFonts w:ascii="Arial" w:cs="Arial" w:eastAsia="Arial" w:hAnsi="Arial"/>
          <w:b/>
          <w:bCs/>
          <w:color w:val="2E75B6"/>
          <w:sz w:val="24"/>
          <w:szCs w:val="24"/>
        </w:rPr>
        <w:t xml:space="preserve">calculate_wacc()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4"/>
              <w:left w:val="thick" w:color="1E5631" w:sz="12"/>
              <w:bottom w:val="single" w:color="1E5631" w:sz="4"/>
              <w:right w:val="single" w:color="1E5631" w:sz="4"/>
            </w:tcBorders>
            <w:shd w:fill="E2EFDA" w:val="clear"/>
            <w:tcMar>
              <w:top w:type="dxa" w:w="100"/>
              <w:left w:type="dxa" w:w="160"/>
              <w:bottom w:type="dxa" w:w="100"/>
              <w:right w:type="dxa" w:w="160"/>
            </w:tcMar>
          </w:tcPr>
          <w:p>
            <w:r>
              <w:rPr>
                <w:rFonts w:ascii="Arial" w:cs="Arial" w:eastAsia="Arial" w:hAnsi="Arial"/>
                <w:color w:val="000000"/>
                <w:sz w:val="20"/>
                <w:szCs w:val="20"/>
              </w:rPr>
              <w:t xml:space="preserve">Purpose: Computes the Weighted Average Cost of Capital — the discount rate used in DCF. Cost of Equity uses CAPM: Risk-Free Rate (7%, India 10Y G-Sec) + Beta × Equity Risk Premium (5.5% for India). Cost of Debt is set at 9% (typical for Indian investment-grade companies), reduced by (1 - tax rate) for the tax shield. Weights are by market value: Equity Weight = Market Cap / (Market Cap + Debt). WACC is the blended rate that reflects how much the company must earn to satisfy both equity and debt holders.</w:t>
            </w:r>
          </w:p>
        </w:tc>
      </w:tr>
    </w:tbl>
    <w:p/>
    <w:p>
      <w:pPr>
        <w:pStyle w:val="Heading3"/>
        <w:spacing w:before="200" w:after="80"/>
      </w:pPr>
      <w:r>
        <w:rPr>
          <w:rFonts w:ascii="Arial" w:cs="Arial" w:eastAsia="Arial" w:hAnsi="Arial"/>
          <w:b/>
          <w:bCs/>
          <w:color w:val="2E75B6"/>
          <w:sz w:val="24"/>
          <w:szCs w:val="24"/>
        </w:rPr>
        <w:t xml:space="preserve">project_fcff()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4"/>
              <w:left w:val="thick" w:color="1E5631" w:sz="12"/>
              <w:bottom w:val="single" w:color="1E5631" w:sz="4"/>
              <w:right w:val="single" w:color="1E5631" w:sz="4"/>
            </w:tcBorders>
            <w:shd w:fill="E2EFDA" w:val="clear"/>
            <w:tcMar>
              <w:top w:type="dxa" w:w="100"/>
              <w:left w:type="dxa" w:w="160"/>
              <w:bottom w:type="dxa" w:w="100"/>
              <w:right w:type="dxa" w:w="160"/>
            </w:tcMar>
          </w:tcPr>
          <w:p>
            <w:r>
              <w:rPr>
                <w:rFonts w:ascii="Arial" w:cs="Arial" w:eastAsia="Arial" w:hAnsi="Arial"/>
                <w:color w:val="000000"/>
                <w:sz w:val="20"/>
                <w:szCs w:val="20"/>
              </w:rPr>
              <w:t xml:space="preserve">Purpose: Projects 5 years of Free Cash Flow to Firm. Each year: Revenue = Previous Revenue × (1 + growth rate). EBITDA = Revenue × margin (with slight annual improvement). NOPAT = EBITDA × (1 - tax rate) approximates operating cash after tax. FCFF = NOPAT - Capex - Working Capital Change. The function accepts different growth/margin/capex assumptions, enabling the Bull/Base/Bear scenarios.</w:t>
            </w:r>
          </w:p>
        </w:tc>
      </w:tr>
    </w:tbl>
    <w:p/>
    <w:p>
      <w:pPr>
        <w:pStyle w:val="Heading3"/>
        <w:spacing w:before="200" w:after="80"/>
      </w:pPr>
      <w:r>
        <w:rPr>
          <w:rFonts w:ascii="Arial" w:cs="Arial" w:eastAsia="Arial" w:hAnsi="Arial"/>
          <w:b/>
          <w:bCs/>
          <w:color w:val="2E75B6"/>
          <w:sz w:val="24"/>
          <w:szCs w:val="24"/>
        </w:rPr>
        <w:t xml:space="preserve">dcf_valuation()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thick" w:color="F39C12" w:sz="12"/>
              <w:bottom w:val="single" w:color="F39C12" w:sz="4"/>
              <w:right w:val="single" w:color="F39C12" w:sz="4"/>
            </w:tcBorders>
            <w:shd w:fill="FFF3CD" w:val="clear"/>
            <w:tcMar>
              <w:top w:type="dxa" w:w="100"/>
              <w:left w:type="dxa" w:w="160"/>
              <w:bottom w:type="dxa" w:w="100"/>
              <w:right w:type="dxa" w:w="160"/>
            </w:tcMar>
          </w:tcPr>
          <w:p>
            <w:r>
              <w:rPr>
                <w:rFonts w:ascii="Arial" w:cs="Arial" w:eastAsia="Arial" w:hAnsi="Arial"/>
                <w:color w:val="000000"/>
                <w:sz w:val="20"/>
                <w:szCs w:val="20"/>
              </w:rPr>
              <w:t xml:space="preserve">Purpose: Discounts the projected FCFFs and computes intrinsic value. PV of each FCFF = FCFF_year / (1 + WACC)^year. Terminal Value = FCFF_year5 × (1 + terminal_growth) / (WACC - terminal_growth) — the Gordon Growth Model assumes the company grows at terminal_growth rate forever after year 5. Enterprise Value = Sum of PV(FCFFs) + PV(Terminal Value). Equity Value = EV - Total Debt + Cash. Intrinsic Value per Share = Equity Value / Shares Outstanding. The NaN-safety fix ensures that when Cash is unavailable (NaN from scraping), it defaults to 0 rather than making the entire calculation NaN.</w:t>
            </w:r>
          </w:p>
        </w:tc>
      </w:tr>
    </w:tbl>
    <w:p/>
    <w:p>
      <w:pPr>
        <w:pStyle w:val="Heading3"/>
        <w:spacing w:before="200" w:after="80"/>
      </w:pPr>
      <w:r>
        <w:rPr>
          <w:rFonts w:ascii="Arial" w:cs="Arial" w:eastAsia="Arial" w:hAnsi="Arial"/>
          <w:b/>
          <w:bCs/>
          <w:color w:val="2E75B6"/>
          <w:sz w:val="24"/>
          <w:szCs w:val="24"/>
        </w:rPr>
        <w:t xml:space="preserve">run_monte_carlo()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thick" w:color="F39C12" w:sz="12"/>
              <w:bottom w:val="single" w:color="F39C12" w:sz="4"/>
              <w:right w:val="single" w:color="F39C12" w:sz="4"/>
            </w:tcBorders>
            <w:shd w:fill="FFF3CD" w:val="clear"/>
            <w:tcMar>
              <w:top w:type="dxa" w:w="100"/>
              <w:left w:type="dxa" w:w="160"/>
              <w:bottom w:type="dxa" w:w="100"/>
              <w:right w:type="dxa" w:w="160"/>
            </w:tcMar>
          </w:tcPr>
          <w:p>
            <w:r>
              <w:rPr>
                <w:rFonts w:ascii="Arial" w:cs="Arial" w:eastAsia="Arial" w:hAnsi="Arial"/>
                <w:color w:val="000000"/>
                <w:sz w:val="20"/>
                <w:szCs w:val="20"/>
              </w:rPr>
              <w:t xml:space="preserve">Purpose: Quantifies valuation uncertainty through simulation. Runs 10,000 independent DCF valuations with randomly sampled inputs using np.random.normal(mean, std). Revenue growth is sampled ±5% around base, WACC ±1.5%, terminal growth ±1%. Each iteration produces an intrinsic value. The output distribution (P10 to P90) tells investors: in the best 10% of scenarios, the stock is worth ₹X; in the worst 10%, ₹Y. The probability of undervaluation is the fraction of simulations where IV &gt; CMP.</w:t>
            </w:r>
          </w:p>
        </w:tc>
      </w:tr>
    </w:tbl>
    <w:p/>
    <w:p>
      <w:pPr>
        <w:pStyle w:val="Heading3"/>
        <w:spacing w:before="200" w:after="80"/>
      </w:pPr>
      <w:r>
        <w:rPr>
          <w:rFonts w:ascii="Arial" w:cs="Arial" w:eastAsia="Arial" w:hAnsi="Arial"/>
          <w:b/>
          <w:bCs/>
          <w:color w:val="2E75B6"/>
          <w:sz w:val="24"/>
          <w:szCs w:val="24"/>
        </w:rPr>
        <w:t xml:space="preserve">run_sensitivity()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4"/>
              <w:left w:val="thick" w:color="1E5631" w:sz="12"/>
              <w:bottom w:val="single" w:color="1E5631" w:sz="4"/>
              <w:right w:val="single" w:color="1E5631" w:sz="4"/>
            </w:tcBorders>
            <w:shd w:fill="E2EFDA" w:val="clear"/>
            <w:tcMar>
              <w:top w:type="dxa" w:w="100"/>
              <w:left w:type="dxa" w:w="160"/>
              <w:bottom w:type="dxa" w:w="100"/>
              <w:right w:type="dxa" w:w="160"/>
            </w:tcMar>
          </w:tcPr>
          <w:p>
            <w:r>
              <w:rPr>
                <w:rFonts w:ascii="Arial" w:cs="Arial" w:eastAsia="Arial" w:hAnsi="Arial"/>
                <w:color w:val="000000"/>
                <w:sz w:val="20"/>
                <w:szCs w:val="20"/>
              </w:rPr>
              <w:t xml:space="preserve">Purpose: Identifies which assumptions matter most to the valuation. Varies each input (revenue growth, WACC, terminal growth, capex %, tax rate, margin delta) by ±1 standard deviation while holding others constant. Measures the resulting change in intrinsic value. Sorts results by impact magnitude for the tornado chart. This tells the investor: 'WACC uncertainty drives ±₹200 of my valuation, but capex uncertainty only drives ±₹50.'</w:t>
            </w:r>
          </w:p>
        </w:tc>
      </w:tr>
    </w:tbl>
    <w:p/>
    <w:p>
      <w:pPr>
        <w:pStyle w:val="Heading2"/>
        <w:pBdr>
          <w:bottom w:val="single" w:color="2E75B6" w:sz="6"/>
        </w:pBdr>
        <w:spacing w:before="280" w:after="120"/>
      </w:pPr>
      <w:r>
        <w:rPr>
          <w:rFonts w:ascii="Arial" w:cs="Arial" w:eastAsia="Arial" w:hAnsi="Arial"/>
          <w:b/>
          <w:bCs/>
          <w:color w:val="1B4F8A"/>
          <w:sz w:val="28"/>
          <w:szCs w:val="28"/>
        </w:rPr>
        <w:t xml:space="preserve">3.5 app.py — Streamlit Web Interface</w:t>
      </w:r>
    </w:p>
    <w:p>
      <w:pPr>
        <w:spacing w:before="80" w:after="80"/>
        <w:jc w:val="left"/>
      </w:pPr>
      <w:r>
        <w:rPr>
          <w:rFonts w:ascii="Arial" w:cs="Arial" w:eastAsia="Arial" w:hAnsi="Arial"/>
          <w:b w:val="false"/>
          <w:bCs w:val="false"/>
          <w:i w:val="false"/>
          <w:iCs w:val="false"/>
          <w:color w:val="000000"/>
          <w:sz w:val="22"/>
          <w:szCs w:val="22"/>
        </w:rPr>
        <w:t xml:space="preserve">The main orchestration layer. Handles user input, triggers all backend modules, and renders results across 8 tabs.</w:t>
      </w:r>
    </w:p>
    <w:p/>
    <w:p>
      <w:pPr>
        <w:pStyle w:val="Heading3"/>
        <w:spacing w:before="200" w:after="80"/>
      </w:pPr>
      <w:r>
        <w:rPr>
          <w:rFonts w:ascii="Arial" w:cs="Arial" w:eastAsia="Arial" w:hAnsi="Arial"/>
          <w:b/>
          <w:bCs/>
          <w:color w:val="2E75B6"/>
          <w:sz w:val="24"/>
          <w:szCs w:val="24"/>
        </w:rPr>
        <w:t xml:space="preserve">Page config &amp; CSS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8FF" w:val="clear"/>
            <w:tcMar>
              <w:top w:type="dxa" w:w="100"/>
              <w:left w:type="dxa" w:w="160"/>
              <w:bottom w:type="dxa" w:w="100"/>
              <w:right w:type="dxa" w:w="160"/>
            </w:tcMar>
          </w:tcPr>
          <w:p>
            <w:r>
              <w:rPr>
                <w:rFonts w:ascii="Arial" w:cs="Arial" w:eastAsia="Arial" w:hAnsi="Arial"/>
                <w:color w:val="000000"/>
                <w:sz w:val="20"/>
                <w:szCs w:val="20"/>
              </w:rPr>
              <w:t xml:space="preserve">Purpose: st.set_page_config() must be the very first Streamlit call — sets the browser tab title, icon, and wide layout. The st.markdown(CSS) block injects custom CSS into the page to override Streamlit's default styling. It sets the dark background (#0A0F1E), custom tab colors, metric card borders, download button styles, flag card classes (.flag-high, .flag-medium, .flag-ok), and signal badge classes (.signal-buy, .signal-sell, .signal-hold).</w:t>
            </w:r>
          </w:p>
        </w:tc>
      </w:tr>
    </w:tbl>
    <w:p/>
    <w:p>
      <w:pPr>
        <w:pStyle w:val="Heading3"/>
        <w:spacing w:before="200" w:after="80"/>
      </w:pPr>
      <w:r>
        <w:rPr>
          <w:rFonts w:ascii="Arial" w:cs="Arial" w:eastAsia="Arial" w:hAnsi="Arial"/>
          <w:b/>
          <w:bCs/>
          <w:color w:val="2E75B6"/>
          <w:sz w:val="24"/>
          <w:szCs w:val="24"/>
        </w:rPr>
        <w:t xml:space="preserve">Helper functions: fmt(), H(), chart_hint(), plotly(), sec(),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8FF" w:val="clear"/>
            <w:tcMar>
              <w:top w:type="dxa" w:w="100"/>
              <w:left w:type="dxa" w:w="160"/>
              <w:bottom w:type="dxa" w:w="100"/>
              <w:right w:type="dxa" w:w="160"/>
            </w:tcMar>
          </w:tcPr>
          <w:p>
            <w:r>
              <w:rPr>
                <w:rFonts w:ascii="Arial" w:cs="Arial" w:eastAsia="Arial" w:hAnsi="Arial"/>
                <w:color w:val="000000"/>
                <w:sz w:val="20"/>
                <w:szCs w:val="20"/>
              </w:rPr>
              <w:t xml:space="preserve">Purpose: Six utility functions that keep the tab code clean. fmt() formats numbers with prefix/suffix/decimals safely handling NaN. H() builds HTML strings with double-quoted attributes (critical to avoid Streamlit's markdown parser breaking on single-quoted attributes). chart_hint() renders the fullscreen/zoom tip below every chart. plotly() wraps st.plotly_chart() + chart_hint() in one call. sec() renders section headers. card() wraps content in a styled div.</w:t>
            </w:r>
          </w:p>
        </w:tc>
      </w:tr>
    </w:tbl>
    <w:p/>
    <w:p>
      <w:pPr>
        <w:pStyle w:val="Heading3"/>
        <w:spacing w:before="200" w:after="80"/>
      </w:pPr>
      <w:r>
        <w:rPr>
          <w:rFonts w:ascii="Arial" w:cs="Arial" w:eastAsia="Arial" w:hAnsi="Arial"/>
          <w:b/>
          <w:bCs/>
          <w:color w:val="2E75B6"/>
          <w:sz w:val="24"/>
          <w:szCs w:val="24"/>
        </w:rPr>
        <w:t xml:space="preserve">Report generation block (try/except)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4"/>
              <w:left w:val="thick" w:color="1E5631" w:sz="12"/>
              <w:bottom w:val="single" w:color="1E5631" w:sz="4"/>
              <w:right w:val="single" w:color="1E5631" w:sz="4"/>
            </w:tcBorders>
            <w:shd w:fill="E2EFDA" w:val="clear"/>
            <w:tcMar>
              <w:top w:type="dxa" w:w="100"/>
              <w:left w:type="dxa" w:w="160"/>
              <w:bottom w:type="dxa" w:w="100"/>
              <w:right w:type="dxa" w:w="160"/>
            </w:tcMar>
          </w:tcPr>
          <w:p>
            <w:r>
              <w:rPr>
                <w:rFonts w:ascii="Arial" w:cs="Arial" w:eastAsia="Arial" w:hAnsi="Arial"/>
                <w:color w:val="000000"/>
                <w:sz w:val="20"/>
                <w:szCs w:val="20"/>
              </w:rPr>
              <w:t xml:space="preserve">Purpose: The main execution pipeline. Wrapped in try/except so any error (network failure, invalid ticker, parsing issue) shows a user-friendly error message instead of a crash. Calls each module in order: fetch_screener_data → calculate_ratios → detect_red_flags → fetch_peer_data → run_three_scenarios → run_monte_carlo → run_sensitivity → generate_pdf → export_excel. A progress bar (st.progress) updates after each step with descriptive text.</w:t>
            </w:r>
          </w:p>
        </w:tc>
      </w:tr>
    </w:tbl>
    <w:p/>
    <w:p>
      <w:pPr>
        <w:pStyle w:val="Heading3"/>
        <w:spacing w:before="200" w:after="80"/>
      </w:pPr>
      <w:r>
        <w:rPr>
          <w:rFonts w:ascii="Arial" w:cs="Arial" w:eastAsia="Arial" w:hAnsi="Arial"/>
          <w:b/>
          <w:bCs/>
          <w:color w:val="2E75B6"/>
          <w:sz w:val="24"/>
          <w:szCs w:val="24"/>
        </w:rPr>
        <w:t xml:space="preserve">Tab 1 — Financials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thick" w:color="F39C12" w:sz="12"/>
              <w:bottom w:val="single" w:color="F39C12" w:sz="4"/>
              <w:right w:val="single" w:color="F39C12" w:sz="4"/>
            </w:tcBorders>
            <w:shd w:fill="FFF3CD" w:val="clear"/>
            <w:tcMar>
              <w:top w:type="dxa" w:w="100"/>
              <w:left w:type="dxa" w:w="160"/>
              <w:bottom w:type="dxa" w:w="100"/>
              <w:right w:type="dxa" w:w="160"/>
            </w:tcMar>
          </w:tcPr>
          <w:p>
            <w:r>
              <w:rPr>
                <w:rFonts w:ascii="Arial" w:cs="Arial" w:eastAsia="Arial" w:hAnsi="Arial"/>
                <w:color w:val="000000"/>
                <w:sz w:val="20"/>
                <w:szCs w:val="20"/>
              </w:rPr>
              <w:t xml:space="preserve">Purpose: Displays the 5-year P&amp;L summary table (Revenue, EBITDA, PAT, EPS), financial trend bar chart, CAGR metrics, capital structure chart, and raw statement expanders. The applymap lambda converts float values to formatted strings (e.g. '902,488.0') with NaN shown as '—'. Raw P&amp;L and Balance Sheet data are in collapsible st.expander() blocks.</w:t>
            </w:r>
          </w:p>
        </w:tc>
      </w:tr>
    </w:tbl>
    <w:p/>
    <w:p>
      <w:pPr>
        <w:pStyle w:val="Heading3"/>
        <w:spacing w:before="200" w:after="80"/>
      </w:pPr>
      <w:r>
        <w:rPr>
          <w:rFonts w:ascii="Arial" w:cs="Arial" w:eastAsia="Arial" w:hAnsi="Arial"/>
          <w:b/>
          <w:bCs/>
          <w:color w:val="2E75B6"/>
          <w:sz w:val="24"/>
          <w:szCs w:val="24"/>
        </w:rPr>
        <w:t xml:space="preserve">Tab 2 —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thick" w:color="F39C12" w:sz="12"/>
              <w:bottom w:val="single" w:color="F39C12" w:sz="4"/>
              <w:right w:val="single" w:color="F39C12" w:sz="4"/>
            </w:tcBorders>
            <w:shd w:fill="FFF3CD" w:val="clear"/>
            <w:tcMar>
              <w:top w:type="dxa" w:w="100"/>
              <w:left w:type="dxa" w:w="160"/>
              <w:bottom w:type="dxa" w:w="100"/>
              <w:right w:type="dxa" w:w="160"/>
            </w:tcMar>
          </w:tcPr>
          <w:p>
            <w:r>
              <w:rPr>
                <w:rFonts w:ascii="Arial" w:cs="Arial" w:eastAsia="Arial" w:hAnsi="Arial"/>
                <w:color w:val="000000"/>
                <w:sz w:val="20"/>
                <w:szCs w:val="20"/>
              </w:rPr>
              <w:t xml:space="preserve">Purpose: Shows a 6-metric quick-view row (latest values for key ratios), then a full 14-ratio DataFrame across all 5 years. The ratio table is built by constructing a dict of lists and creating a DataFrame with years as rows and ratio names as columns, then transposing. The margins chart shows 4 profitability/return metrics as trend lines.</w:t>
            </w:r>
          </w:p>
        </w:tc>
      </w:tr>
    </w:tbl>
    <w:p/>
    <w:p>
      <w:pPr>
        <w:pStyle w:val="Heading3"/>
        <w:spacing w:before="200" w:after="80"/>
      </w:pPr>
      <w:r>
        <w:rPr>
          <w:rFonts w:ascii="Arial" w:cs="Arial" w:eastAsia="Arial" w:hAnsi="Arial"/>
          <w:b/>
          <w:bCs/>
          <w:color w:val="2E75B6"/>
          <w:sz w:val="24"/>
          <w:szCs w:val="24"/>
        </w:rPr>
        <w:t xml:space="preserve">Tab 3 — Cash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thick" w:color="F39C12" w:sz="12"/>
              <w:bottom w:val="single" w:color="F39C12" w:sz="4"/>
              <w:right w:val="single" w:color="F39C12" w:sz="4"/>
            </w:tcBorders>
            <w:shd w:fill="FFF3CD" w:val="clear"/>
            <w:tcMar>
              <w:top w:type="dxa" w:w="100"/>
              <w:left w:type="dxa" w:w="160"/>
              <w:bottom w:type="dxa" w:w="100"/>
              <w:right w:type="dxa" w:w="160"/>
            </w:tcMar>
          </w:tcPr>
          <w:p>
            <w:r>
              <w:rPr>
                <w:rFonts w:ascii="Arial" w:cs="Arial" w:eastAsia="Arial" w:hAnsi="Arial"/>
                <w:color w:val="000000"/>
                <w:sz w:val="20"/>
                <w:szCs w:val="20"/>
              </w:rPr>
              <w:t xml:space="preserve">Purpose: Displays latest CFO/CFI/CFF/FCF as metric cards, the cash flow trend chart (bars + FCF line), and a summary table including the CFO/PAT ratio. The CFO/PAT ratio is computed inline with error handling for division by zero and NaN values. The raw cash flow statement is shown in a collapsible expander.</w:t>
            </w:r>
          </w:p>
        </w:tc>
      </w:tr>
    </w:tbl>
    <w:p/>
    <w:p>
      <w:pPr>
        <w:pStyle w:val="Heading3"/>
        <w:spacing w:before="200" w:after="80"/>
      </w:pPr>
      <w:r>
        <w:rPr>
          <w:rFonts w:ascii="Arial" w:cs="Arial" w:eastAsia="Arial" w:hAnsi="Arial"/>
          <w:b/>
          <w:bCs/>
          <w:color w:val="2E75B6"/>
          <w:sz w:val="24"/>
          <w:szCs w:val="24"/>
        </w:rPr>
        <w:t xml:space="preserve">Tab 4 — Red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00000" w:sz="4"/>
            </w:tcBorders>
            <w:shd w:fill="FCE4D6" w:val="clear"/>
            <w:tcMar>
              <w:top w:type="dxa" w:w="100"/>
              <w:left w:type="dxa" w:w="160"/>
              <w:bottom w:type="dxa" w:w="100"/>
              <w:right w:type="dxa" w:w="160"/>
            </w:tcMar>
          </w:tcPr>
          <w:p>
            <w:r>
              <w:rPr>
                <w:rFonts w:ascii="Arial" w:cs="Arial" w:eastAsia="Arial" w:hAnsi="Arial"/>
                <w:color w:val="000000"/>
                <w:sz w:val="20"/>
                <w:szCs w:val="20"/>
              </w:rPr>
              <w:t xml:space="preserve">Purpose: Renders three summary badge cards (count of High/Medium/Passed checks), then iterates over all 10 flags rendering each as a colored card div. High severity flags use .flag-high CSS class (red border), medium use .flag-medium (amber), passed use .flag-ok (green). Each card shows the check name, data detail (e.g. 'D/E = 0.40x'), and an educational description of why that metric matters.</w:t>
            </w:r>
          </w:p>
        </w:tc>
      </w:tr>
    </w:tbl>
    <w:p/>
    <w:p>
      <w:pPr>
        <w:pStyle w:val="Heading3"/>
        <w:spacing w:before="200" w:after="80"/>
      </w:pPr>
      <w:r>
        <w:rPr>
          <w:rFonts w:ascii="Arial" w:cs="Arial" w:eastAsia="Arial" w:hAnsi="Arial"/>
          <w:b/>
          <w:bCs/>
          <w:color w:val="2E75B6"/>
          <w:sz w:val="24"/>
          <w:szCs w:val="24"/>
        </w:rPr>
        <w:t xml:space="preserve">Tab 5 — DuPont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thick" w:color="F39C12" w:sz="12"/>
              <w:bottom w:val="single" w:color="F39C12" w:sz="4"/>
              <w:right w:val="single" w:color="F39C12" w:sz="4"/>
            </w:tcBorders>
            <w:shd w:fill="FFF3CD" w:val="clear"/>
            <w:tcMar>
              <w:top w:type="dxa" w:w="100"/>
              <w:left w:type="dxa" w:w="160"/>
              <w:bottom w:type="dxa" w:w="100"/>
              <w:right w:type="dxa" w:w="160"/>
            </w:tcMar>
          </w:tcPr>
          <w:p>
            <w:r>
              <w:rPr>
                <w:rFonts w:ascii="Arial" w:cs="Arial" w:eastAsia="Arial" w:hAnsi="Arial"/>
                <w:color w:val="000000"/>
                <w:sz w:val="20"/>
                <w:szCs w:val="20"/>
              </w:rPr>
              <w:t xml:space="preserve">Purpose: Shows the 3-step DuPont decomposition table (Net Margin, Asset Turnover, Equity Multiplier, DuPont ROE) across 5 years, the dual-axis DuPont chart, and an auto-generated text interpretation explaining what the latest year's numbers mean in plain English.</w:t>
            </w:r>
          </w:p>
        </w:tc>
      </w:tr>
    </w:tbl>
    <w:p/>
    <w:p>
      <w:pPr>
        <w:pStyle w:val="Heading3"/>
        <w:spacing w:before="200" w:after="80"/>
      </w:pPr>
      <w:r>
        <w:rPr>
          <w:rFonts w:ascii="Arial" w:cs="Arial" w:eastAsia="Arial" w:hAnsi="Arial"/>
          <w:b/>
          <w:bCs/>
          <w:color w:val="2E75B6"/>
          <w:sz w:val="24"/>
          <w:szCs w:val="24"/>
        </w:rPr>
        <w:t xml:space="preserve">Tab 6 — Peers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8FF" w:val="clear"/>
            <w:tcMar>
              <w:top w:type="dxa" w:w="100"/>
              <w:left w:type="dxa" w:w="160"/>
              <w:bottom w:type="dxa" w:w="100"/>
              <w:right w:type="dxa" w:w="160"/>
            </w:tcMar>
          </w:tcPr>
          <w:p>
            <w:r>
              <w:rPr>
                <w:rFonts w:ascii="Arial" w:cs="Arial" w:eastAsia="Arial" w:hAnsi="Arial"/>
                <w:color w:val="000000"/>
                <w:sz w:val="20"/>
                <w:szCs w:val="20"/>
              </w:rPr>
              <w:t xml:space="preserve">Purpose: Displays the peer comparison DataFrame using Pandas Styler (df.style.apply()) to color-code rows — the target company row is highlighted in blue (#1B3A5C), the Industry Median row in green (#1A3326). The _is_target column (True/False/None) drives this coloring. The radar chart visually shows the target vs peers on 4 key metrics. If peer fetching is disabled or fails, an info/warning message is shown instead.</w:t>
            </w:r>
          </w:p>
        </w:tc>
      </w:tr>
    </w:tbl>
    <w:p/>
    <w:p>
      <w:pPr>
        <w:pStyle w:val="Heading3"/>
        <w:spacing w:before="200" w:after="80"/>
      </w:pPr>
      <w:r>
        <w:rPr>
          <w:rFonts w:ascii="Arial" w:cs="Arial" w:eastAsia="Arial" w:hAnsi="Arial"/>
          <w:b/>
          <w:bCs/>
          <w:color w:val="2E75B6"/>
          <w:sz w:val="24"/>
          <w:szCs w:val="24"/>
        </w:rPr>
        <w:t xml:space="preserve">Tab 7 — DCF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4"/>
              <w:left w:val="thick" w:color="1E5631" w:sz="12"/>
              <w:bottom w:val="single" w:color="1E5631" w:sz="4"/>
              <w:right w:val="single" w:color="1E5631" w:sz="4"/>
            </w:tcBorders>
            <w:shd w:fill="E2EFDA" w:val="clear"/>
            <w:tcMar>
              <w:top w:type="dxa" w:w="100"/>
              <w:left w:type="dxa" w:w="160"/>
              <w:bottom w:type="dxa" w:w="100"/>
              <w:right w:type="dxa" w:w="160"/>
            </w:tcMar>
          </w:tcPr>
          <w:p>
            <w:r>
              <w:rPr>
                <w:rFonts w:ascii="Arial" w:cs="Arial" w:eastAsia="Arial" w:hAnsi="Arial"/>
                <w:color w:val="000000"/>
                <w:sz w:val="20"/>
                <w:szCs w:val="20"/>
              </w:rPr>
              <w:t xml:space="preserve">Purpose: Shows the Buy/Hold/Sell signal badge, base case intrinsic value, upside %, and WACC. Then the WACC breakdown in an expander. Scenario comparison chart. Three-column FCFF projection tables (Bear/Base/Bull). DCF waterfall chart. Tornado chart + sensitivity table. All DCF content is inside 'if dcf_result is not None' guard so the tab gracefully shows an info message if DCF was disabled.</w:t>
            </w:r>
          </w:p>
        </w:tc>
      </w:tr>
    </w:tbl>
    <w:p/>
    <w:p>
      <w:pPr>
        <w:pStyle w:val="Heading3"/>
        <w:spacing w:before="200" w:after="80"/>
      </w:pPr>
      <w:r>
        <w:rPr>
          <w:rFonts w:ascii="Arial" w:cs="Arial" w:eastAsia="Arial" w:hAnsi="Arial"/>
          <w:b/>
          <w:bCs/>
          <w:color w:val="2E75B6"/>
          <w:sz w:val="24"/>
          <w:szCs w:val="24"/>
        </w:rPr>
        <w:t xml:space="preserve">Tab 8 — Monte 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thick" w:color="F39C12" w:sz="12"/>
              <w:bottom w:val="single" w:color="F39C12" w:sz="4"/>
              <w:right w:val="single" w:color="F39C12" w:sz="4"/>
            </w:tcBorders>
            <w:shd w:fill="FFF3CD" w:val="clear"/>
            <w:tcMar>
              <w:top w:type="dxa" w:w="100"/>
              <w:left w:type="dxa" w:w="160"/>
              <w:bottom w:type="dxa" w:w="100"/>
              <w:right w:type="dxa" w:w="160"/>
            </w:tcMar>
          </w:tcPr>
          <w:p>
            <w:r>
              <w:rPr>
                <w:rFonts w:ascii="Arial" w:cs="Arial" w:eastAsia="Arial" w:hAnsi="Arial"/>
                <w:color w:val="000000"/>
                <w:sz w:val="20"/>
                <w:szCs w:val="20"/>
              </w:rPr>
              <w:t xml:space="preserve">Purpose: Shows 6 distribution metrics (Mean, Median, P10, P25, P75, P90), a highlighted probability-of-undervaluation stat, the Monte Carlo histogram with vertical marker lines, and a percentile summary table. All content is guarded against mc_result being None or containing an error key.</w:t>
            </w:r>
          </w:p>
        </w:tc>
      </w:tr>
    </w:tbl>
    <w:p>
      <w:r>
        <w:br w:type="page"/>
      </w:r>
    </w:p>
    <w:p>
      <w:pPr>
        <w:pStyle w:val="Heading1"/>
        <w:shd w:fill="1B4F8A" w:val="clear"/>
        <w:spacing w:before="320" w:after="160"/>
        <w:ind w:left="200" w:right="200"/>
      </w:pPr>
      <w:r>
        <w:rPr>
          <w:rFonts w:ascii="Arial" w:cs="Arial" w:eastAsia="Arial" w:hAnsi="Arial"/>
          <w:b/>
          <w:bCs/>
          <w:color w:val="FFFFFF"/>
          <w:sz w:val="36"/>
          <w:szCs w:val="36"/>
        </w:rPr>
        <w:t xml:space="preserve">4. Complete Data Flow</w:t>
      </w:r>
    </w:p>
    <w:p>
      <w:pPr>
        <w:pStyle w:val="Heading2"/>
        <w:pBdr>
          <w:bottom w:val="single" w:color="2E75B6" w:sz="6"/>
        </w:pBdr>
        <w:spacing w:before="280" w:after="120"/>
      </w:pPr>
      <w:r>
        <w:rPr>
          <w:rFonts w:ascii="Arial" w:cs="Arial" w:eastAsia="Arial" w:hAnsi="Arial"/>
          <w:b/>
          <w:bCs/>
          <w:color w:val="1B4F8A"/>
          <w:sz w:val="28"/>
          <w:szCs w:val="28"/>
        </w:rPr>
        <w:t xml:space="preserve">4.1 End-to-End Pipeline</w:t>
      </w:r>
    </w:p>
    <w:p>
      <w:pPr>
        <w:spacing w:before="80" w:after="80"/>
        <w:jc w:val="left"/>
      </w:pPr>
      <w:r>
        <w:rPr>
          <w:rFonts w:ascii="Arial" w:cs="Arial" w:eastAsia="Arial" w:hAnsi="Arial"/>
          <w:b w:val="false"/>
          <w:bCs w:val="false"/>
          <w:i w:val="false"/>
          <w:iCs w:val="false"/>
          <w:color w:val="000000"/>
          <w:sz w:val="22"/>
          <w:szCs w:val="22"/>
        </w:rPr>
        <w:t xml:space="preserve">When a user enters a ticker and clicks Generate Report, the following pipeline executes: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scraper.py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 GET to Screener.in → BeautifulSoup parses HTML → extracts P&amp;L, BS, CF tables + top ratios + peers</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ratios.py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extract_series() pulls each metric → NumPy vectorized calculations → returns ~40 time-series lists</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red_flags.py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independent checks on the ratio data → returns list of flag dicts with triggered/severity/detail</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scraper.py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Fetch data for up to 5 peer tickers with delay → build_peer_comparison() adds median row</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dcf.py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calculate_wacc() → project_fcff() × 3 scenarios → dcf_valuation() → BUY/HOLD/SELL signal</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dcf.py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 Monte Carlo iterations with np.random.normal() → intrinsic value distribution</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dcf.py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Sensitivity: vary each assumption ±1σ → measure IV impact → sort for tornado chart</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report_pdf.py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ReportLab builds 2-page PDF with embedded Matplotlib charts → returns bytes</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excel_export.py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OpenPyXL creates 8-sheet workbook with formatting → returns bytes</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Streamlit renders all results across 8 tabs + serves PDF/Excel via download buttons</w:t>
            </w:r>
          </w:p>
        </w:tc>
      </w:tr>
    </w:tbl>
    <w:p/>
    <w:p>
      <w:pPr>
        <w:pStyle w:val="Heading2"/>
        <w:pBdr>
          <w:bottom w:val="single" w:color="2E75B6" w:sz="6"/>
        </w:pBdr>
        <w:spacing w:before="280" w:after="120"/>
      </w:pPr>
      <w:r>
        <w:rPr>
          <w:rFonts w:ascii="Arial" w:cs="Arial" w:eastAsia="Arial" w:hAnsi="Arial"/>
          <w:b/>
          <w:bCs/>
          <w:color w:val="1B4F8A"/>
          <w:sz w:val="28"/>
          <w:szCs w:val="28"/>
        </w:rPr>
        <w:t xml:space="preserve">4.2 Key Bug Fixes Applied</w:t>
      </w:r>
    </w:p>
    <w:p>
      <w:pPr>
        <w:spacing w:before="80" w:after="80"/>
        <w:jc w:val="left"/>
      </w:pPr>
      <w:r>
        <w:rPr>
          <w:rFonts w:ascii="Arial" w:cs="Arial" w:eastAsia="Arial" w:hAnsi="Arial"/>
          <w:b w:val="false"/>
          <w:bCs w:val="false"/>
          <w:i w:val="false"/>
          <w:iCs w:val="false"/>
          <w:color w:val="000000"/>
          <w:sz w:val="22"/>
          <w:szCs w:val="22"/>
        </w:rPr>
        <w:t xml:space="preserve">Several critical bugs were identified and fixed during development: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Bug</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Root Cause</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Fix Applied</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Revenue &amp; PAT showed as empty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Regex pattern 'Sales$' never matched 'Sales +' (trailing space+plus)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Changed to '^Sales' (starts-with match, no end anchor)</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Debt/Equity showing 43x instead of 0.4x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Equity extraction only got 'Equity Capital' (₹6,339Cr) not 'Reserves' (₹395,743Cr)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Sum both rows: equity = equity_capital + reserves</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DCF all NaN, Monte Carlo failed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cash = NaN, and NaN or 0 returns NaN (NaN is truthy in Python)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Explicit check: 0 if np.isnan(cash) else cash</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tabs blank after app.py edits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style='...' single-quotes inside st.markdown() treated as Markdown syntax by Streamlit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rewrite using style="..." double-quotes with single-quoted Python string outer delimiters</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Raw table shows DeltaGenerator object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Ternary expression st.dataframe() if x else returns DeltaGenerator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Replace with proper if/else block statement</w:t>
            </w:r>
          </w:p>
        </w:tc>
      </w:tr>
    </w:tbl>
    <w:p>
      <w:r>
        <w:br w:type="page"/>
      </w:r>
    </w:p>
    <w:p>
      <w:pPr>
        <w:pStyle w:val="Heading1"/>
        <w:shd w:fill="1B4F8A" w:val="clear"/>
        <w:spacing w:before="320" w:after="160"/>
        <w:ind w:left="200" w:right="200"/>
      </w:pPr>
      <w:r>
        <w:rPr>
          <w:rFonts w:ascii="Arial" w:cs="Arial" w:eastAsia="Arial" w:hAnsi="Arial"/>
          <w:b/>
          <w:bCs/>
          <w:color w:val="FFFFFF"/>
          <w:sz w:val="36"/>
          <w:szCs w:val="36"/>
        </w:rPr>
        <w:t xml:space="preserve">5. UI Design Decisions</w:t>
      </w:r>
    </w:p>
    <w:p>
      <w:pPr>
        <w:pStyle w:val="Heading2"/>
        <w:pBdr>
          <w:bottom w:val="single" w:color="2E75B6" w:sz="6"/>
        </w:pBdr>
        <w:spacing w:before="280" w:after="120"/>
      </w:pPr>
      <w:r>
        <w:rPr>
          <w:rFonts w:ascii="Arial" w:cs="Arial" w:eastAsia="Arial" w:hAnsi="Arial"/>
          <w:b/>
          <w:bCs/>
          <w:color w:val="1B4F8A"/>
          <w:sz w:val="28"/>
          <w:szCs w:val="28"/>
        </w:rPr>
        <w:t xml:space="preserve">5.1 Dark Theme</w:t>
      </w:r>
    </w:p>
    <w:p>
      <w:pPr>
        <w:spacing w:before="80" w:after="80"/>
        <w:jc w:val="left"/>
      </w:pPr>
      <w:r>
        <w:rPr>
          <w:rFonts w:ascii="Arial" w:cs="Arial" w:eastAsia="Arial" w:hAnsi="Arial"/>
          <w:b w:val="false"/>
          <w:bCs w:val="false"/>
          <w:i w:val="false"/>
          <w:iCs w:val="false"/>
          <w:color w:val="000000"/>
          <w:sz w:val="22"/>
          <w:szCs w:val="22"/>
        </w:rPr>
        <w:t xml:space="preserve">The application uses a dark color scheme (#0A0F1E background) deliberately chosen to match professional financial terminal aesthetics (Bloomberg Terminal, TradingView). Dark themes reduce eye strain for long analysis sessions and make colorful chart data easier to read with higher contrast.</w:t>
      </w:r>
    </w:p>
    <w:p/>
    <w:p>
      <w:pPr>
        <w:pStyle w:val="Heading2"/>
        <w:pBdr>
          <w:bottom w:val="single" w:color="2E75B6" w:sz="6"/>
        </w:pBdr>
        <w:spacing w:before="280" w:after="120"/>
      </w:pPr>
      <w:r>
        <w:rPr>
          <w:rFonts w:ascii="Arial" w:cs="Arial" w:eastAsia="Arial" w:hAnsi="Arial"/>
          <w:b/>
          <w:bCs/>
          <w:color w:val="1B4F8A"/>
          <w:sz w:val="28"/>
          <w:szCs w:val="28"/>
        </w:rPr>
        <w:t xml:space="preserve">5.2 8-Tab Structure</w:t>
      </w:r>
    </w:p>
    <w:p>
      <w:pPr>
        <w:spacing w:before="80" w:after="80"/>
        <w:jc w:val="left"/>
      </w:pPr>
      <w:r>
        <w:rPr>
          <w:rFonts w:ascii="Arial" w:cs="Arial" w:eastAsia="Arial" w:hAnsi="Arial"/>
          <w:b w:val="false"/>
          <w:bCs w:val="false"/>
          <w:i w:val="false"/>
          <w:iCs w:val="false"/>
          <w:color w:val="000000"/>
          <w:sz w:val="22"/>
          <w:szCs w:val="22"/>
        </w:rPr>
        <w:t xml:space="preserve">The 8 tabs mirror the workflow of an actual equity research analyst:</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Financials — raw performance data first</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Ratios — derived metrics for quick assessment</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Cash Flow — quality of earnings check</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Red Flags — risk screening</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DuPont — deeper ROE analysis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Peers — relative valuation context</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DCF Valuation — absolute valuation</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Monte Carlo — uncertainty quantification</w:t>
      </w:r>
    </w:p>
    <w:p/>
    <w:p>
      <w:pPr>
        <w:pStyle w:val="Heading2"/>
        <w:pBdr>
          <w:bottom w:val="single" w:color="2E75B6" w:sz="6"/>
        </w:pBdr>
        <w:spacing w:before="280" w:after="120"/>
      </w:pPr>
      <w:r>
        <w:rPr>
          <w:rFonts w:ascii="Arial" w:cs="Arial" w:eastAsia="Arial" w:hAnsi="Arial"/>
          <w:b/>
          <w:bCs/>
          <w:color w:val="1B4F8A"/>
          <w:sz w:val="28"/>
          <w:szCs w:val="28"/>
        </w:rPr>
        <w:t xml:space="preserve">5.3 Sidebar Architecture</w:t>
      </w:r>
    </w:p>
    <w:p>
      <w:pPr>
        <w:spacing w:before="80" w:after="80"/>
        <w:jc w:val="left"/>
      </w:pPr>
      <w:r>
        <w:rPr>
          <w:rFonts w:ascii="Arial" w:cs="Arial" w:eastAsia="Arial" w:hAnsi="Arial"/>
          <w:b w:val="false"/>
          <w:bCs w:val="false"/>
          <w:i w:val="false"/>
          <w:iCs w:val="false"/>
          <w:color w:val="000000"/>
          <w:sz w:val="22"/>
          <w:szCs w:val="22"/>
        </w:rPr>
        <w:t xml:space="preserve">Placing all controls (ticker input, options, DCF assumptions) in the sidebar is a deliberate UX choice. The main content area stays uncluttered and fully devoted to data. The DCF assumption sliders in a collapsible expander allow advanced users to adjust inputs without overwhelming casual users.</w:t>
      </w:r>
    </w:p>
    <w:p/>
    <w:p>
      <w:pPr>
        <w:pStyle w:val="Heading2"/>
        <w:pBdr>
          <w:bottom w:val="single" w:color="2E75B6" w:sz="6"/>
        </w:pBdr>
        <w:spacing w:before="280" w:after="120"/>
      </w:pPr>
      <w:r>
        <w:rPr>
          <w:rFonts w:ascii="Arial" w:cs="Arial" w:eastAsia="Arial" w:hAnsi="Arial"/>
          <w:b/>
          <w:bCs/>
          <w:color w:val="1B4F8A"/>
          <w:sz w:val="28"/>
          <w:szCs w:val="28"/>
        </w:rPr>
        <w:t xml:space="preserve">5.4 Chart Interactivity Hint</w:t>
      </w:r>
    </w:p>
    <w:p>
      <w:pPr>
        <w:spacing w:before="80" w:after="80"/>
        <w:jc w:val="left"/>
      </w:pPr>
      <w:r>
        <w:rPr>
          <w:rFonts w:ascii="Arial" w:cs="Arial" w:eastAsia="Arial" w:hAnsi="Arial"/>
          <w:b w:val="false"/>
          <w:bCs w:val="false"/>
          <w:i w:val="false"/>
          <w:iCs w:val="false"/>
          <w:color w:val="000000"/>
          <w:sz w:val="22"/>
          <w:szCs w:val="22"/>
        </w:rPr>
        <w:t xml:space="preserve">The chart_hint() function adds a subtle tip below every chart: 'Click ⛶ for fullscreen | Use Pan &amp; Zoom to explore'. This is important because Plotly's toolbar is not immediately obvious to new users, and fullscreen mode significantly improves readability of detailed charts like the Monte Carlo histogram or tornado chart.</w:t>
      </w:r>
    </w:p>
    <w:p>
      <w:r>
        <w:br w:type="page"/>
      </w:r>
    </w:p>
    <w:p>
      <w:pPr>
        <w:pStyle w:val="Heading1"/>
        <w:shd w:fill="1B4F8A" w:val="clear"/>
        <w:spacing w:before="320" w:after="160"/>
        <w:ind w:left="200" w:right="200"/>
      </w:pPr>
      <w:r>
        <w:rPr>
          <w:rFonts w:ascii="Arial" w:cs="Arial" w:eastAsia="Arial" w:hAnsi="Arial"/>
          <w:b/>
          <w:bCs/>
          <w:color w:val="FFFFFF"/>
          <w:sz w:val="36"/>
          <w:szCs w:val="36"/>
        </w:rPr>
        <w:t xml:space="preserve">6. Complete Requirements &amp; Setup</w:t>
      </w:r>
    </w:p>
    <w:p>
      <w:pPr>
        <w:pStyle w:val="Heading2"/>
        <w:pBdr>
          <w:bottom w:val="single" w:color="2E75B6" w:sz="6"/>
        </w:pBdr>
        <w:spacing w:before="280" w:after="120"/>
      </w:pPr>
      <w:r>
        <w:rPr>
          <w:rFonts w:ascii="Arial" w:cs="Arial" w:eastAsia="Arial" w:hAnsi="Arial"/>
          <w:b/>
          <w:bCs/>
          <w:color w:val="1B4F8A"/>
          <w:sz w:val="28"/>
          <w:szCs w:val="28"/>
        </w:rPr>
        <w:t xml:space="preserve">6.1 requirements.txt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Library</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streamlit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&gt;=1.32.0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framework — entire UI layer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pandas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&gt;=2.0.0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DataFrame operations, table building, peer comparison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&gt;=1.24.0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Vectorized ratio calculations, Monte Carlo random sampling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&gt;=2.31.0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 GET requests to Screener.in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beautifulsoup4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&gt;=4.12.0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HTML parsing for table extraction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lxml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&gt;=4.9.0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 HTML parser backend for BeautifulSoup</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plotly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&gt;=5.18.0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interactive charts in the web UI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matplotlib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&gt;=3.7.0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Static charts embedded in the PDF report</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reportlab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&gt;=4.0.0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PDF generation with tables, images,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openpyxl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&gt;=3.1.0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 workbook creation with formatting</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scipy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&gt;=1.11.0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Statistical functions for Monte Carlo analysis</w:t>
            </w:r>
          </w:p>
        </w:tc>
      </w:tr>
    </w:tbl>
    <w:p/>
    <w:p>
      <w:pPr>
        <w:pStyle w:val="Heading2"/>
        <w:pBdr>
          <w:bottom w:val="single" w:color="2E75B6" w:sz="6"/>
        </w:pBdr>
        <w:spacing w:before="280" w:after="120"/>
      </w:pPr>
      <w:r>
        <w:rPr>
          <w:rFonts w:ascii="Arial" w:cs="Arial" w:eastAsia="Arial" w:hAnsi="Arial"/>
          <w:b/>
          <w:bCs/>
          <w:color w:val="1B4F8A"/>
          <w:sz w:val="28"/>
          <w:szCs w:val="28"/>
        </w:rPr>
        <w:t xml:space="preserve">6.2 Setup Instructions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Step 1 — Create project folder and place all 9 files inside it:</w:t>
      </w:r>
    </w:p>
    <w:p>
      <w:pPr>
        <w:spacing w:before="80" w:after="80"/>
        <w:ind w:left="720"/>
        <w:jc w:val="left"/>
      </w:pPr>
      <w:r>
        <w:rPr>
          <w:rFonts w:ascii="Arial" w:cs="Arial" w:eastAsia="Arial" w:hAnsi="Arial"/>
          <w:b w:val="false"/>
          <w:bCs w:val="false"/>
          <w:i w:val="false"/>
          <w:iCs w:val="false"/>
          <w:color w:val="000000"/>
          <w:sz w:val="22"/>
          <w:szCs w:val="22"/>
        </w:rPr>
        <w:t xml:space="preserve">mkdir equity_app &amp;&amp; cd equity_app</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Step 2 — Install all dependencies:</w:t>
      </w:r>
    </w:p>
    <w:p>
      <w:pPr>
        <w:spacing w:before="80" w:after="80"/>
        <w:ind w:left="720"/>
        <w:jc w:val="left"/>
      </w:pPr>
      <w:r>
        <w:rPr>
          <w:rFonts w:ascii="Arial" w:cs="Arial" w:eastAsia="Arial" w:hAnsi="Arial"/>
          <w:b w:val="false"/>
          <w:bCs w:val="false"/>
          <w:i w:val="false"/>
          <w:iCs w:val="false"/>
          <w:color w:val="000000"/>
          <w:sz w:val="22"/>
          <w:szCs w:val="22"/>
        </w:rPr>
        <w:t xml:space="preserve">pip install -r requirements.txt</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Step 3 — Run the Streamlit app:</w:t>
      </w:r>
    </w:p>
    <w:p>
      <w:pPr>
        <w:spacing w:before="80" w:after="80"/>
        <w:ind w:left="720"/>
        <w:jc w:val="left"/>
      </w:pPr>
      <w:r>
        <w:rPr>
          <w:rFonts w:ascii="Arial" w:cs="Arial" w:eastAsia="Arial" w:hAnsi="Arial"/>
          <w:b w:val="false"/>
          <w:bCs w:val="false"/>
          <w:i w:val="false"/>
          <w:iCs w:val="false"/>
          <w:color w:val="000000"/>
          <w:sz w:val="22"/>
          <w:szCs w:val="22"/>
        </w:rPr>
        <w:t xml:space="preserve">streamlit run app.py</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Step 4 — Open browser to http://localhost:8501, enter any NSE ticker, click Generate Report</w:t>
      </w:r>
    </w:p>
    <w:p/>
    <w:p>
      <w:pPr>
        <w:pStyle w:val="Heading2"/>
        <w:pBdr>
          <w:bottom w:val="single" w:color="2E75B6" w:sz="6"/>
        </w:pBdr>
        <w:spacing w:before="280" w:after="120"/>
      </w:pPr>
      <w:r>
        <w:rPr>
          <w:rFonts w:ascii="Arial" w:cs="Arial" w:eastAsia="Arial" w:hAnsi="Arial"/>
          <w:b/>
          <w:bCs/>
          <w:color w:val="1B4F8A"/>
          <w:sz w:val="28"/>
          <w:szCs w:val="28"/>
        </w:rPr>
        <w:t xml:space="preserve">6.3 Folder Structure</w:t>
      </w:r>
    </w:p>
    <w:p>
      <w:pPr>
        <w:spacing w:before="80" w:after="80"/>
        <w:jc w:val="left"/>
      </w:pPr>
      <w:r>
        <w:rPr>
          <w:rFonts w:ascii="Arial" w:cs="Arial" w:eastAsia="Arial" w:hAnsi="Arial"/>
          <w:b w:val="false"/>
          <w:bCs w:val="false"/>
          <w:i w:val="false"/>
          <w:iCs w:val="false"/>
          <w:color w:val="000000"/>
          <w:sz w:val="22"/>
          <w:szCs w:val="22"/>
        </w:rPr>
        <w:t xml:space="preserve">equity_app/</w:t>
      </w:r>
    </w:p>
    <w:p>
      <w:pPr>
        <w:spacing w:before="80" w:after="80"/>
        <w:ind w:left="360"/>
        <w:jc w:val="left"/>
      </w:pPr>
      <w:r>
        <w:rPr>
          <w:rFonts w:ascii="Arial" w:cs="Arial" w:eastAsia="Arial" w:hAnsi="Arial"/>
          <w:b w:val="false"/>
          <w:bCs w:val="false"/>
          <w:i w:val="false"/>
          <w:iCs w:val="false"/>
          <w:color w:val="000000"/>
          <w:sz w:val="22"/>
          <w:szCs w:val="22"/>
        </w:rPr>
        <w:t xml:space="preserve">├── app.py               ← Run this file</w:t>
      </w:r>
    </w:p>
    <w:p>
      <w:pPr>
        <w:spacing w:before="80" w:after="80"/>
        <w:ind w:left="360"/>
        <w:jc w:val="left"/>
      </w:pPr>
      <w:r>
        <w:rPr>
          <w:rFonts w:ascii="Arial" w:cs="Arial" w:eastAsia="Arial" w:hAnsi="Arial"/>
          <w:b w:val="false"/>
          <w:bCs w:val="false"/>
          <w:i w:val="false"/>
          <w:iCs w:val="false"/>
          <w:color w:val="000000"/>
          <w:sz w:val="22"/>
          <w:szCs w:val="22"/>
        </w:rPr>
        <w:t xml:space="preserve">├── scraper.py           ← Screener.in data fetching</w:t>
      </w:r>
    </w:p>
    <w:p>
      <w:pPr>
        <w:spacing w:before="80" w:after="80"/>
        <w:ind w:left="360"/>
        <w:jc w:val="left"/>
      </w:pPr>
      <w:r>
        <w:rPr>
          <w:rFonts w:ascii="Arial" w:cs="Arial" w:eastAsia="Arial" w:hAnsi="Arial"/>
          <w:b w:val="false"/>
          <w:bCs w:val="false"/>
          <w:i w:val="false"/>
          <w:iCs w:val="false"/>
          <w:color w:val="000000"/>
          <w:sz w:val="22"/>
          <w:szCs w:val="22"/>
        </w:rPr>
        <w:t xml:space="preserve">├── ratios.py            ← 20+ financial ratio calculations</w:t>
      </w:r>
    </w:p>
    <w:p>
      <w:pPr>
        <w:spacing w:before="80" w:after="80"/>
        <w:ind w:left="360"/>
        <w:jc w:val="left"/>
      </w:pPr>
      <w:r>
        <w:rPr>
          <w:rFonts w:ascii="Arial" w:cs="Arial" w:eastAsia="Arial" w:hAnsi="Arial"/>
          <w:b w:val="false"/>
          <w:bCs w:val="false"/>
          <w:i w:val="false"/>
          <w:iCs w:val="false"/>
          <w:color w:val="000000"/>
          <w:sz w:val="22"/>
          <w:szCs w:val="22"/>
        </w:rPr>
        <w:t xml:space="preserve">├── red_flags.py         ← 10 red flag checks</w:t>
      </w:r>
    </w:p>
    <w:p>
      <w:pPr>
        <w:spacing w:before="80" w:after="80"/>
        <w:ind w:left="360"/>
        <w:jc w:val="left"/>
      </w:pPr>
      <w:r>
        <w:rPr>
          <w:rFonts w:ascii="Arial" w:cs="Arial" w:eastAsia="Arial" w:hAnsi="Arial"/>
          <w:b w:val="false"/>
          <w:bCs w:val="false"/>
          <w:i w:val="false"/>
          <w:iCs w:val="false"/>
          <w:color w:val="000000"/>
          <w:sz w:val="22"/>
          <w:szCs w:val="22"/>
        </w:rPr>
        <w:t xml:space="preserve">├── dcf.py               ← DCF + WACC + Monte Carlo + Sensitivity</w:t>
      </w:r>
    </w:p>
    <w:p>
      <w:pPr>
        <w:spacing w:before="80" w:after="80"/>
        <w:ind w:left="360"/>
        <w:jc w:val="left"/>
      </w:pPr>
      <w:r>
        <w:rPr>
          <w:rFonts w:ascii="Arial" w:cs="Arial" w:eastAsia="Arial" w:hAnsi="Arial"/>
          <w:b w:val="false"/>
          <w:bCs w:val="false"/>
          <w:i w:val="false"/>
          <w:iCs w:val="false"/>
          <w:color w:val="000000"/>
          <w:sz w:val="22"/>
          <w:szCs w:val="22"/>
        </w:rPr>
        <w:t xml:space="preserve">├── charts.py            ← 10 Plotly interactive charts</w:t>
      </w:r>
    </w:p>
    <w:p>
      <w:pPr>
        <w:spacing w:before="80" w:after="80"/>
        <w:ind w:left="360"/>
        <w:jc w:val="left"/>
      </w:pPr>
      <w:r>
        <w:rPr>
          <w:rFonts w:ascii="Arial" w:cs="Arial" w:eastAsia="Arial" w:hAnsi="Arial"/>
          <w:b w:val="false"/>
          <w:bCs w:val="false"/>
          <w:i w:val="false"/>
          <w:iCs w:val="false"/>
          <w:color w:val="000000"/>
          <w:sz w:val="22"/>
          <w:szCs w:val="22"/>
        </w:rPr>
        <w:t xml:space="preserve">├── report_pdf.py        ← 2-page PDF generator</w:t>
      </w:r>
    </w:p>
    <w:p>
      <w:pPr>
        <w:spacing w:before="80" w:after="80"/>
        <w:ind w:left="360"/>
        <w:jc w:val="left"/>
      </w:pPr>
      <w:r>
        <w:rPr>
          <w:rFonts w:ascii="Arial" w:cs="Arial" w:eastAsia="Arial" w:hAnsi="Arial"/>
          <w:b w:val="false"/>
          <w:bCs w:val="false"/>
          <w:i w:val="false"/>
          <w:iCs w:val="false"/>
          <w:color w:val="000000"/>
          <w:sz w:val="22"/>
          <w:szCs w:val="22"/>
        </w:rPr>
        <w:t xml:space="preserve">├── excel_export.py      ← 8-sheet Excel generator</w:t>
      </w:r>
    </w:p>
    <w:p>
      <w:pPr>
        <w:spacing w:before="80" w:after="80"/>
        <w:ind w:left="360"/>
        <w:jc w:val="left"/>
      </w:pPr>
      <w:r>
        <w:rPr>
          <w:rFonts w:ascii="Arial" w:cs="Arial" w:eastAsia="Arial" w:hAnsi="Arial"/>
          <w:b w:val="false"/>
          <w:bCs w:val="false"/>
          <w:i w:val="false"/>
          <w:iCs w:val="false"/>
          <w:color w:val="000000"/>
          <w:sz w:val="22"/>
          <w:szCs w:val="22"/>
        </w:rPr>
        <w:t xml:space="preserve">└── requirements.txt     ← All pip dependencies</w:t>
      </w:r>
    </w:p>
    <w:p>
      <w:r>
        <w:br w:type="page"/>
      </w:r>
    </w:p>
    <w:p>
      <w:pPr>
        <w:pStyle w:val="Heading1"/>
        <w:shd w:fill="1B4F8A" w:val="clear"/>
        <w:spacing w:before="320" w:after="160"/>
        <w:ind w:left="200" w:right="200"/>
      </w:pPr>
      <w:r>
        <w:rPr>
          <w:rFonts w:ascii="Arial" w:cs="Arial" w:eastAsia="Arial" w:hAnsi="Arial"/>
          <w:b/>
          <w:bCs/>
          <w:color w:val="FFFFFF"/>
          <w:sz w:val="36"/>
          <w:szCs w:val="36"/>
        </w:rPr>
        <w:t xml:space="preserve">7. Resume &amp; Portfolio Summary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thick" w:color="1B4F8A" w:sz="12"/>
              <w:bottom w:val="single" w:color="1B4F8A" w:sz="4"/>
              <w:right w:val="single" w:color="1B4F8A" w:sz="4"/>
            </w:tcBorders>
            <w:shd w:fill="D6E8FF" w:val="clear"/>
            <w:tcMar>
              <w:top w:type="dxa" w:w="100"/>
              <w:left w:type="dxa" w:w="160"/>
              <w:bottom w:type="dxa" w:w="100"/>
              <w:right w:type="dxa" w:w="160"/>
            </w:tcMar>
          </w:tcPr>
          <w:p>
            <w:r>
              <w:rPr>
                <w:rFonts w:ascii="Arial" w:cs="Arial" w:eastAsia="Arial" w:hAnsi="Arial"/>
                <w:color w:val="000000"/>
                <w:sz w:val="20"/>
                <w:szCs w:val="20"/>
              </w:rPr>
              <w:t xml:space="preserve">Resume Line: "Built a full-stack equity research platform (EquityLens) that scrapes 5-year financial statements from Screener.in for any NSE stock, computes 20+ financial ratios with DuPont decomposition, runs DCF valuation across 3 scenarios, executes 10,000-iteration Monte Carlo simulation, detects 10 financial red flags, compares against industry peers, and auto-generates a 2-page PDF report + 8-sheet Excel workbook — deployed as an interactive Streamlit web app."</w:t>
            </w:r>
          </w:p>
        </w:tc>
      </w:tr>
    </w:tbl>
    <w:p/>
    <w:p>
      <w:pPr>
        <w:spacing w:before="80" w:after="80"/>
        <w:jc w:val="left"/>
      </w:pPr>
      <w:r>
        <w:rPr>
          <w:rFonts w:ascii="Arial" w:cs="Arial" w:eastAsia="Arial" w:hAnsi="Arial"/>
          <w:b w:val="false"/>
          <w:bCs w:val="false"/>
          <w:i w:val="false"/>
          <w:iCs w:val="false"/>
          <w:color w:val="000000"/>
          <w:sz w:val="22"/>
          <w:szCs w:val="22"/>
        </w:rPr>
        <w:t xml:space="preserve">Skills demonstrated by this project:</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Web Scraping — requests, BeautifulSoup, regex, HTTP headers, rate limiting</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Financial Modeling — DCF, WACC, CAPM, Gordon Growth Model, DuPont decomposition</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Quantitative Finance — Monte Carlo simulation, sensitivity analysis, percentile distributions</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Data Engineering — pandas DataFrame operations, NumPy vectorized math, NaN handling</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Data Visualization — 10 Plotly chart types (bar, line, scatter, waterfall, radar, histogram, tornado)</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Full-Stack Development — Streamlit web app with custom CSS, dark theme, responsive layout</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Report Generation — ReportLab PDF with embedded Matplotlib charts, OpenPyXL formatted Excel</w:t>
      </w:r>
    </w:p>
    <w:p>
      <w:pPr>
        <w:pStyle w:val="ListParagraph"/>
        <w:numPr>
          <w:ilvl w:val="0"/>
          <w:numId w:val="2"/>
        </w:numPr>
        <w:spacing w:before="80" w:after="80"/>
        <w:jc w:val="left"/>
      </w:pPr>
      <w:r>
        <w:rPr>
          <w:rFonts w:ascii="Arial" w:cs="Arial" w:eastAsia="Arial" w:hAnsi="Arial"/>
          <w:b w:val="false"/>
          <w:bCs w:val="false"/>
          <w:i w:val="false"/>
          <w:iCs w:val="false"/>
          <w:color w:val="000000"/>
          <w:sz w:val="22"/>
          <w:szCs w:val="22"/>
        </w:rPr>
        <w:t xml:space="preserve">Software Engineering — modular architecture, error handling, NaN-safe computations, regex</w:t>
      </w:r>
    </w:p>
    <w:p/>
    <w:p/>
    <w:p>
      <w:pPr>
        <w:pBdr>
          <w:bottom w:val="single" w:color="D6E8FF" w:sz="4"/>
        </w:pBdr>
        <w:spacing w:before="160" w:after="160"/>
      </w:pPr>
    </w:p>
    <w:p>
      <w:pPr>
        <w:spacing w:before="160" w:after="80"/>
        <w:jc w:val="center"/>
      </w:pPr>
      <w:r>
        <w:rPr>
          <w:rFonts w:ascii="Arial" w:cs="Arial" w:eastAsia="Arial" w:hAnsi="Arial"/>
          <w:b w:val="false"/>
          <w:bCs w:val="false"/>
          <w:i/>
          <w:iCs/>
          <w:color w:val="666666"/>
          <w:sz w:val="20"/>
          <w:szCs w:val="20"/>
        </w:rPr>
        <w:t xml:space="preserve">EquityLens — Technical Project Report</w:t>
      </w:r>
    </w:p>
    <w:p>
      <w:pPr>
        <w:spacing w:before="0" w:after="0"/>
        <w:jc w:val="center"/>
      </w:pPr>
      <w:r>
        <w:rPr>
          <w:rFonts w:ascii="Arial" w:cs="Arial" w:eastAsia="Arial" w:hAnsi="Arial"/>
          <w:b w:val="false"/>
          <w:bCs w:val="false"/>
          <w:i w:val="false"/>
          <w:iCs w:val="false"/>
          <w:color w:val="999999"/>
          <w:sz w:val="18"/>
          <w:szCs w:val="18"/>
        </w:rPr>
        <w:t xml:space="preserve">Built with Python • Streamlit • Plotly • ReportLab • OpenPyXL • NumPy • Pandas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4F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2026-03-18T18:40:17.500Z</dcterms:created>
  <dcterms:modified xsi:type="dcterms:W3CDTF">2026-03-18T18:40:17.501Z</dcterms:modified>
</cp:coreProperties>
</file>

<file path=docProps/custom.xml><?xml version="1.0" encoding="utf-8"?>
<Properties xmlns="http://schemas.openxmlformats.org/officeDocument/2006/custom-properties" xmlns:vt="http://schemas.openxmlformats.org/officeDocument/2006/docPropsVTypes"/>
</file>