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EVOLUX · light-cage-sim</w:t>
      </w:r>
    </w:p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Calibración bayesiana de los parámetros bio-ópticos (a, b)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Fase 2 · Sitio Punta Iglesia · Ray tracing escalar vs mediciones espectrales · 14-07-2026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Resumen ejecutivo</w:t>
      </w:r>
    </w:p>
    <w:p>
      <w:pPr>
        <w:spacing w:after="140"/>
        <w:jc w:val="both"/>
      </w:pPr>
      <w:r>
        <w:t xml:space="preserve">Siguiendo la Fase 1 —que identificó a la bio-óptica (c=a+b y ω) como la fuente que más mueve el ajuste—, se calibraron a y b por inferencia bayesiana: 1.116 corridas del simulador (barrido Latin-hypercube uniforme más una ronda de refinamiento enfocado) ponderadas por verosimilitud, con la potencia/escala absoluta marginalizada analíticamente y verosimilitud robusta a outliers y censura.</w:t>
      </w:r>
    </w:p>
    <w:p>
      <w:pPr>
        <w:spacing w:after="140"/>
        <w:jc w:val="both"/>
      </w:pPr>
      <w:r>
        <w:t xml:space="preserve">Resultado en dos partes. Primero, </w:t>
      </w:r>
      <w:r>
        <w:rPr>
          <w:b/>
          <w:bCs/>
        </w:rPr>
        <w:t xml:space="preserve">se obtiene un posterior de (a, b): a₅₅₀ ≈ 0,09 y b₅₅₀ ≈ 0,6 1/m, agua fuertemente dominada por dispersión (ω ≈ 0,87)</w:t>
      </w:r>
      <w:r>
        <w:t xml:space="preserve">, aunque con intervalos anchos. Segundo, y más importante: </w:t>
      </w:r>
      <w:r>
        <w:rPr>
          <w:b/>
          <w:bCs/>
        </w:rPr>
        <w:t xml:space="preserve">existe un piso de desajuste irreducible</w:t>
      </w:r>
      <w:r>
        <w:t xml:space="preserve">. El mejor ajuste alcanzable en todo el barrido es R²≈0,42 (RMSE≈0,49 en log₁₀, un factor ~3 de dispersión), y el posterior calibrado no ajusta mejor que una configuración nominal cualquiera. Es decir: con las mediciones actuales, afinar a y b no reduce el error por debajo de ese piso —lo limita el ruido de medición/posición y la discrepancia del modelo escalar, no el desconocimiento de a y b.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Metodología</w:t>
      </w:r>
    </w:p>
    <w:p>
      <w:pPr>
        <w:spacing w:after="140"/>
        <w:jc w:val="both"/>
      </w:pPr>
      <w:r>
        <w:t xml:space="preserve">El problema se redujo a las fuentes que la Fase 1 mostró relevantes: c₅₅₀, ω y η (tilt espectral), más la altura de lámpara dz como nuisance. Se muestrearon 1.000 puntos por Latin-hypercube sobre esos cuatro parámetros y se corrió el ray tracer con </w:t>
      </w:r>
      <w:r>
        <w:rPr>
          <w:b/>
          <w:bCs/>
        </w:rPr>
        <w:t xml:space="preserve">semilla fija</w:t>
      </w:r>
      <w:r>
        <w:t xml:space="preserve"> (forward model determinista, lo que evita el ruido de Monte Carlo que rompe el MCMC directo). Cada corrida guarda la irradiancia predicha por punto de sensor en las bandas azul y verde (la roja se descarta por estar en el piso del sensor).</w:t>
      </w:r>
    </w:p>
    <w:p>
      <w:pPr>
        <w:spacing w:after="140"/>
        <w:jc w:val="both"/>
      </w:pPr>
      <w:r>
        <w:t xml:space="preserve">La verosimilitud se define en log₁₀ mW/m²: para cada corrida, el residuo por punto es d = log₁₀(medición) − log₁₀(simulación); la escala/potencia absoluta desconocida entra como un offset común que se perfila analíticamente (su mediana), y la varianza de discrepancia se integra con prior de Jeffreys, dando una verosimilitud marginal robusta. El posterior se obtiene por muestreo de importancia autonormalizado; una segunda ronda de 116 muestras enfocadas alrededor del posterior, combinada con pesos de mezcla balanceada (MIS), refina la estimación. Se excluye el punto (10,10,8) —haz directo, 546 mW/m²— del ajuste principal y se verifica que una variante Student-t que lo conserva da los mismos valores (a₅₅₀≈0,10–0,14; b₅₅₀≈0,6), confirmando robustez.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Posterior de los parámetros bio-ópticos</w:t>
      </w:r>
    </w:p>
    <w:tbl>
      <w:tblPr>
        <w:tblW w:type="dxa" w:w="65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2600"/>
        <w:gridCol w:w="15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Mediana</w:t>
            </w:r>
          </w:p>
        </w:tc>
        <w:tc>
          <w:tcPr>
            <w:tcW w:type="dxa" w:w="24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IC 90 %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a₅₅₀ = c·(1−ω)  [1/m]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 – 0.17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b₅₅₀ = c·ω  [1/m]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0.61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0.12 – 0.94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c₅₅₀ = a+b  [1/m]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0.74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 – 1.06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ω = b/(a+b)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0.65 – 0.96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η (tilt espectral)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−0.91 – 1.80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dz (altura lámpara) [m]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1.33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−0.95 – 1.96</w:t>
            </w:r>
          </w:p>
        </w:tc>
      </w:tr>
    </w:tbl>
    <w:p>
      <w:pPr>
        <w:spacing w:after="40"/>
        <w:jc w:val="both"/>
      </w:pPr>
      <w:r>
        <w:t xml:space="preserve"/>
      </w:r>
    </w:p>
    <w:p>
      <w:pPr>
        <w:spacing w:after="140"/>
        <w:jc w:val="both"/>
      </w:pPr>
      <w:r>
        <w:t xml:space="preserve">La absorción a₅₅₀ ≈ 0,09 1/m es la cantidad mejor determinada (coherente con agua pura ~0,06 más algo de CDOM). La dispersión b₅₅₀ y el albedo ω apuntan a agua dominada por dispersión de partículas, pero con incertidumbre grande. El tilt espectral η y la altura dz quedan prácticamente sin identificar (sus marginales cubren casi todo el rango previo y dz se apoya en el borde superior), lo cual es consistente con su rol secundario en el screening.</w:t>
      </w:r>
    </w:p>
    <w:p>
      <w:pPr>
        <w:spacing w:after="40" w:before="120"/>
        <w:jc w:val="center"/>
      </w:pPr>
      <w:r>
        <w:drawing>
          <wp:inline distT="0" distB="0" distL="0" distR="0">
            <wp:extent cx="5429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1. Posteriores marginales. Líneas: mediana (sólida) e IC 90 % (discontinuas). a₅₅₀ es informativo; b₅₅₀/ω son amplios; η y dz quedan poco identificados.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2. Posterior conjunto (a, b) a 550 nm. El color indica el peso posterior; la masa se concentra en a bajo con b moderado-alto (agua dispersora).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Chequeo predictivo y piso de desajuste</w:t>
      </w:r>
    </w:p>
    <w:p>
      <w:pPr>
        <w:spacing w:after="140"/>
        <w:jc w:val="both"/>
      </w:pPr>
      <w:r>
        <w:t xml:space="preserve">Se propagó el posterior por el simulador con alta resolución (45.000 rayos) y se comparó con las mediciones. El ajuste calibrado (R²=0,34) no supera al de una configuración nominal previa (R²=0,39): la superficie de verosimilitud es plana. Un barrido exhaustivo confirma el límite —</w:t>
      </w:r>
      <w:r>
        <w:rPr>
          <w:b/>
          <w:bCs/>
        </w:rPr>
        <w:t xml:space="preserve">ninguna de las 1.000 configuraciones alcanza R²&gt;0,45; el óptimo es R²≈0,42, RMSE≈0,49 log₁₀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3. Simulación (con offset de escala) vs medición, bandas azul+verde. Ambos paneles muestran la tendencia correcta pero con dispersión de ~×3 alrededor de la recta 1:1; calibrar a,b no cierra esa dispersión.</w:t>
      </w:r>
    </w:p>
    <w:p>
      <w:pPr>
        <w:spacing w:after="140"/>
        <w:jc w:val="both"/>
      </w:pPr>
      <w:r>
        <w:t xml:space="preserve">Interpretación: el modelo reproduce la tendencia general (más luz medida ↔ más luz simulada), pero la dispersión punto a punto es el término dominante y es insensible a a, b. Sus causas probables son la incertidumbre de posición del sensor y de las lámparas en el campo cercano, el ruido de medición (ceros censurados, el spike de haz directo) y la discrepancia del ray tracing escalar (una atenuación efectiva, sin el detalle angular de la dispersión múltiple).</w:t>
      </w:r>
    </w:p>
    <w:p>
      <w:pPr>
        <w:spacing w:after="140"/>
        <w:jc w:val="both"/>
      </w:pPr>
      <w:r>
        <w:t xml:space="preserve">Nota sobre la escala absoluta: el offset óptimo implica que la simulación sobrepredice la irradiancia por un factor ~35 (≈17 W efectivos frente a 600 W nominales). No es un error de a, b sino de la escala absoluta —la potencia eléctrica nominal no es directamente comparable con la irradiancia espectral en agua, y depende de la normalización de campo lejano del archivo fotométrico. Por eso la escala se trata como nuisance y no como parámetro identificable con estos datos.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Conclusiones y recomendaciones</w:t>
      </w:r>
    </w:p>
    <w:p>
      <w:pPr>
        <w:spacing w:after="60"/>
        <w:jc w:val="both"/>
      </w:pPr>
      <w:r>
        <w:t xml:space="preserve">1. La absorción a₅₅₀ queda razonablemente acotada (~0,09 1/m); b y ω apuntan a agua dispersora pero con incertidumbre amplia. Úsense estos rangos como prior informado, no como valores puntuales.</w:t>
      </w:r>
    </w:p>
    <w:p>
      <w:pPr>
        <w:spacing w:after="60"/>
        <w:jc w:val="both"/>
      </w:pPr>
      <w:r>
        <w:rPr>
          <w:b/>
          <w:bCs/>
        </w:rPr>
        <w:t xml:space="preserve">2. El cuello de botella no es el desconocimiento de a, b, sino la calidad del dato y la discrepancia del modelo. </w:t>
      </w:r>
      <w:r>
        <w:t xml:space="preserve">Para pinchar (a, b) con precisión conviene, en orden de impacto: (i) una medición óptica independiente in situ (transmisómetro de haz-c o AC-9) que fije a y b directamente —el propio código lo anticipa como vía de calibración; (ii) mediciones repetidas con posición de sensor y lámparas registrada, para reducir el ruido de posición; (iii) un término de discrepancia explícito (Kennedy–O'Hagan) o pasar del modo escalar al espectral con dispersión múltiple.</w:t>
      </w:r>
    </w:p>
    <w:p>
      <w:pPr>
        <w:spacing w:after="140"/>
        <w:jc w:val="both"/>
      </w:pPr>
      <w:r>
        <w:t xml:space="preserve">3. Descartar la banda roja y el punto de haz directo en cualquier ajuste futuro (relación señal-ruido).</w:t>
      </w:r>
    </w:p>
    <w:p>
      <w:pPr>
        <w:pBdr>
          <w:top w:val="single" w:color="BFBFBF" w:sz="4" w:space="6"/>
        </w:pBdr>
        <w:spacing w:before="240"/>
      </w:pPr>
      <w:r>
        <w:rPr>
          <w:i/>
          <w:iCs/>
          <w:color w:val="595959"/>
          <w:sz w:val="17"/>
          <w:szCs w:val="17"/>
        </w:rPr>
        <w:t xml:space="preserve">Artefactos Fase 2: sensitivity/calibrate_sweep.py, calibrate_infer.py, calibrate_ppc.py · out/ (sweep.csv, sweep2.csv, posterior.npz, posterior_summary.csv, figuras). Reproducible con la secuencia documentada en cada script.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62eccb089de93213fdbeb3c93486b5c6c80f2f.png"/><Relationship Id="rId8" Type="http://schemas.openxmlformats.org/officeDocument/2006/relationships/image" Target="media/bfbfa3f110b31332441912810dd69ba45c25da87.png"/><Relationship Id="rId9" Type="http://schemas.openxmlformats.org/officeDocument/2006/relationships/image" Target="media/fce1ca511834396ec369abb0e0d2078c3f9770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Calibración bio-óptica — Punta Iglesia (Fase 2)</dc:title>
  <dc:creator>EVOLUX</dc:creator>
  <cp:lastModifiedBy>Un-named</cp:lastModifiedBy>
  <cp:revision>1</cp:revision>
  <dcterms:created xsi:type="dcterms:W3CDTF">2026-07-14T20:01:09.540Z</dcterms:created>
  <dcterms:modified xsi:type="dcterms:W3CDTF">2026-07-14T20:01:09.541Z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