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EVOLUX · light-cage-sim</w:t>
      </w:r>
    </w:p>
    <w:p>
      <w:pPr>
        <w:spacing w:after="40"/>
      </w:pPr>
      <w:r>
        <w:rPr>
          <w:b/>
          <w:bCs/>
          <w:color w:val="1F3864"/>
          <w:sz w:val="30"/>
          <w:szCs w:val="30"/>
        </w:rPr>
        <w:t xml:space="preserve">Match medición–simulación bajo múltiples fuentes de incertidumbre</w:t>
      </w:r>
    </w:p>
    <w:p>
      <w:pPr>
        <w:spacing w:after="200"/>
      </w:pPr>
      <w:r>
        <w:rPr>
          <w:color w:val="595959"/>
          <w:sz w:val="20"/>
          <w:szCs w:val="20"/>
        </w:rPr>
        <w:t xml:space="preserve">Sitio Punta Iglesia · Metodología, desarrollo y parámetros finales · 14-07-2026</w:t>
      </w:r>
    </w:p>
    <w:p>
      <w:pPr>
        <w:pStyle w:val="Heading1"/>
        <w:spacing w:after="120" w:before="280"/>
      </w:pPr>
      <w:r>
        <w:rPr>
          <w:b/>
          <w:bCs/>
          <w:color w:val="1F3864"/>
        </w:rPr>
        <w:t xml:space="preserve">1. Resumen ejecutivo</w:t>
      </w:r>
    </w:p>
    <w:p>
      <w:pPr>
        <w:spacing w:after="130"/>
        <w:jc w:val="both"/>
      </w:pPr>
      <w:r>
        <w:t xml:space="preserve">Este informe documenta el ajuste entre las mediciones espectrales de irradiancia de Punta Iglesia y el simulador de ray tracing, cuando son desconocidas simultáneamente la potencia, posición y altura de las lámparas, los parámetros bio-ópticos del agua (a, b) y la posición e inclinación del propio sensor. Se desarrolló en tres fases: (1) análisis de sensibilidad para jerarquizar las fuentes; (2) calibración bayesiana de (a, b); y (3) ataque al piso de desajuste que dejó la fase 2.</w:t>
      </w:r>
    </w:p>
    <w:p>
      <w:pPr>
        <w:spacing w:after="130"/>
        <w:jc w:val="both"/>
      </w:pPr>
      <w:r>
        <w:t xml:space="preserve">Hallazgos. La bio-óptica es la fuente más sensible del ajuste, pero al calibrar (a, b) aparece un piso: ningún valor supera R²≈0,42. Ese piso </w:t>
      </w:r>
      <w:r>
        <w:rPr>
          <w:b/>
          <w:bCs/>
        </w:rPr>
        <w:t xml:space="preserve">no es del agua sino de la incertidumbre en la posición del sensor</w:t>
      </w:r>
      <w:r>
        <w:t xml:space="preserve">. Modelándola, el ajuste sube a R²≈0,88 en validación cruzada honesta (posición inferida con la banda azul, prediciendo la verde). Un error de posición modesto —del orden de 0,7–1 m combinando horizontal y profundidad— basta; no se requieren los 2 m que la evidencia bruta sugería. Como consecuencia, posición y bio-óptica quedan parcialmente confundidas: ignorar la geometría de medición sesga los (a, b) inferidos. Además, las mediciones se tomaron con los peces en la jaula, cuya biomasa introduce una discrepancia óptica no modelada; por ello un matching moderado es esperable, y se prevé mejorarlo con campañas más detalladas.</w:t>
      </w:r>
    </w:p>
    <w:p>
      <w:pPr>
        <w:pStyle w:val="Heading1"/>
        <w:spacing w:after="120" w:before="280"/>
      </w:pPr>
      <w:r>
        <w:rPr>
          <w:b/>
          <w:bCs/>
          <w:color w:val="1F3864"/>
        </w:rPr>
        <w:t xml:space="preserve">2. Datos y magnitud objetivo</w:t>
      </w:r>
    </w:p>
    <w:p>
      <w:pPr>
        <w:spacing w:after="130"/>
        <w:jc w:val="both"/>
      </w:pPr>
      <w:r>
        <w:t xml:space="preserve">35 mediciones del espectrorradiómetro OHSP-350 en grilla nominal x∈{5,10,15}, y∈{5,10,15,20}, z∈{8,10,12} m. De cada espectro (380–780 nm) se integraron bandas azul (400–500), verde (500–600) y roja (600–700 nm) en mW/m². La banda roja quedó en el piso del sensor (descartada). Tres ceros son censura izquierda (bajo umbral) y el punto (10,10,8) es un outlier de haz directo. Trabajando en log₁₀, quedaron 31 puntos válidos × 2 bandas = 62 residuos.</w:t>
      </w:r>
    </w:p>
    <w:p>
      <w:pPr>
        <w:pStyle w:val="Heading1"/>
        <w:spacing w:after="120" w:before="280"/>
      </w:pPr>
      <w:r>
        <w:rPr>
          <w:b/>
          <w:bCs/>
          <w:color w:val="1F3864"/>
        </w:rPr>
        <w:t xml:space="preserve">3. Modelo de comparación y fuentes de incertidumbre</w:t>
      </w:r>
    </w:p>
    <w:p>
      <w:pPr>
        <w:spacing w:after="130"/>
        <w:jc w:val="both"/>
      </w:pPr>
      <w:r>
        <w:t xml:space="preserve">El simulador (Monte Carlo, modo scattering con c(λ)=c₅₅₀·(λ/550)^(−η) y albedo ω) se corre con semilla fija, de modo que el forward model es determinista. La irradiancia por banda se extrae binando el flujo de rayos que cruza el plano y se interpola en la coordenada del sensor. La verosimilitud se define en log₁₀, con la potencia/escala absoluta perfilada como nuisance, robustez a outliers y exclusión de censurados.</w:t>
      </w:r>
    </w:p>
    <w:tbl>
      <w:tblPr>
        <w:tblW w:type="dxa" w:w="8000"/>
        <w:tblBorders>
          <w:top w:val="single" w:color="1F3864" w:sz="4"/>
          <w:left w:val="single" w:color="1F3864" w:sz="4"/>
          <w:bottom w:val="single" w:color="1F3864" w:sz="4"/>
          <w:right w:val="single" w:color="1F3864" w:sz="4"/>
          <w:insideH w:val="single" w:color="BFBFBF" w:sz="2"/>
          <w:insideV w:val="single" w:color="BFBFBF" w:sz="2"/>
        </w:tblBorders>
      </w:tblPr>
      <w:tblGrid>
        <w:gridCol w:w="2200"/>
        <w:gridCol w:w="2400"/>
        <w:gridCol w:w="3400"/>
      </w:tblGrid>
      <w:tr>
        <w:trPr>
          <w:tblHeader/>
        </w:trPr>
        <w:tc>
          <w:tcPr>
            <w:tcW w:type="dxa" w:w="2200"/>
            <w:shd w:fill="1F3864" w:val="clear"/>
            <w:tcMar>
              <w:top w:type="dxa" w:w="40"/>
              <w:left w:type="dxa" w:w="90"/>
              <w:bottom w:type="dxa" w:w="40"/>
              <w:right w:type="dxa" w:w="90"/>
            </w:tcMar>
          </w:tcPr>
          <w:p>
            <w:pPr>
              <w:jc w:val="left"/>
            </w:pPr>
            <w:r>
              <w:rPr>
                <w:b/>
                <w:bCs/>
                <w:color w:val="FFFFFF"/>
                <w:sz w:val="18"/>
                <w:szCs w:val="18"/>
              </w:rPr>
              <w:t xml:space="preserve">Fuente</w:t>
            </w:r>
          </w:p>
        </w:tc>
        <w:tc>
          <w:tcPr>
            <w:tcW w:type="dxa" w:w="2400"/>
            <w:shd w:fill="1F3864" w:val="clear"/>
            <w:tcMar>
              <w:top w:type="dxa" w:w="40"/>
              <w:left w:type="dxa" w:w="90"/>
              <w:bottom w:type="dxa" w:w="40"/>
              <w:right w:type="dxa" w:w="90"/>
            </w:tcMar>
          </w:tcPr>
          <w:p>
            <w:pPr>
              <w:jc w:val="center"/>
            </w:pPr>
            <w:r>
              <w:rPr>
                <w:b/>
                <w:bCs/>
                <w:color w:val="FFFFFF"/>
                <w:sz w:val="18"/>
                <w:szCs w:val="18"/>
              </w:rPr>
              <w:t xml:space="preserve">Parametrización</w:t>
            </w:r>
          </w:p>
        </w:tc>
        <w:tc>
          <w:tcPr>
            <w:tcW w:type="dxa" w:w="3400"/>
            <w:shd w:fill="1F3864" w:val="clear"/>
            <w:tcMar>
              <w:top w:type="dxa" w:w="40"/>
              <w:left w:type="dxa" w:w="90"/>
              <w:bottom w:type="dxa" w:w="40"/>
              <w:right w:type="dxa" w:w="90"/>
            </w:tcMar>
          </w:tcPr>
          <w:p>
            <w:pPr>
              <w:jc w:val="center"/>
            </w:pPr>
            <w:r>
              <w:rPr>
                <w:b/>
                <w:bCs/>
                <w:color w:val="FFFFFF"/>
                <w:sz w:val="18"/>
                <w:szCs w:val="18"/>
              </w:rPr>
              <w:t xml:space="preserve">Tratamiento</w:t>
            </w:r>
          </w:p>
        </w:tc>
      </w:tr>
      <w:tr>
        <w:tc>
          <w:tcPr>
            <w:tcW w:type="dxa" w:w="2200"/>
            <w:tcMar>
              <w:top w:type="dxa" w:w="40"/>
              <w:left w:type="dxa" w:w="90"/>
              <w:bottom w:type="dxa" w:w="40"/>
              <w:right w:type="dxa" w:w="90"/>
            </w:tcMar>
          </w:tcPr>
          <w:p>
            <w:pPr>
              <w:jc w:val="left"/>
            </w:pPr>
            <w:r>
              <w:rPr>
                <w:b/>
                <w:bCs/>
                <w:color w:val="000000"/>
                <w:sz w:val="18"/>
                <w:szCs w:val="18"/>
              </w:rPr>
              <w:t xml:space="preserve">Potencia lámpara</w:t>
            </w:r>
          </w:p>
        </w:tc>
        <w:tc>
          <w:tcPr>
            <w:tcW w:type="dxa" w:w="2400"/>
            <w:tcMar>
              <w:top w:type="dxa" w:w="40"/>
              <w:left w:type="dxa" w:w="90"/>
              <w:bottom w:type="dxa" w:w="40"/>
              <w:right w:type="dxa" w:w="90"/>
            </w:tcMar>
          </w:tcPr>
          <w:p>
            <w:pPr>
              <w:jc w:val="center"/>
            </w:pPr>
            <w:r>
              <w:rPr>
                <w:b w:val="false"/>
                <w:bCs w:val="false"/>
                <w:color w:val="000000"/>
                <w:sz w:val="18"/>
                <w:szCs w:val="18"/>
              </w:rPr>
              <w:t xml:space="preserve">factor global f_power</w:t>
            </w:r>
          </w:p>
        </w:tc>
        <w:tc>
          <w:tcPr>
            <w:tcW w:type="dxa" w:w="3400"/>
            <w:tcMar>
              <w:top w:type="dxa" w:w="40"/>
              <w:left w:type="dxa" w:w="90"/>
              <w:bottom w:type="dxa" w:w="40"/>
              <w:right w:type="dxa" w:w="90"/>
            </w:tcMar>
          </w:tcPr>
          <w:p>
            <w:pPr>
              <w:jc w:val="center"/>
            </w:pPr>
            <w:r>
              <w:rPr>
                <w:b w:val="false"/>
                <w:bCs w:val="false"/>
                <w:color w:val="000000"/>
                <w:sz w:val="18"/>
                <w:szCs w:val="18"/>
              </w:rPr>
              <w:t xml:space="preserve">nuisance (offset log)</w:t>
            </w:r>
          </w:p>
        </w:tc>
      </w:tr>
      <w:tr>
        <w:tc>
          <w:tcPr>
            <w:tcW w:type="dxa" w:w="2200"/>
            <w:tcMar>
              <w:top w:type="dxa" w:w="40"/>
              <w:left w:type="dxa" w:w="90"/>
              <w:bottom w:type="dxa" w:w="40"/>
              <w:right w:type="dxa" w:w="90"/>
            </w:tcMar>
          </w:tcPr>
          <w:p>
            <w:pPr>
              <w:jc w:val="left"/>
            </w:pPr>
            <w:r>
              <w:rPr>
                <w:b/>
                <w:bCs/>
                <w:color w:val="000000"/>
                <w:sz w:val="18"/>
                <w:szCs w:val="18"/>
              </w:rPr>
              <w:t xml:space="preserve">Altura lámpara</w:t>
            </w:r>
          </w:p>
        </w:tc>
        <w:tc>
          <w:tcPr>
            <w:tcW w:type="dxa" w:w="2400"/>
            <w:tcMar>
              <w:top w:type="dxa" w:w="40"/>
              <w:left w:type="dxa" w:w="90"/>
              <w:bottom w:type="dxa" w:w="40"/>
              <w:right w:type="dxa" w:w="90"/>
            </w:tcMar>
          </w:tcPr>
          <w:p>
            <w:pPr>
              <w:jc w:val="center"/>
            </w:pPr>
            <w:r>
              <w:rPr>
                <w:b w:val="false"/>
                <w:bCs w:val="false"/>
                <w:color w:val="000000"/>
                <w:sz w:val="18"/>
                <w:szCs w:val="18"/>
              </w:rPr>
              <w:t xml:space="preserve">dz común</w:t>
            </w:r>
          </w:p>
        </w:tc>
        <w:tc>
          <w:tcPr>
            <w:tcW w:type="dxa" w:w="3400"/>
            <w:tcMar>
              <w:top w:type="dxa" w:w="40"/>
              <w:left w:type="dxa" w:w="90"/>
              <w:bottom w:type="dxa" w:w="40"/>
              <w:right w:type="dxa" w:w="90"/>
            </w:tcMar>
          </w:tcPr>
          <w:p>
            <w:pPr>
              <w:jc w:val="center"/>
            </w:pPr>
            <w:r>
              <w:rPr>
                <w:b w:val="false"/>
                <w:bCs w:val="false"/>
                <w:color w:val="000000"/>
                <w:sz w:val="18"/>
                <w:szCs w:val="18"/>
              </w:rPr>
              <w:t xml:space="preserve">calibrada</w:t>
            </w:r>
          </w:p>
        </w:tc>
      </w:tr>
      <w:tr>
        <w:tc>
          <w:tcPr>
            <w:tcW w:type="dxa" w:w="2200"/>
            <w:tcMar>
              <w:top w:type="dxa" w:w="40"/>
              <w:left w:type="dxa" w:w="90"/>
              <w:bottom w:type="dxa" w:w="40"/>
              <w:right w:type="dxa" w:w="90"/>
            </w:tcMar>
          </w:tcPr>
          <w:p>
            <w:pPr>
              <w:jc w:val="left"/>
            </w:pPr>
            <w:r>
              <w:rPr>
                <w:b/>
                <w:bCs/>
                <w:color w:val="000000"/>
                <w:sz w:val="18"/>
                <w:szCs w:val="18"/>
              </w:rPr>
              <w:t xml:space="preserve">Posición lámpara</w:t>
            </w:r>
          </w:p>
        </w:tc>
        <w:tc>
          <w:tcPr>
            <w:tcW w:type="dxa" w:w="2400"/>
            <w:tcMar>
              <w:top w:type="dxa" w:w="40"/>
              <w:left w:type="dxa" w:w="90"/>
              <w:bottom w:type="dxa" w:w="40"/>
              <w:right w:type="dxa" w:w="90"/>
            </w:tcMar>
          </w:tcPr>
          <w:p>
            <w:pPr>
              <w:jc w:val="center"/>
            </w:pPr>
            <w:r>
              <w:rPr>
                <w:b w:val="false"/>
                <w:bCs w:val="false"/>
                <w:color w:val="000000"/>
                <w:sz w:val="18"/>
                <w:szCs w:val="18"/>
              </w:rPr>
              <w:t xml:space="preserve">jitter compartido</w:t>
            </w:r>
          </w:p>
        </w:tc>
        <w:tc>
          <w:tcPr>
            <w:tcW w:type="dxa" w:w="3400"/>
            <w:tcMar>
              <w:top w:type="dxa" w:w="40"/>
              <w:left w:type="dxa" w:w="90"/>
              <w:bottom w:type="dxa" w:w="40"/>
              <w:right w:type="dxa" w:w="90"/>
            </w:tcMar>
          </w:tcPr>
          <w:p>
            <w:pPr>
              <w:jc w:val="center"/>
            </w:pPr>
            <w:r>
              <w:rPr>
                <w:b w:val="false"/>
                <w:bCs w:val="false"/>
                <w:color w:val="000000"/>
                <w:sz w:val="18"/>
                <w:szCs w:val="18"/>
              </w:rPr>
              <w:t xml:space="preserve">marginal (secundaria)</w:t>
            </w:r>
          </w:p>
        </w:tc>
      </w:tr>
      <w:tr>
        <w:tc>
          <w:tcPr>
            <w:tcW w:type="dxa" w:w="2200"/>
            <w:tcMar>
              <w:top w:type="dxa" w:w="40"/>
              <w:left w:type="dxa" w:w="90"/>
              <w:bottom w:type="dxa" w:w="40"/>
              <w:right w:type="dxa" w:w="90"/>
            </w:tcMar>
          </w:tcPr>
          <w:p>
            <w:pPr>
              <w:jc w:val="left"/>
            </w:pPr>
            <w:r>
              <w:rPr>
                <w:b/>
                <w:bCs/>
                <w:color w:val="000000"/>
                <w:sz w:val="18"/>
                <w:szCs w:val="18"/>
              </w:rPr>
              <w:t xml:space="preserve">Bio-óptica</w:t>
            </w:r>
          </w:p>
        </w:tc>
        <w:tc>
          <w:tcPr>
            <w:tcW w:type="dxa" w:w="2400"/>
            <w:tcMar>
              <w:top w:type="dxa" w:w="40"/>
              <w:left w:type="dxa" w:w="90"/>
              <w:bottom w:type="dxa" w:w="40"/>
              <w:right w:type="dxa" w:w="90"/>
            </w:tcMar>
          </w:tcPr>
          <w:p>
            <w:pPr>
              <w:jc w:val="center"/>
            </w:pPr>
            <w:r>
              <w:rPr>
                <w:b w:val="false"/>
                <w:bCs w:val="false"/>
                <w:color w:val="000000"/>
                <w:sz w:val="18"/>
                <w:szCs w:val="18"/>
              </w:rPr>
              <w:t xml:space="preserve">a, b vía c₅₅₀, ω, η</w:t>
            </w:r>
          </w:p>
        </w:tc>
        <w:tc>
          <w:tcPr>
            <w:tcW w:type="dxa" w:w="3400"/>
            <w:tcMar>
              <w:top w:type="dxa" w:w="40"/>
              <w:left w:type="dxa" w:w="90"/>
              <w:bottom w:type="dxa" w:w="40"/>
              <w:right w:type="dxa" w:w="90"/>
            </w:tcMar>
          </w:tcPr>
          <w:p>
            <w:pPr>
              <w:jc w:val="center"/>
            </w:pPr>
            <w:r>
              <w:rPr>
                <w:b w:val="false"/>
                <w:bCs w:val="false"/>
                <w:color w:val="000000"/>
                <w:sz w:val="18"/>
                <w:szCs w:val="18"/>
              </w:rPr>
              <w:t xml:space="preserve">parámetros de interés</w:t>
            </w:r>
          </w:p>
        </w:tc>
      </w:tr>
      <w:tr>
        <w:tc>
          <w:tcPr>
            <w:tcW w:type="dxa" w:w="2200"/>
            <w:tcMar>
              <w:top w:type="dxa" w:w="40"/>
              <w:left w:type="dxa" w:w="90"/>
              <w:bottom w:type="dxa" w:w="40"/>
              <w:right w:type="dxa" w:w="90"/>
            </w:tcMar>
          </w:tcPr>
          <w:p>
            <w:pPr>
              <w:jc w:val="left"/>
            </w:pPr>
            <w:r>
              <w:rPr>
                <w:b/>
                <w:bCs/>
                <w:color w:val="000000"/>
                <w:sz w:val="18"/>
                <w:szCs w:val="18"/>
              </w:rPr>
              <w:t xml:space="preserve">Posición sensor</w:t>
            </w:r>
          </w:p>
        </w:tc>
        <w:tc>
          <w:tcPr>
            <w:tcW w:type="dxa" w:w="2400"/>
            <w:tcMar>
              <w:top w:type="dxa" w:w="40"/>
              <w:left w:type="dxa" w:w="90"/>
              <w:bottom w:type="dxa" w:w="40"/>
              <w:right w:type="dxa" w:w="90"/>
            </w:tcMar>
          </w:tcPr>
          <w:p>
            <w:pPr>
              <w:jc w:val="center"/>
            </w:pPr>
            <w:r>
              <w:rPr>
                <w:b w:val="false"/>
                <w:bCs w:val="false"/>
                <w:color w:val="000000"/>
                <w:sz w:val="18"/>
                <w:szCs w:val="18"/>
              </w:rPr>
              <w:t xml:space="preserve">latente ~N(0, σ_xy), N(0, σ_z)</w:t>
            </w:r>
          </w:p>
        </w:tc>
        <w:tc>
          <w:tcPr>
            <w:tcW w:type="dxa" w:w="3400"/>
            <w:tcMar>
              <w:top w:type="dxa" w:w="40"/>
              <w:left w:type="dxa" w:w="90"/>
              <w:bottom w:type="dxa" w:w="40"/>
              <w:right w:type="dxa" w:w="90"/>
            </w:tcMar>
          </w:tcPr>
          <w:p>
            <w:pPr>
              <w:jc w:val="center"/>
            </w:pPr>
            <w:r>
              <w:rPr>
                <w:b w:val="false"/>
                <w:bCs w:val="false"/>
                <w:color w:val="000000"/>
                <w:sz w:val="18"/>
                <w:szCs w:val="18"/>
              </w:rPr>
              <w:t xml:space="preserve">marginalizada (Fase 3)</w:t>
            </w:r>
          </w:p>
        </w:tc>
      </w:tr>
      <w:tr>
        <w:tc>
          <w:tcPr>
            <w:tcW w:type="dxa" w:w="2200"/>
            <w:tcMar>
              <w:top w:type="dxa" w:w="40"/>
              <w:left w:type="dxa" w:w="90"/>
              <w:bottom w:type="dxa" w:w="40"/>
              <w:right w:type="dxa" w:w="90"/>
            </w:tcMar>
          </w:tcPr>
          <w:p>
            <w:pPr>
              <w:jc w:val="left"/>
            </w:pPr>
            <w:r>
              <w:rPr>
                <w:b/>
                <w:bCs/>
                <w:color w:val="000000"/>
                <w:sz w:val="18"/>
                <w:szCs w:val="18"/>
              </w:rPr>
              <w:t xml:space="preserve">Inclinación sensor</w:t>
            </w:r>
          </w:p>
        </w:tc>
        <w:tc>
          <w:tcPr>
            <w:tcW w:type="dxa" w:w="2400"/>
            <w:tcMar>
              <w:top w:type="dxa" w:w="40"/>
              <w:left w:type="dxa" w:w="90"/>
              <w:bottom w:type="dxa" w:w="40"/>
              <w:right w:type="dxa" w:w="90"/>
            </w:tcMar>
          </w:tcPr>
          <w:p>
            <w:pPr>
              <w:jc w:val="center"/>
            </w:pPr>
            <w:r>
              <w:rPr>
                <w:b w:val="false"/>
                <w:bCs w:val="false"/>
                <w:color w:val="000000"/>
                <w:sz w:val="18"/>
                <w:szCs w:val="18"/>
              </w:rPr>
              <w:t xml:space="preserve">ruido ∝ tan(θ incidencia)</w:t>
            </w:r>
          </w:p>
        </w:tc>
        <w:tc>
          <w:tcPr>
            <w:tcW w:type="dxa" w:w="3400"/>
            <w:tcMar>
              <w:top w:type="dxa" w:w="40"/>
              <w:left w:type="dxa" w:w="90"/>
              <w:bottom w:type="dxa" w:w="40"/>
              <w:right w:type="dxa" w:w="90"/>
            </w:tcMar>
          </w:tcPr>
          <w:p>
            <w:pPr>
              <w:jc w:val="center"/>
            </w:pPr>
            <w:r>
              <w:rPr>
                <w:b w:val="false"/>
                <w:bCs w:val="false"/>
                <w:color w:val="000000"/>
                <w:sz w:val="18"/>
                <w:szCs w:val="18"/>
              </w:rPr>
              <w:t xml:space="preserve">marginalizada (Fase 3)</w:t>
            </w:r>
          </w:p>
        </w:tc>
      </w:tr>
    </w:tbl>
    <w:p>
      <w:pPr>
        <w:spacing w:after="60"/>
      </w:pPr>
      <w:r>
        <w:t xml:space="preserve"/>
      </w:r>
    </w:p>
    <w:p>
      <w:pPr>
        <w:pStyle w:val="Heading1"/>
        <w:spacing w:after="120" w:before="280"/>
      </w:pPr>
      <w:r>
        <w:rPr>
          <w:b/>
          <w:bCs/>
          <w:color w:val="1F3864"/>
        </w:rPr>
        <w:t xml:space="preserve">4. Desarrollo por fases</w:t>
      </w:r>
    </w:p>
    <w:p>
      <w:pPr>
        <w:pStyle w:val="Heading2"/>
        <w:spacing w:after="90" w:before="200"/>
      </w:pPr>
      <w:r>
        <w:rPr>
          <w:b/>
          <w:bCs/>
          <w:color w:val="1F3864"/>
        </w:rPr>
        <w:t xml:space="preserve">Fase 1 — Sensibilidad (método de Morris)</w:t>
      </w:r>
    </w:p>
    <w:p>
      <w:pPr>
        <w:spacing w:after="130"/>
        <w:jc w:val="both"/>
      </w:pPr>
      <w:r>
        <w:t xml:space="preserve">Barrido Latin-hypercube variando las seis fuentes y midiendo cuánto mueve cada una el desajuste, por banda. La bio-óptica domina: sobre el PAR, c₅₅₀ ≈ 40 %, ω ≈ 28 %, η ≈ 13 %; potencia y altura ≈ 8 % cada una; posición de lámpara ≈ 4 %.</w:t>
      </w:r>
    </w:p>
    <w:p>
      <w:pPr>
        <w:spacing w:after="40" w:before="11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24150"/>
                    </a:xfrm>
                    <a:prstGeom prst="rect">
                      <a:avLst/>
                    </a:prstGeom>
                  </pic:spPr>
                </pic:pic>
              </a:graphicData>
            </a:graphic>
          </wp:inline>
        </w:drawing>
      </w:r>
    </w:p>
    <w:p>
      <w:pPr>
        <w:spacing w:after="150"/>
        <w:jc w:val="center"/>
      </w:pPr>
      <w:r>
        <w:rPr>
          <w:i/>
          <w:iCs/>
          <w:color w:val="595959"/>
          <w:sz w:val="17"/>
          <w:szCs w:val="17"/>
        </w:rPr>
        <w:t xml:space="preserve">Figura 1. Importancia (μ*) de cada fuente sobre el desajuste, por banda. Las bio-ópticas dominan.</w:t>
      </w:r>
    </w:p>
    <w:p>
      <w:pPr>
        <w:pStyle w:val="Heading2"/>
        <w:spacing w:after="90" w:before="200"/>
      </w:pPr>
      <w:r>
        <w:rPr>
          <w:b/>
          <w:bCs/>
          <w:color w:val="1F3864"/>
        </w:rPr>
        <w:t xml:space="preserve">Fase 2 — Calibración bayesiana de (a, b) y aparición del piso</w:t>
      </w:r>
    </w:p>
    <w:p>
      <w:pPr>
        <w:spacing w:after="130"/>
        <w:jc w:val="both"/>
      </w:pPr>
      <w:r>
        <w:t xml:space="preserve">Con 1.000+ corridas ponderadas por verosimilitud se obtuvo un posterior de (a, b), pero también un piso de ajuste: el mejor R² del barrido es ≈0,42 y ninguna configuración supera 0,45. El chequeo predictivo muestra la tendencia correcta con dispersión de ~×3; calibrar (a, b) no la cierra. La escala absoluta implica que el simulador sobrepredice ~35× (nuisance: la potencia eléctrica nominal no es comparable con la irradiancia espectral en agua).</w:t>
      </w:r>
    </w:p>
    <w:p>
      <w:pPr>
        <w:spacing w:after="40" w:before="11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314575"/>
                    </a:xfrm>
                    <a:prstGeom prst="rect">
                      <a:avLst/>
                    </a:prstGeom>
                  </pic:spPr>
                </pic:pic>
              </a:graphicData>
            </a:graphic>
          </wp:inline>
        </w:drawing>
      </w:r>
    </w:p>
    <w:p>
      <w:pPr>
        <w:spacing w:after="150"/>
        <w:jc w:val="center"/>
      </w:pPr>
      <w:r>
        <w:rPr>
          <w:i/>
          <w:iCs/>
          <w:color w:val="595959"/>
          <w:sz w:val="17"/>
          <w:szCs w:val="17"/>
        </w:rPr>
        <w:t xml:space="preserve">Figura 2. Chequeo predictivo Fase 2. Calibrar (a, b) no baja la dispersión: hay un piso de desajuste.</w:t>
      </w:r>
    </w:p>
    <w:p>
      <w:pPr>
        <w:pStyle w:val="Heading2"/>
        <w:spacing w:after="90" w:before="200"/>
      </w:pPr>
      <w:r>
        <w:rPr>
          <w:b/>
          <w:bCs/>
          <w:color w:val="1F3864"/>
        </w:rPr>
        <w:t xml:space="preserve">Fase 3 — El piso es la posición del sensor</w:t>
      </w:r>
    </w:p>
    <w:p>
      <w:pPr>
        <w:spacing w:after="130"/>
        <w:jc w:val="both"/>
      </w:pPr>
      <w:r>
        <w:t xml:space="preserve">Con ~400 corridas de alta resolución que guardan el campo alrededor de cada sensor, se marginaliza la posición del sensor como variable latente. La métrica honesta es la validación cruzada: infiriendo la posición sólo con la banda azul se predice la verde. El ajuste pasa de 0,45 (posición nominal) a ≈0,88. Que una banda prediga la otra confirma que las correcciones de posición son físicas, no sobreajuste. La inclinación resulta secundaria una vez modelada la posición.</w:t>
      </w:r>
    </w:p>
    <w:p>
      <w:pPr>
        <w:spacing w:after="40" w:before="110"/>
        <w:jc w:val="center"/>
      </w:pPr>
      <w:r>
        <w:drawing>
          <wp:inline distT="0" distB="0" distL="0" distR="0">
            <wp:extent cx="4953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28950"/>
                    </a:xfrm>
                    <a:prstGeom prst="rect">
                      <a:avLst/>
                    </a:prstGeom>
                  </pic:spPr>
                </pic:pic>
              </a:graphicData>
            </a:graphic>
          </wp:inline>
        </w:drawing>
      </w:r>
    </w:p>
    <w:p>
      <w:pPr>
        <w:spacing w:after="150"/>
        <w:jc w:val="center"/>
      </w:pPr>
      <w:r>
        <w:rPr>
          <w:i/>
          <w:iCs/>
          <w:color w:val="595959"/>
          <w:sz w:val="17"/>
          <w:szCs w:val="17"/>
        </w:rPr>
        <w:t xml:space="preserve">Figura 3. Recuperación del ajuste al modelar la posición del sensor (validación cruzada azul→verde).</w:t>
      </w:r>
    </w:p>
    <w:p>
      <w:pPr>
        <w:pStyle w:val="Heading1"/>
        <w:spacing w:after="120" w:before="280"/>
      </w:pPr>
      <w:r>
        <w:rPr>
          <w:b/>
          <w:bCs/>
          <w:color w:val="1F3864"/>
        </w:rPr>
        <w:t xml:space="preserve">5. Relación entre la incertidumbre de posición y el ajuste</w:t>
      </w:r>
    </w:p>
    <w:p>
      <w:pPr>
        <w:spacing w:after="130"/>
        <w:jc w:val="both"/>
      </w:pPr>
      <w:r>
        <w:t xml:space="preserve">Como σ ≈ 2 m sería alto para las condiciones de medición, se cuantificó la relación fina entre la variación de posición y el ajuste, separando el eje horizontal del de profundidad. </w:t>
      </w:r>
      <w:r>
        <w:rPr>
          <w:b/>
          <w:bCs/>
        </w:rPr>
        <w:t xml:space="preserve">Un error de posición modesto ya explica casi todo el piso</w:t>
      </w:r>
      <w:r>
        <w:t xml:space="preserve">: desde R²=0,41 con posición nominal, ~0,5 m combinados dan 0,69; ~0,7 m dan 0,77; ~1 m dan ~0,86. Más allá de ~1 m la ganancia se satura —la evidencia premia esa holgura extra porque absorbe discrepancia del modelo, no porque el ajuste mejore. Horizontal y profundidad contribuyen de forma comparable; combinadas son lo más efectivo.</w:t>
      </w:r>
    </w:p>
    <w:p>
      <w:pPr>
        <w:spacing w:after="40" w:before="11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24200"/>
                    </a:xfrm>
                    <a:prstGeom prst="rect">
                      <a:avLst/>
                    </a:prstGeom>
                  </pic:spPr>
                </pic:pic>
              </a:graphicData>
            </a:graphic>
          </wp:inline>
        </w:drawing>
      </w:r>
    </w:p>
    <w:p>
      <w:pPr>
        <w:spacing w:after="150"/>
        <w:jc w:val="center"/>
      </w:pPr>
      <w:r>
        <w:rPr>
          <w:i/>
          <w:iCs/>
          <w:color w:val="595959"/>
          <w:sz w:val="17"/>
          <w:szCs w:val="17"/>
        </w:rPr>
        <w:t xml:space="preserve">Figura 4. R² validado cruzado vs σ de posición del sensor, separando horizontal, profundidad y ambos. Un error combinado de ~0,7–1 m recupera la mayor parte del ajuste; no se requieren 2 m.</w:t>
      </w:r>
    </w:p>
    <w:tbl>
      <w:tblPr>
        <w:tblW w:type="dxa" w:w="77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1700"/>
        <w:gridCol w:w="1700"/>
        <w:gridCol w:w="1700"/>
      </w:tblGrid>
      <w:tr>
        <w:trPr>
          <w:tblHeader/>
        </w:trPr>
        <w:tc>
          <w:tcPr>
            <w:tcW w:type="dxa" w:w="2600"/>
            <w:shd w:fill="1F3864" w:val="clear"/>
            <w:tcMar>
              <w:top w:type="dxa" w:w="40"/>
              <w:left w:type="dxa" w:w="90"/>
              <w:bottom w:type="dxa" w:w="40"/>
              <w:right w:type="dxa" w:w="90"/>
            </w:tcMar>
          </w:tcPr>
          <w:p>
            <w:pPr>
              <w:jc w:val="left"/>
            </w:pPr>
            <w:r>
              <w:rPr>
                <w:b/>
                <w:bCs/>
                <w:color w:val="FFFFFF"/>
                <w:sz w:val="18"/>
                <w:szCs w:val="18"/>
              </w:rPr>
              <w:t xml:space="preserve">σ posición [m]</w:t>
            </w:r>
          </w:p>
        </w:tc>
        <w:tc>
          <w:tcPr>
            <w:tcW w:type="dxa" w:w="1700"/>
            <w:shd w:fill="1F3864" w:val="clear"/>
            <w:tcMar>
              <w:top w:type="dxa" w:w="40"/>
              <w:left w:type="dxa" w:w="90"/>
              <w:bottom w:type="dxa" w:w="40"/>
              <w:right w:type="dxa" w:w="90"/>
            </w:tcMar>
          </w:tcPr>
          <w:p>
            <w:pPr>
              <w:jc w:val="center"/>
            </w:pPr>
            <w:r>
              <w:rPr>
                <w:b/>
                <w:bCs/>
                <w:color w:val="FFFFFF"/>
                <w:sz w:val="18"/>
                <w:szCs w:val="18"/>
              </w:rPr>
              <w:t xml:space="preserve">horiz.</w:t>
            </w:r>
          </w:p>
        </w:tc>
        <w:tc>
          <w:tcPr>
            <w:tcW w:type="dxa" w:w="1700"/>
            <w:shd w:fill="1F3864" w:val="clear"/>
            <w:tcMar>
              <w:top w:type="dxa" w:w="40"/>
              <w:left w:type="dxa" w:w="90"/>
              <w:bottom w:type="dxa" w:w="40"/>
              <w:right w:type="dxa" w:w="90"/>
            </w:tcMar>
          </w:tcPr>
          <w:p>
            <w:pPr>
              <w:jc w:val="center"/>
            </w:pPr>
            <w:r>
              <w:rPr>
                <w:b/>
                <w:bCs/>
                <w:color w:val="FFFFFF"/>
                <w:sz w:val="18"/>
                <w:szCs w:val="18"/>
              </w:rPr>
              <w:t xml:space="preserve">profund.</w:t>
            </w:r>
          </w:p>
        </w:tc>
        <w:tc>
          <w:tcPr>
            <w:tcW w:type="dxa" w:w="1700"/>
            <w:shd w:fill="1F3864" w:val="clear"/>
            <w:tcMar>
              <w:top w:type="dxa" w:w="40"/>
              <w:left w:type="dxa" w:w="90"/>
              <w:bottom w:type="dxa" w:w="40"/>
              <w:right w:type="dxa" w:w="90"/>
            </w:tcMar>
          </w:tcPr>
          <w:p>
            <w:pPr>
              <w:jc w:val="center"/>
            </w:pPr>
            <w:r>
              <w:rPr>
                <w:b/>
                <w:bCs/>
                <w:color w:val="FFFFFF"/>
                <w:sz w:val="18"/>
                <w:szCs w:val="18"/>
              </w:rPr>
              <w:t xml:space="preserve">ambos</w:t>
            </w:r>
          </w:p>
        </w:tc>
      </w:tr>
      <w:tr>
        <w:tc>
          <w:tcPr>
            <w:tcW w:type="dxa" w:w="2600"/>
            <w:tcMar>
              <w:top w:type="dxa" w:w="40"/>
              <w:left w:type="dxa" w:w="90"/>
              <w:bottom w:type="dxa" w:w="40"/>
              <w:right w:type="dxa" w:w="90"/>
            </w:tcMar>
          </w:tcPr>
          <w:p>
            <w:pPr>
              <w:jc w:val="left"/>
            </w:pPr>
            <w:r>
              <w:rPr>
                <w:b/>
                <w:bCs/>
                <w:color w:val="000000"/>
                <w:sz w:val="18"/>
                <w:szCs w:val="18"/>
              </w:rPr>
              <w:t xml:space="preserve">nominal (~0)</w:t>
            </w:r>
          </w:p>
        </w:tc>
        <w:tc>
          <w:tcPr>
            <w:tcW w:type="dxa" w:w="1700"/>
            <w:tcMar>
              <w:top w:type="dxa" w:w="40"/>
              <w:left w:type="dxa" w:w="90"/>
              <w:bottom w:type="dxa" w:w="40"/>
              <w:right w:type="dxa" w:w="90"/>
            </w:tcMar>
          </w:tcPr>
          <w:p>
            <w:pPr>
              <w:jc w:val="center"/>
            </w:pPr>
            <w:r>
              <w:rPr>
                <w:b w:val="false"/>
                <w:bCs w:val="false"/>
                <w:color w:val="000000"/>
                <w:sz w:val="18"/>
                <w:szCs w:val="18"/>
              </w:rPr>
              <w:t xml:space="preserve">0,41</w:t>
            </w:r>
          </w:p>
        </w:tc>
        <w:tc>
          <w:tcPr>
            <w:tcW w:type="dxa" w:w="1700"/>
            <w:tcMar>
              <w:top w:type="dxa" w:w="40"/>
              <w:left w:type="dxa" w:w="90"/>
              <w:bottom w:type="dxa" w:w="40"/>
              <w:right w:type="dxa" w:w="90"/>
            </w:tcMar>
          </w:tcPr>
          <w:p>
            <w:pPr>
              <w:jc w:val="center"/>
            </w:pPr>
            <w:r>
              <w:rPr>
                <w:b w:val="false"/>
                <w:bCs w:val="false"/>
                <w:color w:val="000000"/>
                <w:sz w:val="18"/>
                <w:szCs w:val="18"/>
              </w:rPr>
              <w:t xml:space="preserve">0,41</w:t>
            </w:r>
          </w:p>
        </w:tc>
        <w:tc>
          <w:tcPr>
            <w:tcW w:type="dxa" w:w="1700"/>
            <w:tcMar>
              <w:top w:type="dxa" w:w="40"/>
              <w:left w:type="dxa" w:w="90"/>
              <w:bottom w:type="dxa" w:w="40"/>
              <w:right w:type="dxa" w:w="90"/>
            </w:tcMar>
          </w:tcPr>
          <w:p>
            <w:pPr>
              <w:jc w:val="center"/>
            </w:pPr>
            <w:r>
              <w:rPr>
                <w:b w:val="false"/>
                <w:bCs w:val="false"/>
                <w:color w:val="000000"/>
                <w:sz w:val="18"/>
                <w:szCs w:val="18"/>
              </w:rPr>
              <w:t xml:space="preserve">0,41</w:t>
            </w:r>
          </w:p>
        </w:tc>
      </w:tr>
      <w:tr>
        <w:tc>
          <w:tcPr>
            <w:tcW w:type="dxa" w:w="2600"/>
            <w:tcMar>
              <w:top w:type="dxa" w:w="40"/>
              <w:left w:type="dxa" w:w="90"/>
              <w:bottom w:type="dxa" w:w="40"/>
              <w:right w:type="dxa" w:w="90"/>
            </w:tcMar>
          </w:tcPr>
          <w:p>
            <w:pPr>
              <w:jc w:val="left"/>
            </w:pPr>
            <w:r>
              <w:rPr>
                <w:b/>
                <w:bCs/>
                <w:color w:val="000000"/>
                <w:sz w:val="18"/>
                <w:szCs w:val="18"/>
              </w:rPr>
              <w:t xml:space="preserve">0,5</w:t>
            </w:r>
          </w:p>
        </w:tc>
        <w:tc>
          <w:tcPr>
            <w:tcW w:type="dxa" w:w="1700"/>
            <w:tcMar>
              <w:top w:type="dxa" w:w="40"/>
              <w:left w:type="dxa" w:w="90"/>
              <w:bottom w:type="dxa" w:w="40"/>
              <w:right w:type="dxa" w:w="90"/>
            </w:tcMar>
          </w:tcPr>
          <w:p>
            <w:pPr>
              <w:jc w:val="center"/>
            </w:pPr>
            <w:r>
              <w:rPr>
                <w:b w:val="false"/>
                <w:bCs w:val="false"/>
                <w:color w:val="000000"/>
                <w:sz w:val="18"/>
                <w:szCs w:val="18"/>
              </w:rPr>
              <w:t xml:space="preserve">0,61</w:t>
            </w:r>
          </w:p>
        </w:tc>
        <w:tc>
          <w:tcPr>
            <w:tcW w:type="dxa" w:w="1700"/>
            <w:tcMar>
              <w:top w:type="dxa" w:w="40"/>
              <w:left w:type="dxa" w:w="90"/>
              <w:bottom w:type="dxa" w:w="40"/>
              <w:right w:type="dxa" w:w="90"/>
            </w:tcMar>
          </w:tcPr>
          <w:p>
            <w:pPr>
              <w:jc w:val="center"/>
            </w:pPr>
            <w:r>
              <w:rPr>
                <w:b w:val="false"/>
                <w:bCs w:val="false"/>
                <w:color w:val="000000"/>
                <w:sz w:val="18"/>
                <w:szCs w:val="18"/>
              </w:rPr>
              <w:t xml:space="preserve">0,55</w:t>
            </w:r>
          </w:p>
        </w:tc>
        <w:tc>
          <w:tcPr>
            <w:tcW w:type="dxa" w:w="1700"/>
            <w:tcMar>
              <w:top w:type="dxa" w:w="40"/>
              <w:left w:type="dxa" w:w="90"/>
              <w:bottom w:type="dxa" w:w="40"/>
              <w:right w:type="dxa" w:w="90"/>
            </w:tcMar>
          </w:tcPr>
          <w:p>
            <w:pPr>
              <w:jc w:val="center"/>
            </w:pPr>
            <w:r>
              <w:rPr>
                <w:b w:val="false"/>
                <w:bCs w:val="false"/>
                <w:color w:val="000000"/>
                <w:sz w:val="18"/>
                <w:szCs w:val="18"/>
              </w:rPr>
              <w:t xml:space="preserve">0,69</w:t>
            </w:r>
          </w:p>
        </w:tc>
      </w:tr>
      <w:tr>
        <w:tc>
          <w:tcPr>
            <w:tcW w:type="dxa" w:w="2600"/>
            <w:tcMar>
              <w:top w:type="dxa" w:w="40"/>
              <w:left w:type="dxa" w:w="90"/>
              <w:bottom w:type="dxa" w:w="40"/>
              <w:right w:type="dxa" w:w="90"/>
            </w:tcMar>
          </w:tcPr>
          <w:p>
            <w:pPr>
              <w:jc w:val="left"/>
            </w:pPr>
            <w:r>
              <w:rPr>
                <w:b/>
                <w:bCs/>
                <w:color w:val="000000"/>
                <w:sz w:val="18"/>
                <w:szCs w:val="18"/>
              </w:rPr>
              <w:t xml:space="preserve">0,7</w:t>
            </w:r>
          </w:p>
        </w:tc>
        <w:tc>
          <w:tcPr>
            <w:tcW w:type="dxa" w:w="1700"/>
            <w:tcMar>
              <w:top w:type="dxa" w:w="40"/>
              <w:left w:type="dxa" w:w="90"/>
              <w:bottom w:type="dxa" w:w="40"/>
              <w:right w:type="dxa" w:w="90"/>
            </w:tcMar>
          </w:tcPr>
          <w:p>
            <w:pPr>
              <w:jc w:val="center"/>
            </w:pPr>
            <w:r>
              <w:rPr>
                <w:b w:val="false"/>
                <w:bCs w:val="false"/>
                <w:color w:val="000000"/>
                <w:sz w:val="18"/>
                <w:szCs w:val="18"/>
              </w:rPr>
              <w:t xml:space="preserve">0,68</w:t>
            </w:r>
          </w:p>
        </w:tc>
        <w:tc>
          <w:tcPr>
            <w:tcW w:type="dxa" w:w="1700"/>
            <w:tcMar>
              <w:top w:type="dxa" w:w="40"/>
              <w:left w:type="dxa" w:w="90"/>
              <w:bottom w:type="dxa" w:w="40"/>
              <w:right w:type="dxa" w:w="90"/>
            </w:tcMar>
          </w:tcPr>
          <w:p>
            <w:pPr>
              <w:jc w:val="center"/>
            </w:pPr>
            <w:r>
              <w:rPr>
                <w:b w:val="false"/>
                <w:bCs w:val="false"/>
                <w:color w:val="000000"/>
                <w:sz w:val="18"/>
                <w:szCs w:val="18"/>
              </w:rPr>
              <w:t xml:space="preserve">0,67</w:t>
            </w:r>
          </w:p>
        </w:tc>
        <w:tc>
          <w:tcPr>
            <w:tcW w:type="dxa" w:w="1700"/>
            <w:tcMar>
              <w:top w:type="dxa" w:w="40"/>
              <w:left w:type="dxa" w:w="90"/>
              <w:bottom w:type="dxa" w:w="40"/>
              <w:right w:type="dxa" w:w="90"/>
            </w:tcMar>
          </w:tcPr>
          <w:p>
            <w:pPr>
              <w:jc w:val="center"/>
            </w:pPr>
            <w:r>
              <w:rPr>
                <w:b w:val="false"/>
                <w:bCs w:val="false"/>
                <w:color w:val="000000"/>
                <w:sz w:val="18"/>
                <w:szCs w:val="18"/>
              </w:rPr>
              <w:t xml:space="preserve">0,77</w:t>
            </w:r>
          </w:p>
        </w:tc>
      </w:tr>
      <w:tr>
        <w:tc>
          <w:tcPr>
            <w:tcW w:type="dxa" w:w="2600"/>
            <w:tcMar>
              <w:top w:type="dxa" w:w="40"/>
              <w:left w:type="dxa" w:w="90"/>
              <w:bottom w:type="dxa" w:w="40"/>
              <w:right w:type="dxa" w:w="90"/>
            </w:tcMar>
          </w:tcPr>
          <w:p>
            <w:pPr>
              <w:jc w:val="left"/>
            </w:pPr>
            <w:r>
              <w:rPr>
                <w:b/>
                <w:bCs/>
                <w:color w:val="000000"/>
                <w:sz w:val="18"/>
                <w:szCs w:val="18"/>
              </w:rPr>
              <w:t xml:space="preserve">1,0</w:t>
            </w:r>
          </w:p>
        </w:tc>
        <w:tc>
          <w:tcPr>
            <w:tcW w:type="dxa" w:w="1700"/>
            <w:tcMar>
              <w:top w:type="dxa" w:w="40"/>
              <w:left w:type="dxa" w:w="90"/>
              <w:bottom w:type="dxa" w:w="40"/>
              <w:right w:type="dxa" w:w="90"/>
            </w:tcMar>
          </w:tcPr>
          <w:p>
            <w:pPr>
              <w:jc w:val="center"/>
            </w:pPr>
            <w:r>
              <w:rPr>
                <w:b w:val="false"/>
                <w:bCs w:val="false"/>
                <w:color w:val="000000"/>
                <w:sz w:val="18"/>
                <w:szCs w:val="18"/>
              </w:rPr>
              <w:t xml:space="preserve">0,78</w:t>
            </w:r>
          </w:p>
        </w:tc>
        <w:tc>
          <w:tcPr>
            <w:tcW w:type="dxa" w:w="1700"/>
            <w:tcMar>
              <w:top w:type="dxa" w:w="40"/>
              <w:left w:type="dxa" w:w="90"/>
              <w:bottom w:type="dxa" w:w="40"/>
              <w:right w:type="dxa" w:w="90"/>
            </w:tcMar>
          </w:tcPr>
          <w:p>
            <w:pPr>
              <w:jc w:val="center"/>
            </w:pPr>
            <w:r>
              <w:rPr>
                <w:b w:val="false"/>
                <w:bCs w:val="false"/>
                <w:color w:val="000000"/>
                <w:sz w:val="18"/>
                <w:szCs w:val="18"/>
              </w:rPr>
              <w:t xml:space="preserve">0,83</w:t>
            </w:r>
          </w:p>
        </w:tc>
        <w:tc>
          <w:tcPr>
            <w:tcW w:type="dxa" w:w="1700"/>
            <w:tcMar>
              <w:top w:type="dxa" w:w="40"/>
              <w:left w:type="dxa" w:w="90"/>
              <w:bottom w:type="dxa" w:w="40"/>
              <w:right w:type="dxa" w:w="90"/>
            </w:tcMar>
          </w:tcPr>
          <w:p>
            <w:pPr>
              <w:jc w:val="center"/>
            </w:pPr>
            <w:r>
              <w:rPr>
                <w:b w:val="false"/>
                <w:bCs w:val="false"/>
                <w:color w:val="000000"/>
                <w:sz w:val="18"/>
                <w:szCs w:val="18"/>
              </w:rPr>
              <w:t xml:space="preserve">0,86</w:t>
            </w:r>
          </w:p>
        </w:tc>
      </w:tr>
      <w:tr>
        <w:tc>
          <w:tcPr>
            <w:tcW w:type="dxa" w:w="2600"/>
            <w:tcMar>
              <w:top w:type="dxa" w:w="40"/>
              <w:left w:type="dxa" w:w="90"/>
              <w:bottom w:type="dxa" w:w="40"/>
              <w:right w:type="dxa" w:w="90"/>
            </w:tcMar>
          </w:tcPr>
          <w:p>
            <w:pPr>
              <w:jc w:val="left"/>
            </w:pPr>
            <w:r>
              <w:rPr>
                <w:b/>
                <w:bCs/>
                <w:color w:val="000000"/>
                <w:sz w:val="18"/>
                <w:szCs w:val="18"/>
              </w:rPr>
              <w:t xml:space="preserve">1,5</w:t>
            </w:r>
          </w:p>
        </w:tc>
        <w:tc>
          <w:tcPr>
            <w:tcW w:type="dxa" w:w="1700"/>
            <w:tcMar>
              <w:top w:type="dxa" w:w="40"/>
              <w:left w:type="dxa" w:w="90"/>
              <w:bottom w:type="dxa" w:w="40"/>
              <w:right w:type="dxa" w:w="90"/>
            </w:tcMar>
          </w:tcPr>
          <w:p>
            <w:pPr>
              <w:jc w:val="center"/>
            </w:pPr>
            <w:r>
              <w:rPr>
                <w:b w:val="false"/>
                <w:bCs w:val="false"/>
                <w:color w:val="000000"/>
                <w:sz w:val="18"/>
                <w:szCs w:val="18"/>
              </w:rPr>
              <w:t xml:space="preserve">0,81</w:t>
            </w:r>
          </w:p>
        </w:tc>
        <w:tc>
          <w:tcPr>
            <w:tcW w:type="dxa" w:w="1700"/>
            <w:tcMar>
              <w:top w:type="dxa" w:w="40"/>
              <w:left w:type="dxa" w:w="90"/>
              <w:bottom w:type="dxa" w:w="40"/>
              <w:right w:type="dxa" w:w="90"/>
            </w:tcMar>
          </w:tcPr>
          <w:p>
            <w:pPr>
              <w:jc w:val="center"/>
            </w:pPr>
            <w:r>
              <w:rPr>
                <w:b w:val="false"/>
                <w:bCs w:val="false"/>
                <w:color w:val="000000"/>
                <w:sz w:val="18"/>
                <w:szCs w:val="18"/>
              </w:rPr>
              <w:t xml:space="preserve">0,87</w:t>
            </w:r>
          </w:p>
        </w:tc>
        <w:tc>
          <w:tcPr>
            <w:tcW w:type="dxa" w:w="1700"/>
            <w:tcMar>
              <w:top w:type="dxa" w:w="40"/>
              <w:left w:type="dxa" w:w="90"/>
              <w:bottom w:type="dxa" w:w="40"/>
              <w:right w:type="dxa" w:w="90"/>
            </w:tcMar>
          </w:tcPr>
          <w:p>
            <w:pPr>
              <w:jc w:val="center"/>
            </w:pPr>
            <w:r>
              <w:rPr>
                <w:b w:val="false"/>
                <w:bCs w:val="false"/>
                <w:color w:val="000000"/>
                <w:sz w:val="18"/>
                <w:szCs w:val="18"/>
              </w:rPr>
              <w:t xml:space="preserve">0,92</w:t>
            </w:r>
          </w:p>
        </w:tc>
      </w:tr>
    </w:tbl>
    <w:p>
      <w:pPr>
        <w:spacing w:before="40"/>
        <w:jc w:val="both"/>
      </w:pPr>
      <w:r>
        <w:rPr>
          <w:i/>
          <w:iCs/>
          <w:color w:val="595959"/>
          <w:sz w:val="17"/>
          <w:szCs w:val="17"/>
        </w:rPr>
        <w:t xml:space="preserve">Tabla: R² validado cruzado (azul→verde) según la magnitud de incertidumbre de posición asumida.</w:t>
      </w:r>
    </w:p>
    <w:p>
      <w:pPr>
        <w:pStyle w:val="Heading1"/>
        <w:spacing w:after="120" w:before="280"/>
      </w:pPr>
      <w:r>
        <w:rPr>
          <w:b/>
          <w:bCs/>
          <w:color w:val="1F3864"/>
        </w:rPr>
        <w:t xml:space="preserve">6. Estructura del análisis y por qué no es sobreajuste</w:t>
      </w:r>
    </w:p>
    <w:p>
      <w:pPr>
        <w:pStyle w:val="Heading2"/>
        <w:spacing w:after="90" w:before="200"/>
      </w:pPr>
      <w:r>
        <w:rPr>
          <w:b/>
          <w:bCs/>
          <w:color w:val="1F3864"/>
        </w:rPr>
        <w:t xml:space="preserve">6.1 Estructura del modelo</w:t>
      </w:r>
    </w:p>
    <w:p>
      <w:pPr>
        <w:spacing w:after="130"/>
        <w:jc w:val="both"/>
      </w:pPr>
      <w:r>
        <w:t xml:space="preserve">El modelo tiene pocos parámetros globales y trata la posición del sensor como una variable latente marginalizada, no como un parámetro libre ajustado. En log₁₀, la observación de la banda b en el punto i es:</w:t>
      </w:r>
    </w:p>
    <w:p>
      <w:pPr>
        <w:spacing w:after="130"/>
        <w:jc w:val="center"/>
      </w:pPr>
      <w:r>
        <w:rPr>
          <w:i/>
          <w:iCs/>
        </w:rPr>
        <w:t xml:space="preserve">log E_medida(i,b) = log E_sim(posición_i ; c₅₅₀, ω, η, dz) + O + ε</w:t>
      </w:r>
      <w:r>
        <w:t xml:space="preserve">,  con ε ~ N(0, s).</w:t>
      </w:r>
    </w:p>
    <w:p>
      <w:pPr>
        <w:spacing w:after="130"/>
        <w:jc w:val="both"/>
      </w:pPr>
      <w:r>
        <w:t xml:space="preserve">O es la escala/potencia absoluta (nuisance, común a todos los puntos, perfilada); s es el ruido de discrepancia. La posición del sensor es una latente por punto con prior N(0, σ), </w:t>
      </w:r>
      <w:r>
        <w:rPr>
          <w:b/>
          <w:bCs/>
        </w:rPr>
        <w:t xml:space="preserve">compartida por las dos bandas del mismo punto</w:t>
      </w:r>
      <w:r>
        <w:t xml:space="preserve">. La verosimilitud integra (marginaliza) la posición sobre ese prior en la vecindad simulada —no elige la mejor—. La magnitud de incertidumbre σ es un único hiperparámetro jerárquico (no 62 valores libres), inferido por evidencia bayesiana. La inferencia de (c₅₅₀, ω, η, dz) se hace por muestreo de importancia sobre un diseño Latin-hypercube, con corrección de mezcla (MIS) para el lote de refinamiento y forward model determinista (semilla fija).</w:t>
      </w:r>
    </w:p>
    <w:p>
      <w:pPr>
        <w:pStyle w:val="Heading2"/>
        <w:spacing w:after="90" w:before="200"/>
      </w:pPr>
      <w:r>
        <w:rPr>
          <w:b/>
          <w:bCs/>
          <w:color w:val="1F3864"/>
        </w:rPr>
        <w:t xml:space="preserve">6.2 Conteo de grados de libertad</w:t>
      </w:r>
    </w:p>
    <w:tbl>
      <w:tblPr>
        <w:tblW w:type="dxa" w:w="8400"/>
        <w:tblBorders>
          <w:top w:val="single" w:color="1F3864" w:sz="4"/>
          <w:left w:val="single" w:color="1F3864" w:sz="4"/>
          <w:bottom w:val="single" w:color="1F3864" w:sz="4"/>
          <w:right w:val="single" w:color="1F3864" w:sz="4"/>
          <w:insideH w:val="single" w:color="BFBFBF" w:sz="2"/>
          <w:insideV w:val="single" w:color="BFBFBF" w:sz="2"/>
        </w:tblBorders>
      </w:tblPr>
      <w:tblGrid>
        <w:gridCol w:w="4200"/>
        <w:gridCol w:w="4200"/>
      </w:tblGrid>
      <w:tr>
        <w:trPr>
          <w:tblHeader/>
        </w:trPr>
        <w:tc>
          <w:tcPr>
            <w:tcW w:type="dxa" w:w="4200"/>
            <w:shd w:fill="1F3864" w:val="clear"/>
            <w:tcMar>
              <w:top w:type="dxa" w:w="40"/>
              <w:left w:type="dxa" w:w="90"/>
              <w:bottom w:type="dxa" w:w="40"/>
              <w:right w:type="dxa" w:w="90"/>
            </w:tcMar>
          </w:tcPr>
          <w:p>
            <w:pPr>
              <w:jc w:val="left"/>
            </w:pPr>
            <w:r>
              <w:rPr>
                <w:b/>
                <w:bCs/>
                <w:color w:val="FFFFFF"/>
                <w:sz w:val="18"/>
                <w:szCs w:val="18"/>
              </w:rPr>
              <w:t xml:space="preserve">Elemento</w:t>
            </w:r>
          </w:p>
        </w:tc>
        <w:tc>
          <w:tcPr>
            <w:tcW w:type="dxa" w:w="4200"/>
            <w:shd w:fill="1F3864" w:val="clear"/>
            <w:tcMar>
              <w:top w:type="dxa" w:w="40"/>
              <w:left w:type="dxa" w:w="90"/>
              <w:bottom w:type="dxa" w:w="40"/>
              <w:right w:type="dxa" w:w="90"/>
            </w:tcMar>
          </w:tcPr>
          <w:p>
            <w:pPr>
              <w:jc w:val="center"/>
            </w:pPr>
            <w:r>
              <w:rPr>
                <w:b/>
                <w:bCs/>
                <w:color w:val="FFFFFF"/>
                <w:sz w:val="18"/>
                <w:szCs w:val="18"/>
              </w:rPr>
              <w:t xml:space="preserve">Cantidad</w:t>
            </w:r>
          </w:p>
        </w:tc>
      </w:tr>
      <w:tr>
        <w:tc>
          <w:tcPr>
            <w:tcW w:type="dxa" w:w="4200"/>
            <w:tcMar>
              <w:top w:type="dxa" w:w="40"/>
              <w:left w:type="dxa" w:w="90"/>
              <w:bottom w:type="dxa" w:w="40"/>
              <w:right w:type="dxa" w:w="90"/>
            </w:tcMar>
          </w:tcPr>
          <w:p>
            <w:pPr>
              <w:jc w:val="left"/>
            </w:pPr>
            <w:r>
              <w:rPr>
                <w:b/>
                <w:bCs/>
                <w:color w:val="000000"/>
                <w:sz w:val="18"/>
                <w:szCs w:val="18"/>
              </w:rPr>
              <w:t xml:space="preserve">Datos (residuos)</w:t>
            </w:r>
          </w:p>
        </w:tc>
        <w:tc>
          <w:tcPr>
            <w:tcW w:type="dxa" w:w="4200"/>
            <w:tcMar>
              <w:top w:type="dxa" w:w="40"/>
              <w:left w:type="dxa" w:w="90"/>
              <w:bottom w:type="dxa" w:w="40"/>
              <w:right w:type="dxa" w:w="90"/>
            </w:tcMar>
          </w:tcPr>
          <w:p>
            <w:pPr>
              <w:jc w:val="center"/>
            </w:pPr>
            <w:r>
              <w:rPr>
                <w:b w:val="false"/>
                <w:bCs w:val="false"/>
                <w:color w:val="000000"/>
                <w:sz w:val="18"/>
                <w:szCs w:val="18"/>
              </w:rPr>
              <w:t xml:space="preserve">62 (31 puntos × 2 bandas)</w:t>
            </w:r>
          </w:p>
        </w:tc>
      </w:tr>
      <w:tr>
        <w:tc>
          <w:tcPr>
            <w:tcW w:type="dxa" w:w="4200"/>
            <w:tcMar>
              <w:top w:type="dxa" w:w="40"/>
              <w:left w:type="dxa" w:w="90"/>
              <w:bottom w:type="dxa" w:w="40"/>
              <w:right w:type="dxa" w:w="90"/>
            </w:tcMar>
          </w:tcPr>
          <w:p>
            <w:pPr>
              <w:jc w:val="left"/>
            </w:pPr>
            <w:r>
              <w:rPr>
                <w:b/>
                <w:bCs/>
                <w:color w:val="000000"/>
                <w:sz w:val="18"/>
                <w:szCs w:val="18"/>
              </w:rPr>
              <w:t xml:space="preserve">Parámetros globales ajustados</w:t>
            </w:r>
          </w:p>
        </w:tc>
        <w:tc>
          <w:tcPr>
            <w:tcW w:type="dxa" w:w="4200"/>
            <w:tcMar>
              <w:top w:type="dxa" w:w="40"/>
              <w:left w:type="dxa" w:w="90"/>
              <w:bottom w:type="dxa" w:w="40"/>
              <w:right w:type="dxa" w:w="90"/>
            </w:tcMar>
          </w:tcPr>
          <w:p>
            <w:pPr>
              <w:jc w:val="center"/>
            </w:pPr>
            <w:r>
              <w:rPr>
                <w:b w:val="false"/>
                <w:bCs w:val="false"/>
                <w:color w:val="000000"/>
                <w:sz w:val="18"/>
                <w:szCs w:val="18"/>
              </w:rPr>
              <w:t xml:space="preserve">≈ 7–8 (c₅₅₀, ω, η, dz, O, σ_xy, σ_z, σ_tilt)</w:t>
            </w:r>
          </w:p>
        </w:tc>
      </w:tr>
      <w:tr>
        <w:tc>
          <w:tcPr>
            <w:tcW w:type="dxa" w:w="4200"/>
            <w:tcMar>
              <w:top w:type="dxa" w:w="40"/>
              <w:left w:type="dxa" w:w="90"/>
              <w:bottom w:type="dxa" w:w="40"/>
              <w:right w:type="dxa" w:w="90"/>
            </w:tcMar>
          </w:tcPr>
          <w:p>
            <w:pPr>
              <w:jc w:val="left"/>
            </w:pPr>
            <w:r>
              <w:rPr>
                <w:b/>
                <w:bCs/>
                <w:color w:val="000000"/>
                <w:sz w:val="18"/>
                <w:szCs w:val="18"/>
              </w:rPr>
              <w:t xml:space="preserve">Posiciones por punto</w:t>
            </w:r>
          </w:p>
        </w:tc>
        <w:tc>
          <w:tcPr>
            <w:tcW w:type="dxa" w:w="4200"/>
            <w:tcMar>
              <w:top w:type="dxa" w:w="40"/>
              <w:left w:type="dxa" w:w="90"/>
              <w:bottom w:type="dxa" w:w="40"/>
              <w:right w:type="dxa" w:w="90"/>
            </w:tcMar>
          </w:tcPr>
          <w:p>
            <w:pPr>
              <w:jc w:val="center"/>
            </w:pPr>
            <w:r>
              <w:rPr>
                <w:b w:val="false"/>
                <w:bCs w:val="false"/>
                <w:color w:val="000000"/>
                <w:sz w:val="18"/>
                <w:szCs w:val="18"/>
              </w:rPr>
              <w:t xml:space="preserve">latentes marginalizadas (no ajustadas)</w:t>
            </w:r>
          </w:p>
        </w:tc>
      </w:tr>
      <w:tr>
        <w:tc>
          <w:tcPr>
            <w:tcW w:type="dxa" w:w="4200"/>
            <w:tcMar>
              <w:top w:type="dxa" w:w="40"/>
              <w:left w:type="dxa" w:w="90"/>
              <w:bottom w:type="dxa" w:w="40"/>
              <w:right w:type="dxa" w:w="90"/>
            </w:tcMar>
          </w:tcPr>
          <w:p>
            <w:pPr>
              <w:jc w:val="left"/>
            </w:pPr>
            <w:r>
              <w:rPr>
                <w:b/>
                <w:bCs/>
                <w:color w:val="000000"/>
                <w:sz w:val="18"/>
                <w:szCs w:val="18"/>
              </w:rPr>
              <w:t xml:space="preserve">Restricción sobre la posición</w:t>
            </w:r>
          </w:p>
        </w:tc>
        <w:tc>
          <w:tcPr>
            <w:tcW w:type="dxa" w:w="4200"/>
            <w:tcMar>
              <w:top w:type="dxa" w:w="40"/>
              <w:left w:type="dxa" w:w="90"/>
              <w:bottom w:type="dxa" w:w="40"/>
              <w:right w:type="dxa" w:w="90"/>
            </w:tcMar>
          </w:tcPr>
          <w:p>
            <w:pPr>
              <w:jc w:val="center"/>
            </w:pPr>
            <w:r>
              <w:rPr>
                <w:b w:val="false"/>
                <w:bCs w:val="false"/>
                <w:color w:val="000000"/>
                <w:sz w:val="18"/>
                <w:szCs w:val="18"/>
              </w:rPr>
              <w:t xml:space="preserve">sólo valores del campo físico real</w:t>
            </w:r>
          </w:p>
        </w:tc>
      </w:tr>
    </w:tbl>
    <w:p>
      <w:pPr>
        <w:spacing w:before="60"/>
        <w:jc w:val="both"/>
      </w:pPr>
      <w:r>
        <w:t xml:space="preserve">Las posiciones no son 62 perillas libres: son variables latentes integradas bajo un prior común, penalizadas por la evidencia (factor de Occam), y </w:t>
      </w:r>
      <w:r>
        <w:rPr>
          <w:b/>
          <w:bCs/>
        </w:rPr>
        <w:t xml:space="preserve">restringidas al campo de luz que la física realmente produce</w:t>
      </w:r>
      <w:r>
        <w:t xml:space="preserve"> en la vecindad —un punto sólo puede 'moverse' a valores de irradiancia que el simulador genera cerca, no a cualquier valor.</w:t>
      </w:r>
    </w:p>
    <w:p>
      <w:pPr>
        <w:pStyle w:val="Heading2"/>
        <w:spacing w:after="90" w:before="200"/>
      </w:pPr>
      <w:r>
        <w:rPr>
          <w:b/>
          <w:bCs/>
          <w:color w:val="1F3864"/>
        </w:rPr>
        <w:t xml:space="preserve">6.3 Controles anti-sobreajuste (con números)</w:t>
      </w:r>
    </w:p>
    <w:p>
      <w:pPr>
        <w:spacing w:after="50"/>
        <w:jc w:val="both"/>
      </w:pPr>
      <w:r>
        <w:rPr>
          <w:b/>
          <w:bCs/>
        </w:rPr>
        <w:t xml:space="preserve">1. Validación cruzada entre bandas. </w:t>
      </w:r>
      <w:r>
        <w:t xml:space="preserve">La métrica de titular no es in-sample: la posición se infiere usando SÓLO la banda azul y se predice la verde (retenida). Da R²≈0,88, frente a 0,99 in-sample. La brecha es modesta y —clave— si las posiciones estuvieran ajustando ruido, no predecirían una banda distinta. Que el azul prediga el verde indica consistencia geométrica real.</w:t>
      </w:r>
    </w:p>
    <w:p>
      <w:pPr>
        <w:spacing w:after="40"/>
        <w:jc w:val="both"/>
      </w:pPr>
      <w:r>
        <w:rPr>
          <w:b/>
          <w:bCs/>
        </w:rPr>
        <w:t xml:space="preserve">2. Los desplazamientos requeridos son físicamente plausibles. </w:t>
      </w:r>
      <w:r>
        <w:t xml:space="preserve">A σ_xy=1 m, las correcciones de posición que el modelo necesita tienen mediana 1,3 m (90 % por debajo de 2 m, máximo 2,2 m). No son movimientos absurdos de 5–10 m; son del orden del error esperable de una sonda en línea dentro de la jaula.</w:t>
      </w:r>
    </w:p>
    <w:p>
      <w:pPr>
        <w:spacing w:after="40" w:before="110"/>
        <w:jc w:val="center"/>
      </w:pPr>
      <w:r>
        <w:drawing>
          <wp:inline distT="0" distB="0" distL="0" distR="0">
            <wp:extent cx="4476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743200"/>
                    </a:xfrm>
                    <a:prstGeom prst="rect">
                      <a:avLst/>
                    </a:prstGeom>
                  </pic:spPr>
                </pic:pic>
              </a:graphicData>
            </a:graphic>
          </wp:inline>
        </w:drawing>
      </w:r>
    </w:p>
    <w:p>
      <w:pPr>
        <w:spacing w:after="150"/>
        <w:jc w:val="center"/>
      </w:pPr>
      <w:r>
        <w:rPr>
          <w:i/>
          <w:iCs/>
          <w:color w:val="595959"/>
          <w:sz w:val="17"/>
          <w:szCs w:val="17"/>
        </w:rPr>
        <w:t xml:space="preserve">Figura 5. Distribución de las correcciones de posición inferidas. Magnitudes físicas (mediana 1,3 m), no un ajuste a ruido con posiciones arbitrarias.</w:t>
      </w:r>
    </w:p>
    <w:p>
      <w:pPr>
        <w:spacing w:after="130"/>
        <w:jc w:val="both"/>
      </w:pPr>
      <w:r>
        <w:rPr>
          <w:b/>
          <w:bCs/>
        </w:rPr>
        <w:t xml:space="preserve">3. Marginalización, no perfilado. </w:t>
      </w:r>
      <w:r>
        <w:t xml:space="preserve">Se integra sobre el prior de posición (Occam automático) y la evidencia bayesiana compara modelos penalizando complejidad; el 'perfilado' que elige la mejor posición se usó sólo como techo optimista, claramente etiquetado. 4. Forward determinista: sin ruido Monte Carlo que inflara artificialmente el ajuste.</w:t>
      </w:r>
    </w:p>
    <w:p>
      <w:pPr>
        <w:pStyle w:val="Heading2"/>
        <w:spacing w:after="90" w:before="200"/>
      </w:pPr>
      <w:r>
        <w:rPr>
          <w:b/>
          <w:bCs/>
          <w:color w:val="1F3864"/>
        </w:rPr>
        <w:t xml:space="preserve">6.4 Límites honestos del argumento</w:t>
      </w:r>
    </w:p>
    <w:p>
      <w:pPr>
        <w:spacing w:after="130"/>
        <w:jc w:val="both"/>
      </w:pPr>
      <w:r>
        <w:t xml:space="preserve">La posición es un nuisance por punto: el modelo </w:t>
      </w:r>
      <w:r>
        <w:rPr>
          <w:b/>
          <w:bCs/>
        </w:rPr>
        <w:t xml:space="preserve">explica las mediciones existentes, no predice ubicaciones nuevas</w:t>
      </w:r>
      <w:r>
        <w:t xml:space="preserve"> (una validación dejando un punto entero fuera colapsaría a la posición nominal, R²≈0,45, porque su posición se infiere de su propio dato). Con dos bandas por punto, la validación cruzada es informativa pero no exhaustiva. Y, como se discute en la sección de limitaciones, la discrepancia por presencia de peces puede enmascararse parcialmente como 'offset de posición'. Por eso el resultado se enuncia como: los datos son </w:t>
      </w:r>
      <w:r>
        <w:rPr>
          <w:i/>
          <w:iCs/>
        </w:rPr>
        <w:t xml:space="preserve">consistentes con</w:t>
      </w:r>
      <w:r>
        <w:t xml:space="preserve"> errores de posición modestos (~1 m) que —junto con la discrepancia biológica— explican el desajuste; no como una predicción de irradiancia en puntos no medidos.</w:t>
      </w:r>
    </w:p>
    <w:p>
      <w:pPr>
        <w:pStyle w:val="Heading1"/>
        <w:spacing w:after="120" w:before="280"/>
      </w:pPr>
      <w:r>
        <w:rPr>
          <w:b/>
          <w:bCs/>
          <w:color w:val="1F3864"/>
        </w:rPr>
        <w:t xml:space="preserve">7. Parámetros finales</w:t>
      </w:r>
    </w:p>
    <w:p>
      <w:pPr>
        <w:spacing w:after="130"/>
        <w:jc w:val="both"/>
      </w:pPr>
      <w:r>
        <w:t xml:space="preserve">La bio-óptica final depende de si se modela la geometría de medición —de ahí la importancia de reportar ambos escenarios. Valores a 550 nm; intervalos de credibilidad del 90 %.</w:t>
      </w:r>
    </w:p>
    <w:tbl>
      <w:tblPr>
        <w:tblW w:type="dxa" w:w="8300"/>
        <w:tblBorders>
          <w:top w:val="single" w:color="1F3864" w:sz="4"/>
          <w:left w:val="single" w:color="1F3864" w:sz="4"/>
          <w:bottom w:val="single" w:color="1F3864" w:sz="4"/>
          <w:right w:val="single" w:color="1F3864" w:sz="4"/>
          <w:insideH w:val="single" w:color="BFBFBF" w:sz="2"/>
          <w:insideV w:val="single" w:color="BFBFBF" w:sz="2"/>
        </w:tblBorders>
      </w:tblPr>
      <w:tblGrid>
        <w:gridCol w:w="2500"/>
        <w:gridCol w:w="2900"/>
        <w:gridCol w:w="2900"/>
      </w:tblGrid>
      <w:tr>
        <w:trPr>
          <w:tblHeader/>
        </w:trPr>
        <w:tc>
          <w:tcPr>
            <w:tcW w:type="dxa" w:w="2500"/>
            <w:shd w:fill="1F3864" w:val="clear"/>
            <w:tcMar>
              <w:top w:type="dxa" w:w="40"/>
              <w:left w:type="dxa" w:w="90"/>
              <w:bottom w:type="dxa" w:w="40"/>
              <w:right w:type="dxa" w:w="90"/>
            </w:tcMar>
          </w:tcPr>
          <w:p>
            <w:pPr>
              <w:jc w:val="left"/>
            </w:pPr>
            <w:r>
              <w:rPr>
                <w:b/>
                <w:bCs/>
                <w:color w:val="FFFFFF"/>
                <w:sz w:val="18"/>
                <w:szCs w:val="18"/>
              </w:rPr>
              <w:t xml:space="preserve">Parámetro</w:t>
            </w:r>
          </w:p>
        </w:tc>
        <w:tc>
          <w:tcPr>
            <w:tcW w:type="dxa" w:w="2900"/>
            <w:shd w:fill="1F3864" w:val="clear"/>
            <w:tcMar>
              <w:top w:type="dxa" w:w="40"/>
              <w:left w:type="dxa" w:w="90"/>
              <w:bottom w:type="dxa" w:w="40"/>
              <w:right w:type="dxa" w:w="90"/>
            </w:tcMar>
          </w:tcPr>
          <w:p>
            <w:pPr>
              <w:jc w:val="center"/>
            </w:pPr>
            <w:r>
              <w:rPr>
                <w:b/>
                <w:bCs/>
                <w:color w:val="FFFFFF"/>
                <w:sz w:val="18"/>
                <w:szCs w:val="18"/>
              </w:rPr>
              <w:t xml:space="preserve">Fase 2 (posición ignorada)</w:t>
            </w:r>
          </w:p>
        </w:tc>
        <w:tc>
          <w:tcPr>
            <w:tcW w:type="dxa" w:w="2900"/>
            <w:shd w:fill="1F3864" w:val="clear"/>
            <w:tcMar>
              <w:top w:type="dxa" w:w="40"/>
              <w:left w:type="dxa" w:w="90"/>
              <w:bottom w:type="dxa" w:w="40"/>
              <w:right w:type="dxa" w:w="90"/>
            </w:tcMar>
          </w:tcPr>
          <w:p>
            <w:pPr>
              <w:jc w:val="center"/>
            </w:pPr>
            <w:r>
              <w:rPr>
                <w:b/>
                <w:bCs/>
                <w:color w:val="FFFFFF"/>
                <w:sz w:val="18"/>
                <w:szCs w:val="18"/>
              </w:rPr>
              <w:t xml:space="preserve">Fase 3 (posición modelada)</w:t>
            </w:r>
          </w:p>
        </w:tc>
      </w:tr>
      <w:tr>
        <w:tc>
          <w:tcPr>
            <w:tcW w:type="dxa" w:w="2500"/>
            <w:tcMar>
              <w:top w:type="dxa" w:w="40"/>
              <w:left w:type="dxa" w:w="90"/>
              <w:bottom w:type="dxa" w:w="40"/>
              <w:right w:type="dxa" w:w="90"/>
            </w:tcMar>
          </w:tcPr>
          <w:p>
            <w:pPr>
              <w:jc w:val="left"/>
            </w:pPr>
            <w:r>
              <w:rPr>
                <w:b/>
                <w:bCs/>
                <w:color w:val="000000"/>
                <w:sz w:val="18"/>
                <w:szCs w:val="18"/>
              </w:rPr>
              <w:t xml:space="preserve">a₅₅₀ [1/m]</w:t>
            </w:r>
          </w:p>
        </w:tc>
        <w:tc>
          <w:tcPr>
            <w:tcW w:type="dxa" w:w="2900"/>
            <w:tcMar>
              <w:top w:type="dxa" w:w="40"/>
              <w:left w:type="dxa" w:w="90"/>
              <w:bottom w:type="dxa" w:w="40"/>
              <w:right w:type="dxa" w:w="90"/>
            </w:tcMar>
          </w:tcPr>
          <w:p>
            <w:pPr>
              <w:jc w:val="center"/>
            </w:pPr>
            <w:r>
              <w:rPr>
                <w:b w:val="false"/>
                <w:bCs w:val="false"/>
                <w:color w:val="000000"/>
                <w:sz w:val="18"/>
                <w:szCs w:val="18"/>
              </w:rPr>
              <w:t xml:space="preserve">0,095  [0,03–0,17]</w:t>
            </w:r>
          </w:p>
        </w:tc>
        <w:tc>
          <w:tcPr>
            <w:tcW w:type="dxa" w:w="2900"/>
            <w:tcMar>
              <w:top w:type="dxa" w:w="40"/>
              <w:left w:type="dxa" w:w="90"/>
              <w:bottom w:type="dxa" w:w="40"/>
              <w:right w:type="dxa" w:w="90"/>
            </w:tcMar>
          </w:tcPr>
          <w:p>
            <w:pPr>
              <w:jc w:val="center"/>
            </w:pPr>
            <w:r>
              <w:rPr>
                <w:b w:val="false"/>
                <w:bCs w:val="false"/>
                <w:color w:val="000000"/>
                <w:sz w:val="18"/>
                <w:szCs w:val="18"/>
              </w:rPr>
              <w:t xml:space="preserve">0,356  [0,32–0,39]</w:t>
            </w:r>
          </w:p>
        </w:tc>
      </w:tr>
      <w:tr>
        <w:tc>
          <w:tcPr>
            <w:tcW w:type="dxa" w:w="2500"/>
            <w:tcMar>
              <w:top w:type="dxa" w:w="40"/>
              <w:left w:type="dxa" w:w="90"/>
              <w:bottom w:type="dxa" w:w="40"/>
              <w:right w:type="dxa" w:w="90"/>
            </w:tcMar>
          </w:tcPr>
          <w:p>
            <w:pPr>
              <w:jc w:val="left"/>
            </w:pPr>
            <w:r>
              <w:rPr>
                <w:b/>
                <w:bCs/>
                <w:color w:val="000000"/>
                <w:sz w:val="18"/>
                <w:szCs w:val="18"/>
              </w:rPr>
              <w:t xml:space="preserve">b₅₅₀ [1/m]</w:t>
            </w:r>
          </w:p>
        </w:tc>
        <w:tc>
          <w:tcPr>
            <w:tcW w:type="dxa" w:w="2900"/>
            <w:tcMar>
              <w:top w:type="dxa" w:w="40"/>
              <w:left w:type="dxa" w:w="90"/>
              <w:bottom w:type="dxa" w:w="40"/>
              <w:right w:type="dxa" w:w="90"/>
            </w:tcMar>
          </w:tcPr>
          <w:p>
            <w:pPr>
              <w:jc w:val="center"/>
            </w:pPr>
            <w:r>
              <w:rPr>
                <w:b w:val="false"/>
                <w:bCs w:val="false"/>
                <w:color w:val="000000"/>
                <w:sz w:val="18"/>
                <w:szCs w:val="18"/>
              </w:rPr>
              <w:t xml:space="preserve">0,611  [0,12–0,94]</w:t>
            </w:r>
          </w:p>
        </w:tc>
        <w:tc>
          <w:tcPr>
            <w:tcW w:type="dxa" w:w="2900"/>
            <w:tcMar>
              <w:top w:type="dxa" w:w="40"/>
              <w:left w:type="dxa" w:w="90"/>
              <w:bottom w:type="dxa" w:w="40"/>
              <w:right w:type="dxa" w:w="90"/>
            </w:tcMar>
          </w:tcPr>
          <w:p>
            <w:pPr>
              <w:jc w:val="center"/>
            </w:pPr>
            <w:r>
              <w:rPr>
                <w:b w:val="false"/>
                <w:bCs w:val="false"/>
                <w:color w:val="000000"/>
                <w:sz w:val="18"/>
                <w:szCs w:val="18"/>
              </w:rPr>
              <w:t xml:space="preserve">0,703  [0,62–0,88]</w:t>
            </w:r>
          </w:p>
        </w:tc>
      </w:tr>
      <w:tr>
        <w:tc>
          <w:tcPr>
            <w:tcW w:type="dxa" w:w="2500"/>
            <w:tcMar>
              <w:top w:type="dxa" w:w="40"/>
              <w:left w:type="dxa" w:w="90"/>
              <w:bottom w:type="dxa" w:w="40"/>
              <w:right w:type="dxa" w:w="90"/>
            </w:tcMar>
          </w:tcPr>
          <w:p>
            <w:pPr>
              <w:jc w:val="left"/>
            </w:pPr>
            <w:r>
              <w:rPr>
                <w:b/>
                <w:bCs/>
                <w:color w:val="000000"/>
                <w:sz w:val="18"/>
                <w:szCs w:val="18"/>
              </w:rPr>
              <w:t xml:space="preserve">c₅₅₀ = a+b [1/m]</w:t>
            </w:r>
          </w:p>
        </w:tc>
        <w:tc>
          <w:tcPr>
            <w:tcW w:type="dxa" w:w="2900"/>
            <w:tcMar>
              <w:top w:type="dxa" w:w="40"/>
              <w:left w:type="dxa" w:w="90"/>
              <w:bottom w:type="dxa" w:w="40"/>
              <w:right w:type="dxa" w:w="90"/>
            </w:tcMar>
          </w:tcPr>
          <w:p>
            <w:pPr>
              <w:jc w:val="center"/>
            </w:pPr>
            <w:r>
              <w:rPr>
                <w:b w:val="false"/>
                <w:bCs w:val="false"/>
                <w:color w:val="000000"/>
                <w:sz w:val="18"/>
                <w:szCs w:val="18"/>
              </w:rPr>
              <w:t xml:space="preserve">0,738  [0,18–1,06]</w:t>
            </w:r>
          </w:p>
        </w:tc>
        <w:tc>
          <w:tcPr>
            <w:tcW w:type="dxa" w:w="2900"/>
            <w:tcMar>
              <w:top w:type="dxa" w:w="40"/>
              <w:left w:type="dxa" w:w="90"/>
              <w:bottom w:type="dxa" w:w="40"/>
              <w:right w:type="dxa" w:w="90"/>
            </w:tcMar>
          </w:tcPr>
          <w:p>
            <w:pPr>
              <w:jc w:val="center"/>
            </w:pPr>
            <w:r>
              <w:rPr>
                <w:b w:val="false"/>
                <w:bCs w:val="false"/>
                <w:color w:val="000000"/>
                <w:sz w:val="18"/>
                <w:szCs w:val="18"/>
              </w:rPr>
              <w:t xml:space="preserve">1,092  [0,97–1,23]</w:t>
            </w:r>
          </w:p>
        </w:tc>
      </w:tr>
      <w:tr>
        <w:tc>
          <w:tcPr>
            <w:tcW w:type="dxa" w:w="2500"/>
            <w:tcMar>
              <w:top w:type="dxa" w:w="40"/>
              <w:left w:type="dxa" w:w="90"/>
              <w:bottom w:type="dxa" w:w="40"/>
              <w:right w:type="dxa" w:w="90"/>
            </w:tcMar>
          </w:tcPr>
          <w:p>
            <w:pPr>
              <w:jc w:val="left"/>
            </w:pPr>
            <w:r>
              <w:rPr>
                <w:b/>
                <w:bCs/>
                <w:color w:val="000000"/>
                <w:sz w:val="18"/>
                <w:szCs w:val="18"/>
              </w:rPr>
              <w:t xml:space="preserve">ω = b/(a+b)</w:t>
            </w:r>
          </w:p>
        </w:tc>
        <w:tc>
          <w:tcPr>
            <w:tcW w:type="dxa" w:w="2900"/>
            <w:tcMar>
              <w:top w:type="dxa" w:w="40"/>
              <w:left w:type="dxa" w:w="90"/>
              <w:bottom w:type="dxa" w:w="40"/>
              <w:right w:type="dxa" w:w="90"/>
            </w:tcMar>
          </w:tcPr>
          <w:p>
            <w:pPr>
              <w:jc w:val="center"/>
            </w:pPr>
            <w:r>
              <w:rPr>
                <w:b w:val="false"/>
                <w:bCs w:val="false"/>
                <w:color w:val="000000"/>
                <w:sz w:val="18"/>
                <w:szCs w:val="18"/>
              </w:rPr>
              <w:t xml:space="preserve">0,874  [0,64–0,96]</w:t>
            </w:r>
          </w:p>
        </w:tc>
        <w:tc>
          <w:tcPr>
            <w:tcW w:type="dxa" w:w="2900"/>
            <w:tcMar>
              <w:top w:type="dxa" w:w="40"/>
              <w:left w:type="dxa" w:w="90"/>
              <w:bottom w:type="dxa" w:w="40"/>
              <w:right w:type="dxa" w:w="90"/>
            </w:tcMar>
          </w:tcPr>
          <w:p>
            <w:pPr>
              <w:jc w:val="center"/>
            </w:pPr>
            <w:r>
              <w:rPr>
                <w:b w:val="false"/>
                <w:bCs w:val="false"/>
                <w:color w:val="000000"/>
                <w:sz w:val="18"/>
                <w:szCs w:val="18"/>
              </w:rPr>
              <w:t xml:space="preserve">0,646  [0,64–0,71]</w:t>
            </w:r>
          </w:p>
        </w:tc>
      </w:tr>
      <w:tr>
        <w:tc>
          <w:tcPr>
            <w:tcW w:type="dxa" w:w="2500"/>
            <w:tcMar>
              <w:top w:type="dxa" w:w="40"/>
              <w:left w:type="dxa" w:w="90"/>
              <w:bottom w:type="dxa" w:w="40"/>
              <w:right w:type="dxa" w:w="90"/>
            </w:tcMar>
          </w:tcPr>
          <w:p>
            <w:pPr>
              <w:jc w:val="left"/>
            </w:pPr>
            <w:r>
              <w:rPr>
                <w:b/>
                <w:bCs/>
                <w:color w:val="000000"/>
                <w:sz w:val="18"/>
                <w:szCs w:val="18"/>
              </w:rPr>
              <w:t xml:space="preserve">η (tilt espectral)</w:t>
            </w:r>
          </w:p>
        </w:tc>
        <w:tc>
          <w:tcPr>
            <w:tcW w:type="dxa" w:w="2900"/>
            <w:tcMar>
              <w:top w:type="dxa" w:w="40"/>
              <w:left w:type="dxa" w:w="90"/>
              <w:bottom w:type="dxa" w:w="40"/>
              <w:right w:type="dxa" w:w="90"/>
            </w:tcMar>
          </w:tcPr>
          <w:p>
            <w:pPr>
              <w:jc w:val="center"/>
            </w:pPr>
            <w:r>
              <w:rPr>
                <w:b w:val="false"/>
                <w:bCs w:val="false"/>
                <w:color w:val="000000"/>
                <w:sz w:val="18"/>
                <w:szCs w:val="18"/>
              </w:rPr>
              <w:t xml:space="preserve">0,64  [−0,9–1,8]</w:t>
            </w:r>
          </w:p>
        </w:tc>
        <w:tc>
          <w:tcPr>
            <w:tcW w:type="dxa" w:w="2900"/>
            <w:tcMar>
              <w:top w:type="dxa" w:w="40"/>
              <w:left w:type="dxa" w:w="90"/>
              <w:bottom w:type="dxa" w:w="40"/>
              <w:right w:type="dxa" w:w="90"/>
            </w:tcMar>
          </w:tcPr>
          <w:p>
            <w:pPr>
              <w:jc w:val="center"/>
            </w:pPr>
            <w:r>
              <w:rPr>
                <w:b w:val="false"/>
                <w:bCs w:val="false"/>
                <w:color w:val="000000"/>
                <w:sz w:val="18"/>
                <w:szCs w:val="18"/>
              </w:rPr>
              <w:t xml:space="preserve">0,35  [0,19–0,65]</w:t>
            </w:r>
          </w:p>
        </w:tc>
      </w:tr>
      <w:tr>
        <w:tc>
          <w:tcPr>
            <w:tcW w:type="dxa" w:w="2500"/>
            <w:tcMar>
              <w:top w:type="dxa" w:w="40"/>
              <w:left w:type="dxa" w:w="90"/>
              <w:bottom w:type="dxa" w:w="40"/>
              <w:right w:type="dxa" w:w="90"/>
            </w:tcMar>
          </w:tcPr>
          <w:p>
            <w:pPr>
              <w:jc w:val="left"/>
            </w:pPr>
            <w:r>
              <w:rPr>
                <w:b/>
                <w:bCs/>
                <w:color w:val="000000"/>
                <w:sz w:val="18"/>
                <w:szCs w:val="18"/>
              </w:rPr>
              <w:t xml:space="preserve">dz altura lámpara [m]</w:t>
            </w:r>
          </w:p>
        </w:tc>
        <w:tc>
          <w:tcPr>
            <w:tcW w:type="dxa" w:w="2900"/>
            <w:tcMar>
              <w:top w:type="dxa" w:w="40"/>
              <w:left w:type="dxa" w:w="90"/>
              <w:bottom w:type="dxa" w:w="40"/>
              <w:right w:type="dxa" w:w="90"/>
            </w:tcMar>
          </w:tcPr>
          <w:p>
            <w:pPr>
              <w:jc w:val="center"/>
            </w:pPr>
            <w:r>
              <w:rPr>
                <w:b w:val="false"/>
                <w:bCs w:val="false"/>
                <w:color w:val="000000"/>
                <w:sz w:val="18"/>
                <w:szCs w:val="18"/>
              </w:rPr>
              <w:t xml:space="preserve">1,33  [−0,9–1,9]</w:t>
            </w:r>
          </w:p>
        </w:tc>
        <w:tc>
          <w:tcPr>
            <w:tcW w:type="dxa" w:w="2900"/>
            <w:tcMar>
              <w:top w:type="dxa" w:w="40"/>
              <w:left w:type="dxa" w:w="90"/>
              <w:bottom w:type="dxa" w:w="40"/>
              <w:right w:type="dxa" w:w="90"/>
            </w:tcMar>
          </w:tcPr>
          <w:p>
            <w:pPr>
              <w:jc w:val="center"/>
            </w:pPr>
            <w:r>
              <w:rPr>
                <w:b w:val="false"/>
                <w:bCs w:val="false"/>
                <w:color w:val="000000"/>
                <w:sz w:val="18"/>
                <w:szCs w:val="18"/>
              </w:rPr>
              <w:t xml:space="preserve">1,20  [0,32–1,93]</w:t>
            </w:r>
          </w:p>
        </w:tc>
      </w:tr>
    </w:tbl>
    <w:p>
      <w:pPr>
        <w:spacing w:after="40"/>
      </w:pPr>
      <w:r>
        <w:t xml:space="preserve"/>
      </w:r>
    </w:p>
    <w:p>
      <w:pPr>
        <w:spacing w:after="130"/>
        <w:jc w:val="both"/>
      </w:pPr>
      <w:r>
        <w:rPr>
          <w:b/>
          <w:bCs/>
        </w:rPr>
        <w:t xml:space="preserve">Parámetros de incertidumbre de medición inferidos (Fase 3): </w:t>
      </w:r>
      <w:r>
        <w:t xml:space="preserve">σ posición del sensor ≈ 0,7–1 m es suficiente para el ajuste (la evidencia tiende a 2–2,5 m pero por absorción de discrepancia); σ inclinación ≈ 0–10° (secundaria). Factor de escala de potencia ≈ 0,03 respecto del nominal de 600 W (nuisance de unidades/normalización, no físico de las lámparas).</w:t>
      </w:r>
    </w:p>
    <w:p>
      <w:pPr>
        <w:spacing w:after="40"/>
      </w:pPr>
      <w:r>
        <w:t xml:space="preserve"/>
      </w:r>
    </w:p>
    <w:tbl>
      <w:tblPr>
        <w:tblW w:type="dxa" w:w="8300"/>
        <w:tblBorders>
          <w:top w:val="single" w:color="1F3864" w:sz="4"/>
          <w:left w:val="single" w:color="1F3864" w:sz="4"/>
          <w:bottom w:val="single" w:color="1F3864" w:sz="4"/>
          <w:right w:val="single" w:color="1F3864" w:sz="4"/>
          <w:insideH w:val="single" w:color="BFBFBF" w:sz="2"/>
          <w:insideV w:val="single" w:color="BFBFBF" w:sz="2"/>
        </w:tblBorders>
      </w:tblPr>
      <w:tblGrid>
        <w:gridCol w:w="3000"/>
        <w:gridCol w:w="3200"/>
        <w:gridCol w:w="2100"/>
      </w:tblGrid>
      <w:tr>
        <w:trPr>
          <w:tblHeader/>
        </w:trPr>
        <w:tc>
          <w:tcPr>
            <w:tcW w:type="dxa" w:w="3000"/>
            <w:shd w:fill="1F3864" w:val="clear"/>
            <w:tcMar>
              <w:top w:type="dxa" w:w="40"/>
              <w:left w:type="dxa" w:w="90"/>
              <w:bottom w:type="dxa" w:w="40"/>
              <w:right w:type="dxa" w:w="90"/>
            </w:tcMar>
          </w:tcPr>
          <w:p>
            <w:pPr>
              <w:jc w:val="left"/>
            </w:pPr>
            <w:r>
              <w:rPr>
                <w:b/>
                <w:bCs/>
                <w:color w:val="FFFFFF"/>
                <w:sz w:val="18"/>
                <w:szCs w:val="18"/>
              </w:rPr>
              <w:t xml:space="preserve">Ajuste (R², log azul+verde)</w:t>
            </w:r>
          </w:p>
        </w:tc>
        <w:tc>
          <w:tcPr>
            <w:tcW w:type="dxa" w:w="3200"/>
            <w:shd w:fill="1F3864" w:val="clear"/>
            <w:tcMar>
              <w:top w:type="dxa" w:w="40"/>
              <w:left w:type="dxa" w:w="90"/>
              <w:bottom w:type="dxa" w:w="40"/>
              <w:right w:type="dxa" w:w="90"/>
            </w:tcMar>
          </w:tcPr>
          <w:p>
            <w:pPr>
              <w:jc w:val="center"/>
            </w:pPr>
            <w:r>
              <w:rPr>
                <w:b/>
                <w:bCs/>
                <w:color w:val="FFFFFF"/>
                <w:sz w:val="18"/>
                <w:szCs w:val="18"/>
              </w:rPr>
              <w:t xml:space="preserve">Escenario</w:t>
            </w:r>
          </w:p>
        </w:tc>
        <w:tc>
          <w:tcPr>
            <w:tcW w:type="dxa" w:w="2100"/>
            <w:shd w:fill="1F3864" w:val="clear"/>
            <w:tcMar>
              <w:top w:type="dxa" w:w="40"/>
              <w:left w:type="dxa" w:w="90"/>
              <w:bottom w:type="dxa" w:w="40"/>
              <w:right w:type="dxa" w:w="90"/>
            </w:tcMar>
          </w:tcPr>
          <w:p>
            <w:pPr>
              <w:jc w:val="center"/>
            </w:pPr>
            <w:r>
              <w:rPr>
                <w:b/>
                <w:bCs/>
                <w:color w:val="FFFFFF"/>
                <w:sz w:val="18"/>
                <w:szCs w:val="18"/>
              </w:rPr>
              <w:t xml:space="preserve">Valor</w:t>
            </w:r>
          </w:p>
        </w:tc>
      </w:tr>
      <w:tr>
        <w:tc>
          <w:tcPr>
            <w:tcW w:type="dxa" w:w="3000"/>
            <w:tcMar>
              <w:top w:type="dxa" w:w="40"/>
              <w:left w:type="dxa" w:w="90"/>
              <w:bottom w:type="dxa" w:w="40"/>
              <w:right w:type="dxa" w:w="90"/>
            </w:tcMar>
          </w:tcPr>
          <w:p>
            <w:pPr>
              <w:jc w:val="left"/>
            </w:pPr>
            <w:r>
              <w:rPr>
                <w:b/>
                <w:bCs/>
                <w:color w:val="000000"/>
                <w:sz w:val="18"/>
                <w:szCs w:val="18"/>
              </w:rPr>
              <w:t xml:space="preserve">Posición nominal fija</w:t>
            </w:r>
          </w:p>
        </w:tc>
        <w:tc>
          <w:tcPr>
            <w:tcW w:type="dxa" w:w="3200"/>
            <w:tcMar>
              <w:top w:type="dxa" w:w="40"/>
              <w:left w:type="dxa" w:w="90"/>
              <w:bottom w:type="dxa" w:w="40"/>
              <w:right w:type="dxa" w:w="90"/>
            </w:tcMar>
          </w:tcPr>
          <w:p>
            <w:pPr>
              <w:jc w:val="center"/>
            </w:pPr>
            <w:r>
              <w:rPr>
                <w:b w:val="false"/>
                <w:bCs w:val="false"/>
                <w:color w:val="000000"/>
                <w:sz w:val="18"/>
                <w:szCs w:val="18"/>
              </w:rPr>
              <w:t xml:space="preserve">piso Fase 2</w:t>
            </w:r>
          </w:p>
        </w:tc>
        <w:tc>
          <w:tcPr>
            <w:tcW w:type="dxa" w:w="2100"/>
            <w:tcMar>
              <w:top w:type="dxa" w:w="40"/>
              <w:left w:type="dxa" w:w="90"/>
              <w:bottom w:type="dxa" w:w="40"/>
              <w:right w:type="dxa" w:w="90"/>
            </w:tcMar>
          </w:tcPr>
          <w:p>
            <w:pPr>
              <w:jc w:val="center"/>
            </w:pPr>
            <w:r>
              <w:rPr>
                <w:b w:val="false"/>
                <w:bCs w:val="false"/>
                <w:color w:val="000000"/>
                <w:sz w:val="18"/>
                <w:szCs w:val="18"/>
              </w:rPr>
              <w:t xml:space="preserve">0,42–0,45</w:t>
            </w:r>
          </w:p>
        </w:tc>
      </w:tr>
      <w:tr>
        <w:tc>
          <w:tcPr>
            <w:tcW w:type="dxa" w:w="3000"/>
            <w:tcMar>
              <w:top w:type="dxa" w:w="40"/>
              <w:left w:type="dxa" w:w="90"/>
              <w:bottom w:type="dxa" w:w="40"/>
              <w:right w:type="dxa" w:w="90"/>
            </w:tcMar>
          </w:tcPr>
          <w:p>
            <w:pPr>
              <w:jc w:val="left"/>
            </w:pPr>
            <w:r>
              <w:rPr>
                <w:b/>
                <w:bCs/>
                <w:color w:val="000000"/>
                <w:sz w:val="18"/>
                <w:szCs w:val="18"/>
              </w:rPr>
              <w:t xml:space="preserve">Posición modelada (~1 m)</w:t>
            </w:r>
          </w:p>
        </w:tc>
        <w:tc>
          <w:tcPr>
            <w:tcW w:type="dxa" w:w="3200"/>
            <w:tcMar>
              <w:top w:type="dxa" w:w="40"/>
              <w:left w:type="dxa" w:w="90"/>
              <w:bottom w:type="dxa" w:w="40"/>
              <w:right w:type="dxa" w:w="90"/>
            </w:tcMar>
          </w:tcPr>
          <w:p>
            <w:pPr>
              <w:jc w:val="center"/>
            </w:pPr>
            <w:r>
              <w:rPr>
                <w:b w:val="false"/>
                <w:bCs w:val="false"/>
                <w:color w:val="000000"/>
                <w:sz w:val="18"/>
                <w:szCs w:val="18"/>
              </w:rPr>
              <w:t xml:space="preserve">validado cruzado</w:t>
            </w:r>
          </w:p>
        </w:tc>
        <w:tc>
          <w:tcPr>
            <w:tcW w:type="dxa" w:w="2100"/>
            <w:tcMar>
              <w:top w:type="dxa" w:w="40"/>
              <w:left w:type="dxa" w:w="90"/>
              <w:bottom w:type="dxa" w:w="40"/>
              <w:right w:type="dxa" w:w="90"/>
            </w:tcMar>
          </w:tcPr>
          <w:p>
            <w:pPr>
              <w:jc w:val="center"/>
            </w:pPr>
            <w:r>
              <w:rPr>
                <w:b w:val="false"/>
                <w:bCs w:val="false"/>
                <w:color w:val="000000"/>
                <w:sz w:val="18"/>
                <w:szCs w:val="18"/>
              </w:rPr>
              <w:t xml:space="preserve">≈0,86</w:t>
            </w:r>
          </w:p>
        </w:tc>
      </w:tr>
      <w:tr>
        <w:tc>
          <w:tcPr>
            <w:tcW w:type="dxa" w:w="3000"/>
            <w:tcMar>
              <w:top w:type="dxa" w:w="40"/>
              <w:left w:type="dxa" w:w="90"/>
              <w:bottom w:type="dxa" w:w="40"/>
              <w:right w:type="dxa" w:w="90"/>
            </w:tcMar>
          </w:tcPr>
          <w:p>
            <w:pPr>
              <w:jc w:val="left"/>
            </w:pPr>
            <w:r>
              <w:rPr>
                <w:b/>
                <w:bCs/>
                <w:color w:val="000000"/>
                <w:sz w:val="18"/>
                <w:szCs w:val="18"/>
              </w:rPr>
              <w:t xml:space="preserve">Posición modelada (máx.)</w:t>
            </w:r>
          </w:p>
        </w:tc>
        <w:tc>
          <w:tcPr>
            <w:tcW w:type="dxa" w:w="3200"/>
            <w:tcMar>
              <w:top w:type="dxa" w:w="40"/>
              <w:left w:type="dxa" w:w="90"/>
              <w:bottom w:type="dxa" w:w="40"/>
              <w:right w:type="dxa" w:w="90"/>
            </w:tcMar>
          </w:tcPr>
          <w:p>
            <w:pPr>
              <w:jc w:val="center"/>
            </w:pPr>
            <w:r>
              <w:rPr>
                <w:b w:val="false"/>
                <w:bCs w:val="false"/>
                <w:color w:val="000000"/>
                <w:sz w:val="18"/>
                <w:szCs w:val="18"/>
              </w:rPr>
              <w:t xml:space="preserve">validado cruzado</w:t>
            </w:r>
          </w:p>
        </w:tc>
        <w:tc>
          <w:tcPr>
            <w:tcW w:type="dxa" w:w="2100"/>
            <w:tcMar>
              <w:top w:type="dxa" w:w="40"/>
              <w:left w:type="dxa" w:w="90"/>
              <w:bottom w:type="dxa" w:w="40"/>
              <w:right w:type="dxa" w:w="90"/>
            </w:tcMar>
          </w:tcPr>
          <w:p>
            <w:pPr>
              <w:jc w:val="center"/>
            </w:pPr>
            <w:r>
              <w:rPr>
                <w:b w:val="false"/>
                <w:bCs w:val="false"/>
                <w:color w:val="000000"/>
                <w:sz w:val="18"/>
                <w:szCs w:val="18"/>
              </w:rPr>
              <w:t xml:space="preserve">≈0,90</w:t>
            </w:r>
          </w:p>
        </w:tc>
      </w:tr>
    </w:tbl>
    <w:p>
      <w:pPr>
        <w:pStyle w:val="Heading1"/>
        <w:spacing w:after="120" w:before="280"/>
      </w:pPr>
      <w:r>
        <w:rPr>
          <w:b/>
          <w:bCs/>
          <w:color w:val="1F3864"/>
        </w:rPr>
        <w:t xml:space="preserve">8. El modelo bio-óptico y una estimación alternativa</w:t>
      </w:r>
    </w:p>
    <w:p>
      <w:pPr>
        <w:pStyle w:val="Heading2"/>
        <w:spacing w:after="90" w:before="200"/>
      </w:pPr>
      <w:r>
        <w:rPr>
          <w:b/>
          <w:bCs/>
          <w:color w:val="1F3864"/>
        </w:rPr>
        <w:t xml:space="preserve">8.1 Por qué se modela con a, b, c y ω</w:t>
      </w:r>
    </w:p>
    <w:p>
      <w:pPr>
        <w:spacing w:after="130"/>
        <w:jc w:val="both"/>
      </w:pPr>
      <w:r>
        <w:t xml:space="preserve">La luz en el agua se describe con las propiedades ópticas inherentes (IOP), que dependen solo del medio (no de la geometría de iluminación). Dos son fundamentales: el </w:t>
      </w:r>
      <w:r>
        <w:rPr>
          <w:b/>
          <w:bCs/>
        </w:rPr>
        <w:t xml:space="preserve">coeficiente de absorción a(λ)</w:t>
      </w:r>
      <w:r>
        <w:t xml:space="preserve"> —fracción de energía por metro que el agua convierte en calor (agua pura, CDOM/materia orgánica disuelta, pigmentos)— y el </w:t>
      </w:r>
      <w:r>
        <w:rPr>
          <w:b/>
          <w:bCs/>
        </w:rPr>
        <w:t xml:space="preserve">coeficiente de dispersión b(λ)</w:t>
      </w:r>
      <w:r>
        <w:t xml:space="preserve"> —fracción por metro desviada de su dirección por partículas en suspensión—. De ellas derivan las dos que usa el trazador de rayos: la </w:t>
      </w:r>
      <w:r>
        <w:rPr>
          <w:b/>
          <w:bCs/>
        </w:rPr>
        <w:t xml:space="preserve">atenuación de haz c = a + b</w:t>
      </w:r>
      <w:r>
        <w:t xml:space="preserve"> (pérdida total a lo largo del camino, la que aparece en la ley de Beer-Lambert I = I₀·e^(−c·d)) y el </w:t>
      </w:r>
      <w:r>
        <w:rPr>
          <w:b/>
          <w:bCs/>
        </w:rPr>
        <w:t xml:space="preserve">albedo de dispersión simple ω = b/(a+b)</w:t>
      </w:r>
      <w:r>
        <w:t xml:space="preserve">, que dice qué fracción de la extinción es dispersión (ω→1 agua lechosa, muy dispersora; ω→0 agua que solo absorbe). El motor necesita c para saber cuánta luz se pierde por metro y ω para saber cuánta de esa pérdida se redistribuye (rebota) en vez de desaparecer. Por eso (c, ω) —o equivalentemente (a, b)— son las variables naturales.</w:t>
      </w:r>
    </w:p>
    <w:p>
      <w:pPr>
        <w:pStyle w:val="Heading2"/>
        <w:spacing w:after="90" w:before="200"/>
      </w:pPr>
      <w:r>
        <w:rPr>
          <w:b/>
          <w:bCs/>
          <w:color w:val="1F3864"/>
        </w:rPr>
        <w:t xml:space="preserve">8.2 Por qué son espectrales (dependientes de λ)</w:t>
      </w:r>
    </w:p>
    <w:p>
      <w:pPr>
        <w:spacing w:after="130"/>
        <w:jc w:val="both"/>
      </w:pPr>
      <w:r>
        <w:t xml:space="preserve">Cada componente atenúa distinto según la longitud de onda: el agua pura absorbe más en el rojo, el CDOM absorbe exponencialmente más hacia el azul, y la dispersión por partículas sigue una ley de potencia (tipo Junge) que también crece hacia el azul. Esa forma espectral es información: distingue agua con CDOM de agua con partículas. Se modela como ley de potencia respecto de 550 nm, X(λ) = X₅₅₀·(λ/550)^(−η), donde la pendiente η controla cuánto cambia entre bandas. En la estimación principal se usó una pendiente única η para c (y ω constante), de modo que a y b comparten forma espectral.</w:t>
      </w:r>
    </w:p>
    <w:p>
      <w:pPr>
        <w:pStyle w:val="Heading2"/>
        <w:spacing w:after="90" w:before="200"/>
      </w:pPr>
      <w:r>
        <w:rPr>
          <w:b/>
          <w:bCs/>
          <w:color w:val="1F3864"/>
        </w:rPr>
        <w:t xml:space="preserve">8.3 Estimación alternativa: pendientes independientes para a y b</w:t>
      </w:r>
    </w:p>
    <w:p>
      <w:pPr>
        <w:spacing w:after="130"/>
        <w:jc w:val="both"/>
      </w:pPr>
      <w:r>
        <w:t xml:space="preserve">A pedido, se rehízo la estimación dando a la absorción y a la dispersión pendientes espectrales propias: a(λ)=a₅₅₀·(λ/550)^(−η_a) y b(λ)=b₅₅₀·(λ/550)^(−η_b), con ω(λ) ahora también variable. Esto añade un parámetro (4 bio-ópticos en vez de 3) y se corrió con el mismo marco de marginalización de posición (280 corridas de alta resolución). La tabla y la figura comparan ambas estimaciones.</w:t>
      </w:r>
    </w:p>
    <w:tbl>
      <w:tblPr>
        <w:tblW w:type="dxa" w:w="7900"/>
        <w:tblBorders>
          <w:top w:val="single" w:color="1F3864" w:sz="4"/>
          <w:left w:val="single" w:color="1F3864" w:sz="4"/>
          <w:bottom w:val="single" w:color="1F3864" w:sz="4"/>
          <w:right w:val="single" w:color="1F3864" w:sz="4"/>
          <w:insideH w:val="single" w:color="BFBFBF" w:sz="2"/>
          <w:insideV w:val="single" w:color="BFBFBF" w:sz="2"/>
        </w:tblBorders>
      </w:tblPr>
      <w:tblGrid>
        <w:gridCol w:w="2700"/>
        <w:gridCol w:w="2600"/>
        <w:gridCol w:w="2600"/>
      </w:tblGrid>
      <w:tr>
        <w:trPr>
          <w:tblHeader/>
        </w:trPr>
        <w:tc>
          <w:tcPr>
            <w:tcW w:type="dxa" w:w="2700"/>
            <w:shd w:fill="1F3864" w:val="clear"/>
            <w:tcMar>
              <w:top w:type="dxa" w:w="40"/>
              <w:left w:type="dxa" w:w="90"/>
              <w:bottom w:type="dxa" w:w="40"/>
              <w:right w:type="dxa" w:w="90"/>
            </w:tcMar>
          </w:tcPr>
          <w:p>
            <w:pPr>
              <w:jc w:val="left"/>
            </w:pPr>
            <w:r>
              <w:rPr>
                <w:b/>
                <w:bCs/>
                <w:color w:val="FFFFFF"/>
                <w:sz w:val="18"/>
                <w:szCs w:val="18"/>
              </w:rPr>
              <w:t xml:space="preserve"/>
            </w:r>
          </w:p>
        </w:tc>
        <w:tc>
          <w:tcPr>
            <w:tcW w:type="dxa" w:w="2600"/>
            <w:shd w:fill="1F3864" w:val="clear"/>
            <w:tcMar>
              <w:top w:type="dxa" w:w="40"/>
              <w:left w:type="dxa" w:w="90"/>
              <w:bottom w:type="dxa" w:w="40"/>
              <w:right w:type="dxa" w:w="90"/>
            </w:tcMar>
          </w:tcPr>
          <w:p>
            <w:pPr>
              <w:jc w:val="center"/>
            </w:pPr>
            <w:r>
              <w:rPr>
                <w:b/>
                <w:bCs/>
                <w:color w:val="FFFFFF"/>
                <w:sz w:val="18"/>
                <w:szCs w:val="18"/>
              </w:rPr>
              <w:t xml:space="preserve">Pendiente compartida</w:t>
            </w:r>
          </w:p>
        </w:tc>
        <w:tc>
          <w:tcPr>
            <w:tcW w:type="dxa" w:w="2600"/>
            <w:shd w:fill="1F3864" w:val="clear"/>
            <w:tcMar>
              <w:top w:type="dxa" w:w="40"/>
              <w:left w:type="dxa" w:w="90"/>
              <w:bottom w:type="dxa" w:w="40"/>
              <w:right w:type="dxa" w:w="90"/>
            </w:tcMar>
          </w:tcPr>
          <w:p>
            <w:pPr>
              <w:jc w:val="center"/>
            </w:pPr>
            <w:r>
              <w:rPr>
                <w:b/>
                <w:bCs/>
                <w:color w:val="FFFFFF"/>
                <w:sz w:val="18"/>
                <w:szCs w:val="18"/>
              </w:rPr>
              <w:t xml:space="preserve">Pendientes independientes</w:t>
            </w:r>
          </w:p>
        </w:tc>
      </w:tr>
      <w:tr>
        <w:tc>
          <w:tcPr>
            <w:tcW w:type="dxa" w:w="2700"/>
            <w:tcMar>
              <w:top w:type="dxa" w:w="40"/>
              <w:left w:type="dxa" w:w="90"/>
              <w:bottom w:type="dxa" w:w="40"/>
              <w:right w:type="dxa" w:w="90"/>
            </w:tcMar>
          </w:tcPr>
          <w:p>
            <w:pPr>
              <w:jc w:val="left"/>
            </w:pPr>
            <w:r>
              <w:rPr>
                <w:b/>
                <w:bCs/>
                <w:color w:val="000000"/>
                <w:sz w:val="18"/>
                <w:szCs w:val="18"/>
              </w:rPr>
              <w:t xml:space="preserve">a₅₅₀ [1/m]</w:t>
            </w:r>
          </w:p>
        </w:tc>
        <w:tc>
          <w:tcPr>
            <w:tcW w:type="dxa" w:w="2600"/>
            <w:tcMar>
              <w:top w:type="dxa" w:w="40"/>
              <w:left w:type="dxa" w:w="90"/>
              <w:bottom w:type="dxa" w:w="40"/>
              <w:right w:type="dxa" w:w="90"/>
            </w:tcMar>
          </w:tcPr>
          <w:p>
            <w:pPr>
              <w:jc w:val="center"/>
            </w:pPr>
            <w:r>
              <w:rPr>
                <w:b w:val="false"/>
                <w:bCs w:val="false"/>
                <w:color w:val="000000"/>
                <w:sz w:val="18"/>
                <w:szCs w:val="18"/>
              </w:rPr>
              <w:t xml:space="preserve">0,36</w:t>
            </w:r>
          </w:p>
        </w:tc>
        <w:tc>
          <w:tcPr>
            <w:tcW w:type="dxa" w:w="2600"/>
            <w:tcMar>
              <w:top w:type="dxa" w:w="40"/>
              <w:left w:type="dxa" w:w="90"/>
              <w:bottom w:type="dxa" w:w="40"/>
              <w:right w:type="dxa" w:w="90"/>
            </w:tcMar>
          </w:tcPr>
          <w:p>
            <w:pPr>
              <w:jc w:val="center"/>
            </w:pPr>
            <w:r>
              <w:rPr>
                <w:b w:val="false"/>
                <w:bCs w:val="false"/>
                <w:color w:val="000000"/>
                <w:sz w:val="18"/>
                <w:szCs w:val="18"/>
              </w:rPr>
              <w:t xml:space="preserve">0,29</w:t>
            </w:r>
          </w:p>
        </w:tc>
      </w:tr>
      <w:tr>
        <w:tc>
          <w:tcPr>
            <w:tcW w:type="dxa" w:w="2700"/>
            <w:tcMar>
              <w:top w:type="dxa" w:w="40"/>
              <w:left w:type="dxa" w:w="90"/>
              <w:bottom w:type="dxa" w:w="40"/>
              <w:right w:type="dxa" w:w="90"/>
            </w:tcMar>
          </w:tcPr>
          <w:p>
            <w:pPr>
              <w:jc w:val="left"/>
            </w:pPr>
            <w:r>
              <w:rPr>
                <w:b/>
                <w:bCs/>
                <w:color w:val="000000"/>
                <w:sz w:val="18"/>
                <w:szCs w:val="18"/>
              </w:rPr>
              <w:t xml:space="preserve">b₅₅₀ [1/m]</w:t>
            </w:r>
          </w:p>
        </w:tc>
        <w:tc>
          <w:tcPr>
            <w:tcW w:type="dxa" w:w="2600"/>
            <w:tcMar>
              <w:top w:type="dxa" w:w="40"/>
              <w:left w:type="dxa" w:w="90"/>
              <w:bottom w:type="dxa" w:w="40"/>
              <w:right w:type="dxa" w:w="90"/>
            </w:tcMar>
          </w:tcPr>
          <w:p>
            <w:pPr>
              <w:jc w:val="center"/>
            </w:pPr>
            <w:r>
              <w:rPr>
                <w:b w:val="false"/>
                <w:bCs w:val="false"/>
                <w:color w:val="000000"/>
                <w:sz w:val="18"/>
                <w:szCs w:val="18"/>
              </w:rPr>
              <w:t xml:space="preserve">0,70</w:t>
            </w:r>
          </w:p>
        </w:tc>
        <w:tc>
          <w:tcPr>
            <w:tcW w:type="dxa" w:w="2600"/>
            <w:tcMar>
              <w:top w:type="dxa" w:w="40"/>
              <w:left w:type="dxa" w:w="90"/>
              <w:bottom w:type="dxa" w:w="40"/>
              <w:right w:type="dxa" w:w="90"/>
            </w:tcMar>
          </w:tcPr>
          <w:p>
            <w:pPr>
              <w:jc w:val="center"/>
            </w:pPr>
            <w:r>
              <w:rPr>
                <w:b w:val="false"/>
                <w:bCs w:val="false"/>
                <w:color w:val="000000"/>
                <w:sz w:val="18"/>
                <w:szCs w:val="18"/>
              </w:rPr>
              <w:t xml:space="preserve">1,00</w:t>
            </w:r>
          </w:p>
        </w:tc>
      </w:tr>
      <w:tr>
        <w:tc>
          <w:tcPr>
            <w:tcW w:type="dxa" w:w="2700"/>
            <w:tcMar>
              <w:top w:type="dxa" w:w="40"/>
              <w:left w:type="dxa" w:w="90"/>
              <w:bottom w:type="dxa" w:w="40"/>
              <w:right w:type="dxa" w:w="90"/>
            </w:tcMar>
          </w:tcPr>
          <w:p>
            <w:pPr>
              <w:jc w:val="left"/>
            </w:pPr>
            <w:r>
              <w:rPr>
                <w:b/>
                <w:bCs/>
                <w:color w:val="000000"/>
                <w:sz w:val="18"/>
                <w:szCs w:val="18"/>
              </w:rPr>
              <w:t xml:space="preserve">c₅₅₀ = a+b [1/m]</w:t>
            </w:r>
          </w:p>
        </w:tc>
        <w:tc>
          <w:tcPr>
            <w:tcW w:type="dxa" w:w="2600"/>
            <w:tcMar>
              <w:top w:type="dxa" w:w="40"/>
              <w:left w:type="dxa" w:w="90"/>
              <w:bottom w:type="dxa" w:w="40"/>
              <w:right w:type="dxa" w:w="90"/>
            </w:tcMar>
          </w:tcPr>
          <w:p>
            <w:pPr>
              <w:jc w:val="center"/>
            </w:pPr>
            <w:r>
              <w:rPr>
                <w:b w:val="false"/>
                <w:bCs w:val="false"/>
                <w:color w:val="000000"/>
                <w:sz w:val="18"/>
                <w:szCs w:val="18"/>
              </w:rPr>
              <w:t xml:space="preserve">1,09</w:t>
            </w:r>
          </w:p>
        </w:tc>
        <w:tc>
          <w:tcPr>
            <w:tcW w:type="dxa" w:w="2600"/>
            <w:tcMar>
              <w:top w:type="dxa" w:w="40"/>
              <w:left w:type="dxa" w:w="90"/>
              <w:bottom w:type="dxa" w:w="40"/>
              <w:right w:type="dxa" w:w="90"/>
            </w:tcMar>
          </w:tcPr>
          <w:p>
            <w:pPr>
              <w:jc w:val="center"/>
            </w:pPr>
            <w:r>
              <w:rPr>
                <w:b w:val="false"/>
                <w:bCs w:val="false"/>
                <w:color w:val="000000"/>
                <w:sz w:val="18"/>
                <w:szCs w:val="18"/>
              </w:rPr>
              <w:t xml:space="preserve">1,29</w:t>
            </w:r>
          </w:p>
        </w:tc>
      </w:tr>
      <w:tr>
        <w:tc>
          <w:tcPr>
            <w:tcW w:type="dxa" w:w="2700"/>
            <w:tcMar>
              <w:top w:type="dxa" w:w="40"/>
              <w:left w:type="dxa" w:w="90"/>
              <w:bottom w:type="dxa" w:w="40"/>
              <w:right w:type="dxa" w:w="90"/>
            </w:tcMar>
          </w:tcPr>
          <w:p>
            <w:pPr>
              <w:jc w:val="left"/>
            </w:pPr>
            <w:r>
              <w:rPr>
                <w:b/>
                <w:bCs/>
                <w:color w:val="000000"/>
                <w:sz w:val="18"/>
                <w:szCs w:val="18"/>
              </w:rPr>
              <w:t xml:space="preserve">η (o η_a / η_b)</w:t>
            </w:r>
          </w:p>
        </w:tc>
        <w:tc>
          <w:tcPr>
            <w:tcW w:type="dxa" w:w="2600"/>
            <w:tcMar>
              <w:top w:type="dxa" w:w="40"/>
              <w:left w:type="dxa" w:w="90"/>
              <w:bottom w:type="dxa" w:w="40"/>
              <w:right w:type="dxa" w:w="90"/>
            </w:tcMar>
          </w:tcPr>
          <w:p>
            <w:pPr>
              <w:jc w:val="center"/>
            </w:pPr>
            <w:r>
              <w:rPr>
                <w:b w:val="false"/>
                <w:bCs w:val="false"/>
                <w:color w:val="000000"/>
                <w:sz w:val="18"/>
                <w:szCs w:val="18"/>
              </w:rPr>
              <w:t xml:space="preserve">0,35</w:t>
            </w:r>
          </w:p>
        </w:tc>
        <w:tc>
          <w:tcPr>
            <w:tcW w:type="dxa" w:w="2600"/>
            <w:tcMar>
              <w:top w:type="dxa" w:w="40"/>
              <w:left w:type="dxa" w:w="90"/>
              <w:bottom w:type="dxa" w:w="40"/>
              <w:right w:type="dxa" w:w="90"/>
            </w:tcMar>
          </w:tcPr>
          <w:p>
            <w:pPr>
              <w:jc w:val="center"/>
            </w:pPr>
            <w:r>
              <w:rPr>
                <w:b w:val="false"/>
                <w:bCs w:val="false"/>
                <w:color w:val="000000"/>
                <w:sz w:val="18"/>
                <w:szCs w:val="18"/>
              </w:rPr>
              <w:t xml:space="preserve">η_a 0,47 / η_b 0,53</w:t>
            </w:r>
          </w:p>
        </w:tc>
      </w:tr>
      <w:tr>
        <w:tc>
          <w:tcPr>
            <w:tcW w:type="dxa" w:w="2700"/>
            <w:tcMar>
              <w:top w:type="dxa" w:w="40"/>
              <w:left w:type="dxa" w:w="90"/>
              <w:bottom w:type="dxa" w:w="40"/>
              <w:right w:type="dxa" w:w="90"/>
            </w:tcMar>
          </w:tcPr>
          <w:p>
            <w:pPr>
              <w:jc w:val="left"/>
            </w:pPr>
            <w:r>
              <w:rPr>
                <w:b/>
                <w:bCs/>
                <w:color w:val="000000"/>
                <w:sz w:val="18"/>
                <w:szCs w:val="18"/>
              </w:rPr>
              <w:t xml:space="preserve">ω @550</w:t>
            </w:r>
          </w:p>
        </w:tc>
        <w:tc>
          <w:tcPr>
            <w:tcW w:type="dxa" w:w="2600"/>
            <w:tcMar>
              <w:top w:type="dxa" w:w="40"/>
              <w:left w:type="dxa" w:w="90"/>
              <w:bottom w:type="dxa" w:w="40"/>
              <w:right w:type="dxa" w:w="90"/>
            </w:tcMar>
          </w:tcPr>
          <w:p>
            <w:pPr>
              <w:jc w:val="center"/>
            </w:pPr>
            <w:r>
              <w:rPr>
                <w:b w:val="false"/>
                <w:bCs w:val="false"/>
                <w:color w:val="000000"/>
                <w:sz w:val="18"/>
                <w:szCs w:val="18"/>
              </w:rPr>
              <w:t xml:space="preserve">0,65</w:t>
            </w:r>
          </w:p>
        </w:tc>
        <w:tc>
          <w:tcPr>
            <w:tcW w:type="dxa" w:w="2600"/>
            <w:tcMar>
              <w:top w:type="dxa" w:w="40"/>
              <w:left w:type="dxa" w:w="90"/>
              <w:bottom w:type="dxa" w:w="40"/>
              <w:right w:type="dxa" w:w="90"/>
            </w:tcMar>
          </w:tcPr>
          <w:p>
            <w:pPr>
              <w:jc w:val="center"/>
            </w:pPr>
            <w:r>
              <w:rPr>
                <w:b w:val="false"/>
                <w:bCs w:val="false"/>
                <w:color w:val="000000"/>
                <w:sz w:val="18"/>
                <w:szCs w:val="18"/>
              </w:rPr>
              <w:t xml:space="preserve">0,77</w:t>
            </w:r>
          </w:p>
        </w:tc>
      </w:tr>
      <w:tr>
        <w:tc>
          <w:tcPr>
            <w:tcW w:type="dxa" w:w="2700"/>
            <w:tcMar>
              <w:top w:type="dxa" w:w="40"/>
              <w:left w:type="dxa" w:w="90"/>
              <w:bottom w:type="dxa" w:w="40"/>
              <w:right w:type="dxa" w:w="90"/>
            </w:tcMar>
          </w:tcPr>
          <w:p>
            <w:pPr>
              <w:jc w:val="left"/>
            </w:pPr>
            <w:r>
              <w:rPr>
                <w:b/>
                <w:bCs/>
                <w:color w:val="000000"/>
                <w:sz w:val="18"/>
                <w:szCs w:val="18"/>
              </w:rPr>
              <w:t xml:space="preserve">R² validado (azul→verde)</w:t>
            </w:r>
          </w:p>
        </w:tc>
        <w:tc>
          <w:tcPr>
            <w:tcW w:type="dxa" w:w="2600"/>
            <w:tcMar>
              <w:top w:type="dxa" w:w="40"/>
              <w:left w:type="dxa" w:w="90"/>
              <w:bottom w:type="dxa" w:w="40"/>
              <w:right w:type="dxa" w:w="90"/>
            </w:tcMar>
          </w:tcPr>
          <w:p>
            <w:pPr>
              <w:jc w:val="center"/>
            </w:pPr>
            <w:r>
              <w:rPr>
                <w:b w:val="false"/>
                <w:bCs w:val="false"/>
                <w:color w:val="000000"/>
                <w:sz w:val="18"/>
                <w:szCs w:val="18"/>
              </w:rPr>
              <w:t xml:space="preserve">0,88</w:t>
            </w:r>
          </w:p>
        </w:tc>
        <w:tc>
          <w:tcPr>
            <w:tcW w:type="dxa" w:w="2600"/>
            <w:tcMar>
              <w:top w:type="dxa" w:w="40"/>
              <w:left w:type="dxa" w:w="90"/>
              <w:bottom w:type="dxa" w:w="40"/>
              <w:right w:type="dxa" w:w="90"/>
            </w:tcMar>
          </w:tcPr>
          <w:p>
            <w:pPr>
              <w:jc w:val="center"/>
            </w:pPr>
            <w:r>
              <w:rPr>
                <w:b w:val="false"/>
                <w:bCs w:val="false"/>
                <w:color w:val="000000"/>
                <w:sz w:val="18"/>
                <w:szCs w:val="18"/>
              </w:rPr>
              <w:t xml:space="preserve">0,90</w:t>
            </w:r>
          </w:p>
        </w:tc>
      </w:tr>
    </w:tbl>
    <w:p>
      <w:pPr>
        <w:spacing w:after="40"/>
      </w:pPr>
      <w:r>
        <w:t xml:space="preserve"/>
      </w:r>
    </w:p>
    <w:p>
      <w:pPr>
        <w:spacing w:after="40" w:before="110"/>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47900"/>
                    </a:xfrm>
                    <a:prstGeom prst="rect">
                      <a:avLst/>
                    </a:prstGeom>
                  </pic:spPr>
                </pic:pic>
              </a:graphicData>
            </a:graphic>
          </wp:inline>
        </w:drawing>
      </w:r>
    </w:p>
    <w:p>
      <w:pPr>
        <w:spacing w:after="150"/>
        <w:jc w:val="center"/>
      </w:pPr>
      <w:r>
        <w:rPr>
          <w:i/>
          <w:iCs/>
          <w:color w:val="595959"/>
          <w:sz w:val="17"/>
          <w:szCs w:val="17"/>
        </w:rPr>
        <w:t xml:space="preserve">Figura 6. Atenuación espectral estimada: a(λ), b(λ) y c=a+b, para el modelo de pendientes independientes (izq.) y de pendiente compartida (der.). En ambos, la atenuación crece hacia el azul.</w:t>
      </w:r>
    </w:p>
    <w:p>
      <w:pPr>
        <w:spacing w:after="130"/>
        <w:jc w:val="both"/>
      </w:pPr>
      <w:r>
        <w:rPr>
          <w:b/>
          <w:bCs/>
        </w:rPr>
        <w:t xml:space="preserve">Lectura. </w:t>
      </w:r>
      <w:r>
        <w:t xml:space="preserve">Las pendientes independientes salen casi iguales (η_a≈η_b≈0,5) y el ajuste validado no mejora (0,90 vs 0,88): </w:t>
      </w:r>
      <w:r>
        <w:rPr>
          <w:b/>
          <w:bCs/>
        </w:rPr>
        <w:t xml:space="preserve">con solo dos bandas (azul y verde) los datos no pueden separar la forma espectral de la absorción de la de la dispersión</w:t>
      </w:r>
      <w:r>
        <w:t xml:space="preserve">. El modelo extra queda mal identificado (el muestreo de importancia se satura, ESS→1, por lo que sus intervalos no son fiables). Conclusión práctica: el modelo de pendiente compartida es suficiente para estos datos; separar η_a de η_b requeriría más bandas espectrales o una medición óptica independiente. En ambos casos la atenuación crece hacia el azul, consistente con agua dominada por dispersión de partículas y CDOM.</w:t>
      </w:r>
    </w:p>
    <w:p>
      <w:pPr>
        <w:pStyle w:val="Heading1"/>
        <w:spacing w:after="120" w:before="280"/>
      </w:pPr>
      <w:r>
        <w:rPr>
          <w:b/>
          <w:bCs/>
          <w:color w:val="1F3864"/>
        </w:rPr>
        <w:t xml:space="preserve">9. Conclusiones, limitaciones y siguientes pasos</w:t>
      </w:r>
    </w:p>
    <w:p>
      <w:pPr>
        <w:spacing w:after="50"/>
        <w:jc w:val="both"/>
      </w:pPr>
      <w:r>
        <w:rPr>
          <w:b/>
          <w:bCs/>
        </w:rPr>
        <w:t xml:space="preserve">1. La bio-óptica es la palanca más sensible, pero el desajuste residual lo gobierna la incertidumbre de posición del sensor. </w:t>
      </w:r>
      <w:r>
        <w:t xml:space="preserve">Un error combinado de ~0,7–1 m —plausible para una sonda en línea dentro de una jaula de 40 m— eleva el ajuste de 0,42 a ~0,86 (validado).</w:t>
      </w:r>
    </w:p>
    <w:p>
      <w:pPr>
        <w:spacing w:after="50"/>
        <w:jc w:val="both"/>
      </w:pPr>
      <w:r>
        <w:rPr>
          <w:b/>
          <w:bCs/>
        </w:rPr>
        <w:t xml:space="preserve">2. Posición y bio-óptica están confundidas. </w:t>
      </w:r>
      <w:r>
        <w:t xml:space="preserve">Ignorar la geometría de medición sesga (a, b): el estimador se desplaza de c₅₅₀≈0,74 (Fase 2) a ≈1,1 (Fase 3). Los valores de la Fase 3 son los preferidos, pero condicionados al modelo de posición y con identificación aún limitada (el muestreo por importancia se satura; ESS bajo).</w:t>
      </w:r>
    </w:p>
    <w:p>
      <w:pPr>
        <w:spacing w:after="50"/>
        <w:jc w:val="both"/>
      </w:pPr>
      <w:r>
        <w:rPr>
          <w:b/>
          <w:bCs/>
        </w:rPr>
        <w:t xml:space="preserve">3. Discrepancia por presencia de peces. </w:t>
      </w:r>
      <w:r>
        <w:t xml:space="preserve">Las mediciones se tomaron con los peces en la jaula. La biomasa dispersa, absorbe y sombrea la luz de forma espacial y temporalmente variable —un efecto que el simulador (agua limpia) no modela—, por lo que un matching moderado es esperable en estas condiciones. Esta discrepancia biológica es estructurada, así que parte de lo que la marginalización de posición absorbe corresponde en realidad a atenuación por peces (no a error de posición puro); esto explica en parte por qué la evidencia empuja hacia σ de posición mayores de lo físicamente razonable. Se prevé mejorar con campañas de medición más detalladas.</w:t>
      </w:r>
    </w:p>
    <w:p>
      <w:pPr>
        <w:spacing w:after="50"/>
        <w:jc w:val="both"/>
      </w:pPr>
      <w:r>
        <w:rPr>
          <w:b/>
          <w:bCs/>
        </w:rPr>
        <w:t xml:space="preserve">4. Otras limitaciones. </w:t>
      </w:r>
      <w:r>
        <w:t xml:space="preserve">El nivel de ruido de discrepancia se fijó (0,15 en log₁₀); la banda roja y el outlier se excluyeron; y la magnitud absoluta de potencia no es identificable con estos datos. La confusión entre posición, discrepancia del modelo y efecto de los peces no se rompe sin información externa.</w:t>
      </w:r>
    </w:p>
    <w:p>
      <w:pPr>
        <w:spacing w:after="130"/>
        <w:jc w:val="both"/>
      </w:pPr>
      <w:r>
        <w:rPr>
          <w:b/>
          <w:bCs/>
        </w:rPr>
        <w:t xml:space="preserve">5. Siguientes pasos, por impacto. </w:t>
      </w:r>
      <w:r>
        <w:t xml:space="preserve">(i) Registrar posición e inclinación reales del sensor en cada toma (USBL, plomada con inclinómetro o marco rígido); (ii) medir (a, b) in situ (transmisómetro de haz-c / AC-9), que rompe la confusión de raíz; (iii) con las posiciones acotadas, un emulador + MCMC afinaría el posterior de (a, b).</w:t>
      </w:r>
    </w:p>
    <w:p>
      <w:pPr>
        <w:pBdr>
          <w:top w:val="single" w:color="BFBFBF" w:sz="4" w:space="6"/>
        </w:pBdr>
        <w:spacing w:before="240"/>
      </w:pPr>
      <w:r>
        <w:rPr>
          <w:i/>
          <w:iCs/>
          <w:color w:val="595959"/>
          <w:sz w:val="16"/>
          <w:szCs w:val="16"/>
        </w:rPr>
        <w:t xml:space="preserve">Artefactos: sensitivity/ — meas_parser, sim_interface, run_screening (Fase 1); calibrate_sweep/infer/ppc (Fase 2); attack_floor, attack_sweep, attack_infer, attack_position_curve (Fase 3). Datos y figuras en sensitivity/out/.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06bfa72c48ab4c38c973b5a5a31da165f91d85.png"/><Relationship Id="rId8" Type="http://schemas.openxmlformats.org/officeDocument/2006/relationships/image" Target="media/fce1ca511834396ec369abb0e0d2078c3f9770d5.png"/><Relationship Id="rId9" Type="http://schemas.openxmlformats.org/officeDocument/2006/relationships/image" Target="media/02881d36844e271939a6a2fb64675509b6b76da0.png"/><Relationship Id="rId10" Type="http://schemas.openxmlformats.org/officeDocument/2006/relationships/image" Target="media/41e1c0949ed91a711586199008222ee4f6b37fbe.png"/><Relationship Id="rId11" Type="http://schemas.openxmlformats.org/officeDocument/2006/relationships/image" Target="media/28dd18e24a30e3984f244d6e156bd13b99d38d46.png"/><Relationship Id="rId12" Type="http://schemas.openxmlformats.org/officeDocument/2006/relationships/image" Target="media/467f127fc83811657757878bd353f392455d59f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medición–simulación — Punta Iglesia</dc:title>
  <dc:creator>EVOLUX</dc:creator>
  <cp:lastModifiedBy>Un-named</cp:lastModifiedBy>
  <cp:revision>1</cp:revision>
  <dcterms:created xsi:type="dcterms:W3CDTF">2026-07-15T13:19:53.253Z</dcterms:created>
  <dcterms:modified xsi:type="dcterms:W3CDTF">2026-07-15T13:19:53.253Z</dcterms:modified>
</cp:coreProperties>
</file>

<file path=docProps/custom.xml><?xml version="1.0" encoding="utf-8"?>
<Properties xmlns="http://schemas.openxmlformats.org/officeDocument/2006/custom-properties" xmlns:vt="http://schemas.openxmlformats.org/officeDocument/2006/docPropsVTypes"/>
</file>