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</w:p>
    <w:p>
      <w:pPr>
        <w:spacing w:line="480" w:lineRule="auto"/>
        <w:jc w:val="center"/>
      </w:pPr>
      <w:r>
        <w:rPr>
          <w:rFonts w:ascii="Arial" w:hAnsi="Arial"/>
          <w:b/>
          <w:sz w:val="22"/>
        </w:rPr>
        <w:t>CÉLULA 7 — MERCADEO, CAMPAÑAS Y FIDELIZACIÓN</w:t>
        <w:br/>
        <w:t>ASIGNACIÓN DE ROLES Y ESTRUCTURA DEL PROYECTO</w:t>
      </w:r>
    </w:p>
    <w:p>
      <w:pPr>
        <w:spacing w:after="480"/>
      </w:pPr>
    </w:p>
    <w:p>
      <w:pPr>
        <w:spacing w:line="480" w:lineRule="auto"/>
        <w:jc w:val="center"/>
      </w:pPr>
      <w:r>
        <w:rPr>
          <w:rFonts w:ascii="Arial" w:hAnsi="Arial"/>
          <w:sz w:val="22"/>
        </w:rPr>
        <w:t>Miguel Gómez Aguilar</w:t>
        <w:br/>
        <w:t>Andrés Vélez</w:t>
        <w:br/>
        <w:t>Jean Steven</w:t>
        <w:br/>
        <w:t>José</w:t>
        <w:br/>
        <w:t>Juan Camilo</w:t>
        <w:br/>
        <w:br/>
        <w:t>Escuela de Tecnologías de la Información y Comunicación</w:t>
        <w:br/>
        <w:t>CESDE</w:t>
        <w:br/>
        <w:t>Célula de Desarrollo 7: Mercadeo, Campañas y Fidelización</w:t>
        <w:br/>
        <w:t>Medellín, Colombia</w:t>
        <w:br/>
        <w:t>28 de Septiembre de 2026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480" w:lineRule="auto" w:before="240" w:after="120"/>
        <w:jc w:val="center"/>
      </w:pPr>
      <w:r>
        <w:rPr>
          <w:rFonts w:ascii="Arial" w:hAnsi="Arial"/>
          <w:b/>
          <w:sz w:val="22"/>
        </w:rPr>
        <w:t>Declaración de Propiedad Intelectual</w:t>
      </w:r>
    </w:p>
    <w:p>
      <w:pPr>
        <w:spacing w:line="480" w:lineRule="auto" w:before="0" w:after="0"/>
        <w:ind w:firstLine="964"/>
      </w:pPr>
      <w:r>
        <w:rPr>
          <w:rFonts w:ascii="Arial" w:hAnsi="Arial"/>
          <w:sz w:val="22"/>
        </w:rPr>
        <w:t>El presente documento y los artefactos de software derivados (código fuente, modelos de base de datos, documentación técnica y diseño de interfaces) desarrollados en el marco de la Célula 7 corresponden a producción intelectual original del equipo de trabajo integrado por Miguel Gómez Aguilar, Andrés Vélez, Jean Steven, José y Juan Camilo. Todos los derechos morales pertenecen a los autores, concediendo a CESDE los derechos de evaluación académica correspondientes.</w:t>
      </w:r>
    </w:p>
    <w:p>
      <w:r>
        <w:br w:type="page"/>
      </w:r>
    </w:p>
    <w:p>
      <w:pPr>
        <w:spacing w:line="480" w:lineRule="auto" w:before="240" w:after="120"/>
        <w:jc w:val="center"/>
      </w:pPr>
      <w:r>
        <w:rPr>
          <w:rFonts w:ascii="Arial" w:hAnsi="Arial"/>
          <w:b/>
          <w:sz w:val="22"/>
        </w:rPr>
        <w:t>Tabla de Contenido</w:t>
      </w:r>
    </w:p>
    <w:p>
      <w:pPr>
        <w:spacing w:line="480" w:lineRule="auto" w:before="0" w:after="0"/>
        <w:ind w:firstLine="964"/>
      </w:pPr>
      <w:r>
        <w:rPr>
          <w:rFonts w:ascii="Arial" w:hAnsi="Arial"/>
          <w:sz w:val="22"/>
        </w:rPr>
        <w:t>A continuación se presenta la estructura analítica del documento. Al abrir este archivo en Microsoft Word, haga clic derecho sobre el campo inferior o presione F9 para actualizar la lista autogenerada de títulos y número de página.</w:t>
      </w:r>
    </w:p>
    <w:p>
      <w:pPr>
        <w:jc w:val="left"/>
      </w:pPr>
      <w:fldSimple w:instr="TOC \o &quot;1-3&quot; \h \z \u"/>
    </w:p>
    <w:p>
      <w:r>
        <w:br w:type="page"/>
      </w:r>
    </w:p>
    <w:p>
      <w:pPr>
        <w:spacing w:line="480" w:lineRule="auto" w:before="240" w:after="120"/>
        <w:jc w:val="center"/>
      </w:pPr>
      <w:r>
        <w:rPr>
          <w:rFonts w:ascii="Arial" w:hAnsi="Arial"/>
          <w:b/>
          <w:sz w:val="22"/>
        </w:rPr>
        <w:t>Lista de Tablas</w:t>
      </w:r>
    </w:p>
    <w:p>
      <w:pPr>
        <w:spacing w:line="480" w:lineRule="auto"/>
        <w:ind w:left="720" w:hanging="720"/>
      </w:pPr>
      <w:r>
        <w:rPr>
          <w:rFonts w:ascii="Arial" w:hAnsi="Arial"/>
          <w:sz w:val="22"/>
        </w:rPr>
        <w:t>Tabla 1. Matriz de Integrantes, Roles Asignados y Área Principal de Trabajo .................. Pág. 5</w:t>
      </w:r>
    </w:p>
    <w:p>
      <w:r>
        <w:br w:type="page"/>
      </w:r>
    </w:p>
    <w:p>
      <w:pPr>
        <w:spacing w:line="480" w:lineRule="auto" w:before="240" w:after="120"/>
        <w:jc w:val="center"/>
      </w:pPr>
      <w:r>
        <w:rPr>
          <w:rFonts w:ascii="Arial" w:hAnsi="Arial"/>
          <w:b/>
          <w:sz w:val="22"/>
        </w:rPr>
        <w:t>Lista de Ilustraciones</w:t>
      </w:r>
    </w:p>
    <w:p>
      <w:pPr>
        <w:spacing w:line="480" w:lineRule="auto"/>
        <w:ind w:left="720" w:hanging="720"/>
      </w:pPr>
      <w:r>
        <w:rPr>
          <w:rFonts w:ascii="Arial" w:hAnsi="Arial"/>
          <w:sz w:val="22"/>
        </w:rPr>
        <w:t>Ilustración 1. Diagrama de Flujo de Trabajo en Git (Gitflow para la Célula 7) ............... Pág. 7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480" w:lineRule="auto" w:before="240" w:after="120"/>
        <w:jc w:val="center"/>
      </w:pPr>
      <w:r>
        <w:rPr>
          <w:rFonts w:ascii="Arial" w:hAnsi="Arial"/>
          <w:b/>
          <w:sz w:val="22"/>
        </w:rPr>
        <w:t>1. Descripción General del Módulo</w:t>
      </w:r>
    </w:p>
    <w:p>
      <w:pPr>
        <w:spacing w:line="480" w:lineRule="auto" w:before="0" w:after="0"/>
        <w:ind w:firstLine="964"/>
      </w:pPr>
      <w:r>
        <w:rPr>
          <w:rFonts w:ascii="Arial" w:hAnsi="Arial"/>
          <w:sz w:val="22"/>
        </w:rPr>
        <w:t>Este documento especifica la estructura organizacional, distribución de roles y asignación de responsabilidades para los 5 integrantes de la Célula 7. El equipo es responsable del diseño, desarrollo e integración del sistema de Mercadeo, Gestión de Campañas Publicitarias y Programas de Fidelización.</w:t>
      </w:r>
    </w:p>
    <w:p>
      <w:pPr>
        <w:spacing w:line="480" w:lineRule="auto" w:before="0" w:after="0"/>
        <w:ind w:firstLine="964"/>
      </w:pPr>
      <w:r>
        <w:rPr>
          <w:rFonts w:ascii="Arial" w:hAnsi="Arial"/>
          <w:sz w:val="22"/>
        </w:rPr>
        <w:t>La implementación sigue los lineamientos de la arquitectura orientada a servicios, garantizando la escalabilidad del código, la mantenibilidad del repositorio en Git y la correcta separación de responsabilidades entre los componentes de interfaz de usuario, lógica de negocio y persistencia de datos.</w:t>
      </w:r>
    </w:p>
    <w:p>
      <w:r>
        <w:br w:type="page"/>
      </w:r>
    </w:p>
    <w:p>
      <w:pPr>
        <w:spacing w:line="480" w:lineRule="auto" w:before="240" w:after="120"/>
        <w:jc w:val="center"/>
      </w:pPr>
      <w:r>
        <w:rPr>
          <w:rFonts w:ascii="Arial" w:hAnsi="Arial"/>
          <w:b/>
          <w:sz w:val="22"/>
        </w:rPr>
        <w:t>2. Matriz de Integrantes y Roles</w:t>
      </w:r>
    </w:p>
    <w:p>
      <w:pPr>
        <w:spacing w:line="480" w:lineRule="auto" w:before="0" w:after="0"/>
        <w:ind w:firstLine="964"/>
      </w:pPr>
      <w:r>
        <w:rPr>
          <w:rFonts w:ascii="Arial" w:hAnsi="Arial"/>
          <w:sz w:val="22"/>
        </w:rPr>
        <w:t>A continuación se presenta la distribución oficial de los integrantes del grupo de trabajo, especificando el rol asignado y la cobertura técnica de cada participante dentro de la célula.</w:t>
      </w:r>
    </w:p>
    <w:p>
      <w:pPr>
        <w:spacing w:line="480" w:lineRule="auto" w:before="120" w:after="40"/>
      </w:pPr>
      <w:r>
        <w:rPr>
          <w:b/>
        </w:rPr>
        <w:t>Tabla 1</w:t>
        <w:br/>
      </w:r>
      <w:r>
        <w:rPr>
          <w:i/>
        </w:rPr>
        <w:t>Matriz de Integrantes, Roles Asignados y Área Principal de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</w:tcPr>
          <w:p>
            <w:pPr>
              <w:spacing w:line="276" w:lineRule="auto"/>
              <w:jc w:val="left"/>
            </w:pPr>
            <w:r>
              <w:rPr>
                <w:b/>
                <w:sz w:val="20"/>
              </w:rPr>
              <w:t>N°</w:t>
            </w:r>
          </w:p>
        </w:tc>
        <w:tc>
          <w:tcPr>
            <w:tcW w:type="dxa" w:w="2592"/>
          </w:tcPr>
          <w:p>
            <w:pPr>
              <w:spacing w:line="276" w:lineRule="auto"/>
              <w:jc w:val="left"/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type="dxa" w:w="3168"/>
          </w:tcPr>
          <w:p>
            <w:pPr>
              <w:spacing w:line="276" w:lineRule="auto"/>
              <w:jc w:val="left"/>
            </w:pPr>
            <w:r>
              <w:rPr>
                <w:b/>
                <w:sz w:val="20"/>
              </w:rPr>
              <w:t>Rol Asignado</w:t>
            </w:r>
          </w:p>
        </w:tc>
        <w:tc>
          <w:tcPr>
            <w:tcW w:type="dxa" w:w="3456"/>
          </w:tcPr>
          <w:p>
            <w:pPr>
              <w:spacing w:line="276" w:lineRule="auto"/>
              <w:jc w:val="left"/>
            </w:pPr>
            <w:r>
              <w:rPr>
                <w:b/>
                <w:sz w:val="20"/>
              </w:rPr>
              <w:t>Área Principal</w:t>
            </w:r>
          </w:p>
        </w:tc>
      </w:tr>
      <w:tr>
        <w:tc>
          <w:tcPr>
            <w:tcW w:type="dxa" w:w="864"/>
          </w:tcPr>
          <w:p>
            <w:pPr>
              <w:spacing w:line="276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2592"/>
          </w:tcPr>
          <w:p>
            <w:pPr>
              <w:spacing w:line="276" w:lineRule="auto"/>
            </w:pPr>
            <w:r>
              <w:rPr>
                <w:sz w:val="19"/>
              </w:rPr>
              <w:t>Miguel Gómez</w:t>
            </w:r>
          </w:p>
        </w:tc>
        <w:tc>
          <w:tcPr>
            <w:tcW w:type="dxa" w:w="3168"/>
          </w:tcPr>
          <w:p>
            <w:pPr>
              <w:spacing w:line="276" w:lineRule="auto"/>
            </w:pPr>
            <w:r>
              <w:rPr>
                <w:sz w:val="19"/>
              </w:rPr>
              <w:t>Scrum Master / Lead Developer</w:t>
            </w:r>
          </w:p>
        </w:tc>
        <w:tc>
          <w:tcPr>
            <w:tcW w:type="dxa" w:w="3456"/>
          </w:tcPr>
          <w:p>
            <w:pPr>
              <w:spacing w:line="276" w:lineRule="auto"/>
            </w:pPr>
            <w:r>
              <w:rPr>
                <w:sz w:val="19"/>
              </w:rPr>
              <w:t>Gestión del repositorio, flujo Git, arquitectura y PRs</w:t>
            </w:r>
          </w:p>
        </w:tc>
      </w:tr>
      <w:tr>
        <w:tc>
          <w:tcPr>
            <w:tcW w:type="dxa" w:w="864"/>
          </w:tcPr>
          <w:p>
            <w:pPr>
              <w:spacing w:line="276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2592"/>
          </w:tcPr>
          <w:p>
            <w:pPr>
              <w:spacing w:line="276" w:lineRule="auto"/>
            </w:pPr>
            <w:r>
              <w:rPr>
                <w:sz w:val="19"/>
              </w:rPr>
              <w:t>Andrés Vélez</w:t>
            </w:r>
          </w:p>
        </w:tc>
        <w:tc>
          <w:tcPr>
            <w:tcW w:type="dxa" w:w="3168"/>
          </w:tcPr>
          <w:p>
            <w:pPr>
              <w:spacing w:line="276" w:lineRule="auto"/>
            </w:pPr>
            <w:r>
              <w:rPr>
                <w:sz w:val="19"/>
              </w:rPr>
              <w:t>Frontend Developer</w:t>
            </w:r>
          </w:p>
        </w:tc>
        <w:tc>
          <w:tcPr>
            <w:tcW w:type="dxa" w:w="3456"/>
          </w:tcPr>
          <w:p>
            <w:pPr>
              <w:spacing w:line="276" w:lineRule="auto"/>
            </w:pPr>
            <w:r>
              <w:rPr>
                <w:sz w:val="19"/>
              </w:rPr>
              <w:t>Módulo de creación y gestión de campañas</w:t>
            </w:r>
          </w:p>
        </w:tc>
      </w:tr>
      <w:tr>
        <w:tc>
          <w:tcPr>
            <w:tcW w:type="dxa" w:w="864"/>
          </w:tcPr>
          <w:p>
            <w:pPr>
              <w:spacing w:line="276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2592"/>
          </w:tcPr>
          <w:p>
            <w:pPr>
              <w:spacing w:line="276" w:lineRule="auto"/>
            </w:pPr>
            <w:r>
              <w:rPr>
                <w:sz w:val="19"/>
              </w:rPr>
              <w:t>Jean Steven</w:t>
            </w:r>
          </w:p>
        </w:tc>
        <w:tc>
          <w:tcPr>
            <w:tcW w:type="dxa" w:w="3168"/>
          </w:tcPr>
          <w:p>
            <w:pPr>
              <w:spacing w:line="276" w:lineRule="auto"/>
            </w:pPr>
            <w:r>
              <w:rPr>
                <w:sz w:val="19"/>
              </w:rPr>
              <w:t>Backend Developer</w:t>
            </w:r>
          </w:p>
        </w:tc>
        <w:tc>
          <w:tcPr>
            <w:tcW w:type="dxa" w:w="3456"/>
          </w:tcPr>
          <w:p>
            <w:pPr>
              <w:spacing w:line="276" w:lineRule="auto"/>
            </w:pPr>
            <w:r>
              <w:rPr>
                <w:sz w:val="19"/>
              </w:rPr>
              <w:t>Lógica de puntos, fidelización y recompensas</w:t>
            </w:r>
          </w:p>
        </w:tc>
      </w:tr>
      <w:tr>
        <w:tc>
          <w:tcPr>
            <w:tcW w:type="dxa" w:w="864"/>
          </w:tcPr>
          <w:p>
            <w:pPr>
              <w:spacing w:line="276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2592"/>
          </w:tcPr>
          <w:p>
            <w:pPr>
              <w:spacing w:line="276" w:lineRule="auto"/>
            </w:pPr>
            <w:r>
              <w:rPr>
                <w:sz w:val="19"/>
              </w:rPr>
              <w:t>José</w:t>
            </w:r>
          </w:p>
        </w:tc>
        <w:tc>
          <w:tcPr>
            <w:tcW w:type="dxa" w:w="3168"/>
          </w:tcPr>
          <w:p>
            <w:pPr>
              <w:spacing w:line="276" w:lineRule="auto"/>
            </w:pPr>
            <w:r>
              <w:rPr>
                <w:sz w:val="19"/>
              </w:rPr>
              <w:t>Backend &amp; Analytics</w:t>
            </w:r>
          </w:p>
        </w:tc>
        <w:tc>
          <w:tcPr>
            <w:tcW w:type="dxa" w:w="3456"/>
          </w:tcPr>
          <w:p>
            <w:pPr>
              <w:spacing w:line="276" w:lineRule="auto"/>
            </w:pPr>
            <w:r>
              <w:rPr>
                <w:sz w:val="19"/>
              </w:rPr>
              <w:t>Módulo de mercadeo, métricas (ROI) y notificaciones</w:t>
            </w:r>
          </w:p>
        </w:tc>
      </w:tr>
      <w:tr>
        <w:tc>
          <w:tcPr>
            <w:tcW w:type="dxa" w:w="864"/>
          </w:tcPr>
          <w:p>
            <w:pPr>
              <w:spacing w:line="276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2592"/>
          </w:tcPr>
          <w:p>
            <w:pPr>
              <w:spacing w:line="276" w:lineRule="auto"/>
            </w:pPr>
            <w:r>
              <w:rPr>
                <w:sz w:val="19"/>
              </w:rPr>
              <w:t>Juan Camilo</w:t>
            </w:r>
          </w:p>
        </w:tc>
        <w:tc>
          <w:tcPr>
            <w:tcW w:type="dxa" w:w="3168"/>
          </w:tcPr>
          <w:p>
            <w:pPr>
              <w:spacing w:line="276" w:lineRule="auto"/>
            </w:pPr>
            <w:r>
              <w:rPr>
                <w:sz w:val="19"/>
              </w:rPr>
              <w:t>QA &amp; UI/UX / Documentador</w:t>
            </w:r>
          </w:p>
        </w:tc>
        <w:tc>
          <w:tcPr>
            <w:tcW w:type="dxa" w:w="3456"/>
          </w:tcPr>
          <w:p>
            <w:pPr>
              <w:spacing w:line="276" w:lineRule="auto"/>
            </w:pPr>
            <w:r>
              <w:rPr>
                <w:sz w:val="19"/>
              </w:rPr>
              <w:t>Pruebas funcionales, documentación técnica y diseño UX</w:t>
            </w:r>
          </w:p>
        </w:tc>
      </w:tr>
    </w:tbl>
    <w:p>
      <w:pPr>
        <w:spacing w:line="276" w:lineRule="auto" w:before="80"/>
      </w:pPr>
      <w:r>
        <w:rPr>
          <w:i/>
          <w:sz w:val="19"/>
        </w:rPr>
        <w:t>Nota. Elaboración propia basada en la asignación de responsabilidades de la Célula 7.</w:t>
      </w:r>
    </w:p>
    <w:p>
      <w:r>
        <w:br w:type="page"/>
      </w:r>
    </w:p>
    <w:p>
      <w:pPr>
        <w:spacing w:line="480" w:lineRule="auto" w:before="240" w:after="120"/>
        <w:jc w:val="center"/>
      </w:pPr>
      <w:r>
        <w:rPr>
          <w:rFonts w:ascii="Arial" w:hAnsi="Arial"/>
          <w:b/>
          <w:sz w:val="22"/>
        </w:rPr>
        <w:t>3. Detalle de Responsabilidades por Integrante</w:t>
      </w:r>
    </w:p>
    <w:p>
      <w:pPr>
        <w:spacing w:line="480" w:lineRule="auto" w:before="240" w:after="120"/>
        <w:jc w:val="left"/>
      </w:pPr>
      <w:r>
        <w:rPr>
          <w:rFonts w:ascii="Arial" w:hAnsi="Arial"/>
          <w:b/>
          <w:sz w:val="22"/>
        </w:rPr>
        <w:t>3.1 Miguel Gómez — Scrum Master / Lead Developer</w:t>
      </w:r>
    </w:p>
    <w:p>
      <w:pPr>
        <w:spacing w:line="480" w:lineRule="auto" w:before="0" w:after="0"/>
        <w:ind w:firstLine="964"/>
      </w:pPr>
      <w:r>
        <w:t>• Coordinación general de la Célula 7 y facilitación del flujo de trabajo ágil.</w:t>
      </w:r>
    </w:p>
    <w:p>
      <w:pPr>
        <w:spacing w:line="480" w:lineRule="auto" w:before="0" w:after="0"/>
        <w:ind w:firstLine="964"/>
      </w:pPr>
      <w:r>
        <w:t>• Control de la estructura del repositorio Git (ramas main, develop y ramas de características feature/*).</w:t>
      </w:r>
    </w:p>
    <w:p>
      <w:pPr>
        <w:spacing w:line="480" w:lineRule="auto" w:before="0" w:after="0"/>
        <w:ind w:firstLine="964"/>
      </w:pPr>
      <w:r>
        <w:t>• Revisión, validación y aprobación de Pull Requests (PRs) enviadas por el equipo.</w:t>
      </w:r>
    </w:p>
    <w:p>
      <w:pPr>
        <w:spacing w:line="480" w:lineRule="auto" w:before="0" w:after="0"/>
        <w:ind w:firstLine="964"/>
      </w:pPr>
      <w:r>
        <w:t>• Definición de la arquitectura base del proyecto y establecimiento de estándares de código.</w:t>
      </w:r>
    </w:p>
    <w:p>
      <w:pPr>
        <w:spacing w:line="480" w:lineRule="auto" w:before="0" w:after="0"/>
        <w:ind w:firstLine="964"/>
      </w:pPr>
      <w:r>
        <w:t>• Supervisión de la integración continua entre los distintos módulos.</w:t>
      </w:r>
    </w:p>
    <w:p>
      <w:pPr>
        <w:spacing w:line="480" w:lineRule="auto" w:before="240" w:after="120"/>
        <w:jc w:val="left"/>
      </w:pPr>
      <w:r>
        <w:rPr>
          <w:rFonts w:ascii="Arial" w:hAnsi="Arial"/>
          <w:b/>
          <w:sz w:val="22"/>
        </w:rPr>
        <w:t>3.2 Andrés Vélez — Frontend Developer (Módulo de Campañas)</w:t>
      </w:r>
    </w:p>
    <w:p>
      <w:pPr>
        <w:spacing w:line="480" w:lineRule="auto" w:before="0" w:after="0"/>
        <w:ind w:firstLine="964"/>
      </w:pPr>
      <w:r>
        <w:t>• Diseñar e implementar la interfaz de usuario para la creación y configuración de campañas publicitarias.</w:t>
      </w:r>
    </w:p>
    <w:p>
      <w:pPr>
        <w:spacing w:line="480" w:lineRule="auto" w:before="0" w:after="0"/>
        <w:ind w:firstLine="964"/>
      </w:pPr>
      <w:r>
        <w:t>• Desarrollar vistas interactivas para la segmentación de audiencia y programación de lanzamientos.</w:t>
      </w:r>
    </w:p>
    <w:p>
      <w:pPr>
        <w:spacing w:line="480" w:lineRule="auto" w:before="0" w:after="0"/>
        <w:ind w:firstLine="964"/>
      </w:pPr>
      <w:r>
        <w:t>• Consumo de servicios y APIs REST relativas al módulo de campañas.</w:t>
      </w:r>
    </w:p>
    <w:p>
      <w:pPr>
        <w:spacing w:line="480" w:lineRule="auto" w:before="0" w:after="0"/>
        <w:ind w:firstLine="964"/>
      </w:pPr>
      <w:r>
        <w:t>• Garantizar la adaptabilidad y dinamismo visual de los formularios de mercadeo.</w:t>
      </w:r>
    </w:p>
    <w:p>
      <w:pPr>
        <w:spacing w:line="480" w:lineRule="auto" w:before="240" w:after="120"/>
        <w:jc w:val="left"/>
      </w:pPr>
      <w:r>
        <w:rPr>
          <w:rFonts w:ascii="Arial" w:hAnsi="Arial"/>
          <w:b/>
          <w:sz w:val="22"/>
        </w:rPr>
        <w:t>3.3 Jean Steven — Backend Developer (Módulo de Fidelización)</w:t>
      </w:r>
    </w:p>
    <w:p>
      <w:pPr>
        <w:spacing w:line="480" w:lineRule="auto" w:before="0" w:after="0"/>
        <w:ind w:firstLine="964"/>
      </w:pPr>
      <w:r>
        <w:t>• Diseño y desarrollo de la lógica de negocio para acumulación y redención de puntos o beneficios.</w:t>
      </w:r>
    </w:p>
    <w:p>
      <w:pPr>
        <w:spacing w:line="480" w:lineRule="auto" w:before="0" w:after="0"/>
        <w:ind w:firstLine="964"/>
      </w:pPr>
      <w:r>
        <w:t>• Estructurar la base de datos para registrar el historial de compras y perfiles de clientes fidelizados.</w:t>
      </w:r>
    </w:p>
    <w:p>
      <w:pPr>
        <w:spacing w:line="480" w:lineRule="auto" w:before="0" w:after="0"/>
        <w:ind w:firstLine="964"/>
      </w:pPr>
      <w:r>
        <w:t>• Desarrollo de endpoints REST para la consulta y gestión de recompensas.</w:t>
      </w:r>
    </w:p>
    <w:p>
      <w:pPr>
        <w:spacing w:line="480" w:lineRule="auto" w:before="0" w:after="0"/>
        <w:ind w:firstLine="964"/>
      </w:pPr>
      <w:r>
        <w:t>• Implementación de reglas de negocio para promociones especiales y niveles de fidelidad.</w:t>
      </w:r>
    </w:p>
    <w:p>
      <w:pPr>
        <w:spacing w:line="480" w:lineRule="auto" w:before="240" w:after="120"/>
        <w:jc w:val="left"/>
      </w:pPr>
      <w:r>
        <w:rPr>
          <w:rFonts w:ascii="Arial" w:hAnsi="Arial"/>
          <w:b/>
          <w:sz w:val="22"/>
        </w:rPr>
        <w:t>3.4 José — Backend Developer (Módulo de Mercadeo y Analítica)</w:t>
      </w:r>
    </w:p>
    <w:p>
      <w:pPr>
        <w:spacing w:line="480" w:lineRule="auto" w:before="0" w:after="0"/>
        <w:ind w:firstLine="964"/>
      </w:pPr>
      <w:r>
        <w:t>• Desarrollar servicios para la generación de reportes e indicadores clave de rendimiento (ROI, tasa de conversión).</w:t>
      </w:r>
    </w:p>
    <w:p>
      <w:pPr>
        <w:spacing w:line="480" w:lineRule="auto" w:before="0" w:after="0"/>
        <w:ind w:firstLine="964"/>
      </w:pPr>
      <w:r>
        <w:t>• Implementar la lógica backend para el envío automatizado o masivo de notificaciones y correos promocionales.</w:t>
      </w:r>
    </w:p>
    <w:p>
      <w:pPr>
        <w:spacing w:line="480" w:lineRule="auto" w:before="0" w:after="0"/>
        <w:ind w:firstLine="964"/>
      </w:pPr>
      <w:r>
        <w:t>• Integración con la base de datos central y optimización de consultas analíticas.</w:t>
      </w:r>
    </w:p>
    <w:p>
      <w:pPr>
        <w:spacing w:line="480" w:lineRule="auto" w:before="0" w:after="0"/>
        <w:ind w:firstLine="964"/>
      </w:pPr>
      <w:r>
        <w:t>• Garantizar la consistencia de datos entre el área comercial y los módulos de mercadeo.</w:t>
      </w:r>
    </w:p>
    <w:p>
      <w:pPr>
        <w:spacing w:line="480" w:lineRule="auto" w:before="240" w:after="120"/>
        <w:jc w:val="left"/>
      </w:pPr>
      <w:r>
        <w:rPr>
          <w:rFonts w:ascii="Arial" w:hAnsi="Arial"/>
          <w:b/>
          <w:sz w:val="22"/>
        </w:rPr>
        <w:t>3.5 Juan Camilo — QA &amp; UI/UX Designer / Documentador</w:t>
      </w:r>
    </w:p>
    <w:p>
      <w:pPr>
        <w:spacing w:line="480" w:lineRule="auto" w:before="0" w:after="0"/>
        <w:ind w:firstLine="964"/>
      </w:pPr>
      <w:r>
        <w:t>• Diseño y ejecución de planes de pruebas funcionales para los módulos de campañas, fidelización y mercadeo.</w:t>
      </w:r>
    </w:p>
    <w:p>
      <w:pPr>
        <w:spacing w:line="480" w:lineRule="auto" w:before="0" w:after="0"/>
        <w:ind w:firstLine="964"/>
      </w:pPr>
      <w:r>
        <w:t>• Asegurar la consistencia del diseño visual, usabilidad y experiencia de usuario (UX) en la plataforma.</w:t>
      </w:r>
    </w:p>
    <w:p>
      <w:pPr>
        <w:spacing w:line="480" w:lineRule="auto" w:before="0" w:after="0"/>
        <w:ind w:firstLine="964"/>
      </w:pPr>
      <w:r>
        <w:t>• Redacción de la documentación técnica en el repositorio (archivos README, guías de instalación, modelos ER).</w:t>
      </w:r>
    </w:p>
    <w:p>
      <w:pPr>
        <w:spacing w:line="480" w:lineRule="auto" w:before="0" w:after="0"/>
        <w:ind w:firstLine="964"/>
      </w:pPr>
      <w:r>
        <w:t>• Soporte en la detección y reporte de errores durante el ciclo de integración.</w:t>
      </w:r>
    </w:p>
    <w:p>
      <w:r>
        <w:br w:type="page"/>
      </w:r>
    </w:p>
    <w:p>
      <w:pPr>
        <w:spacing w:line="480" w:lineRule="auto" w:before="240" w:after="120"/>
        <w:jc w:val="center"/>
      </w:pPr>
      <w:r>
        <w:rPr>
          <w:rFonts w:ascii="Arial" w:hAnsi="Arial"/>
          <w:b/>
          <w:sz w:val="22"/>
        </w:rPr>
        <w:t>4. Flujo de Trabajo en Git (Gitflow)</w:t>
      </w:r>
    </w:p>
    <w:p>
      <w:pPr>
        <w:spacing w:line="480" w:lineRule="auto" w:before="0" w:after="0"/>
        <w:ind w:firstLine="964"/>
      </w:pPr>
      <w:r>
        <w:rPr>
          <w:rFonts w:ascii="Arial" w:hAnsi="Arial"/>
          <w:sz w:val="22"/>
        </w:rPr>
        <w:t>El desarrollo colaborativo de la Célula 7 se rige bajo la metodología Gitflow adaptada para trabajar con repositorios bifurcados (forks). Esto garantiza un entorno seguro antes de integrar cambios al núcleo del sistema.</w:t>
      </w:r>
    </w:p>
    <w:p>
      <w:pPr>
        <w:spacing w:line="480" w:lineRule="auto" w:before="240" w:after="120"/>
        <w:jc w:val="left"/>
      </w:pPr>
      <w:r>
        <w:rPr>
          <w:rFonts w:ascii="Arial" w:hAnsi="Arial"/>
          <w:b/>
          <w:sz w:val="22"/>
        </w:rPr>
        <w:t>4.1 Estructura de Ramas Principales</w:t>
      </w:r>
    </w:p>
    <w:p>
      <w:pPr>
        <w:spacing w:line="480" w:lineRule="auto" w:before="0" w:after="0"/>
        <w:ind w:firstLine="964"/>
      </w:pPr>
      <w:r>
        <w:rPr>
          <w:rFonts w:ascii="Arial" w:hAnsi="Arial"/>
          <w:sz w:val="22"/>
        </w:rPr>
        <w:t>La rama main contiene únicamente código estable listo para producción. Por otro lado, la rama develop se consolida como el eje central de integración donde concurren los desarrollos de cada integrante.</w:t>
      </w:r>
    </w:p>
    <w:p>
      <w:pPr>
        <w:spacing w:line="480" w:lineRule="auto" w:before="240" w:after="120"/>
        <w:jc w:val="left"/>
      </w:pPr>
      <w:r>
        <w:rPr>
          <w:rFonts w:ascii="Arial" w:hAnsi="Arial"/>
          <w:b/>
          <w:sz w:val="22"/>
        </w:rPr>
        <w:t>4.2 Integración mediante Pull Requests</w:t>
      </w:r>
    </w:p>
    <w:p>
      <w:pPr>
        <w:spacing w:line="480" w:lineRule="auto" w:before="0" w:after="0"/>
        <w:ind w:firstLine="964"/>
      </w:pPr>
      <w:r>
        <w:rPr>
          <w:rFonts w:ascii="Arial" w:hAnsi="Arial"/>
          <w:sz w:val="22"/>
        </w:rPr>
        <w:t>Cada desarrollador crea una rama de trabajo individual (feature/nombre-funcionalidad) en su repositorio personal (fork). Una vez finalizada y probada la funcionalidad, se envía una solicitud de extracción (Pull Request) hacia la rama develop del repositorio principal para ser auditada por el Lead Developer.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480" w:lineRule="auto" w:before="240" w:after="120"/>
        <w:jc w:val="center"/>
      </w:pPr>
      <w:r>
        <w:rPr>
          <w:rFonts w:ascii="Arial" w:hAnsi="Arial"/>
          <w:b/>
          <w:sz w:val="22"/>
        </w:rPr>
        <w:t>Referencias</w:t>
      </w:r>
    </w:p>
    <w:p>
      <w:pPr>
        <w:spacing w:line="480" w:lineRule="auto" w:after="120"/>
        <w:ind w:left="720" w:hanging="720"/>
      </w:pPr>
      <w:r>
        <w:rPr>
          <w:rFonts w:ascii="Arial" w:hAnsi="Arial"/>
          <w:sz w:val="22"/>
        </w:rPr>
        <w:t>Beck, K., &amp; Fowler, M. (2000). Planning Extreme Programming. Addison-Wesley Professional.</w:t>
      </w:r>
    </w:p>
    <w:p>
      <w:pPr>
        <w:spacing w:line="480" w:lineRule="auto" w:after="120"/>
        <w:ind w:left="720" w:hanging="720"/>
      </w:pPr>
      <w:r>
        <w:rPr>
          <w:rFonts w:ascii="Arial" w:hAnsi="Arial"/>
          <w:sz w:val="22"/>
        </w:rPr>
        <w:t>Chacon, S., &amp; Straub, B. (2014). Pro Git (2nd ed.). Apress.</w:t>
      </w:r>
    </w:p>
    <w:p>
      <w:pPr>
        <w:spacing w:line="480" w:lineRule="auto" w:after="120"/>
        <w:ind w:left="720" w:hanging="720"/>
      </w:pPr>
      <w:r>
        <w:rPr>
          <w:rFonts w:ascii="Arial" w:hAnsi="Arial"/>
          <w:sz w:val="22"/>
        </w:rPr>
        <w:t>Sommerville, I. (2011). Software Engineering (9th ed.). Addison-Wesley.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