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D6" w:rsidRDefault="008F6353">
      <w:r>
        <w:t xml:space="preserve">Celem </w:t>
      </w:r>
      <w:r w:rsidR="00FB45B5">
        <w:t>zadań</w:t>
      </w:r>
      <w:r>
        <w:t xml:space="preserve"> będzie napisanie aplikacji agregującej wpisy z różnych stron newsowych (udostępniających wpisy poprzez RSS). </w:t>
      </w:r>
      <w:r w:rsidR="009251B6">
        <w:t xml:space="preserve">Aplikacja będzie budowana stopniowo podczas szkolenia, wraz z kolejnymi aspektami platformy JEE6 przedstawianymi podczas szkolenia. </w:t>
      </w:r>
    </w:p>
    <w:p w:rsidR="009251B6" w:rsidRDefault="00F0402C">
      <w:r>
        <w:t xml:space="preserve">Agregacja artykułów będzie wykorzystywać ideę </w:t>
      </w:r>
      <w:r w:rsidRPr="00F0402C">
        <w:rPr>
          <w:i/>
        </w:rPr>
        <w:t>pubsubhubbub</w:t>
      </w:r>
      <w:r>
        <w:rPr>
          <w:i/>
        </w:rPr>
        <w:t xml:space="preserve"> (PuSH)</w:t>
      </w:r>
      <w:r>
        <w:t xml:space="preserve">, czyli protokół umożliwiający bardzo szybkie dostarczenie wiadomości do czytnika RSS. </w:t>
      </w:r>
    </w:p>
    <w:p w:rsidR="00F0402C" w:rsidRPr="00F0402C" w:rsidRDefault="00F0402C" w:rsidP="00F0402C">
      <w:pPr>
        <w:pStyle w:val="NormalnyWeb"/>
        <w:ind w:left="708"/>
        <w:rPr>
          <w:lang w:val="en-US"/>
        </w:rPr>
      </w:pPr>
      <w:r w:rsidRPr="00F0402C">
        <w:rPr>
          <w:lang w:val="en-US"/>
        </w:rPr>
        <w:t xml:space="preserve">A simple, open, server-to-server web-hook-based pubsub (publish/subscribe) protocol as an extension to Atom and RSS. </w:t>
      </w:r>
    </w:p>
    <w:p w:rsidR="00F0402C" w:rsidRPr="00F0402C" w:rsidRDefault="00F0402C" w:rsidP="00F0402C">
      <w:pPr>
        <w:pStyle w:val="NormalnyWeb"/>
        <w:ind w:left="708"/>
        <w:rPr>
          <w:lang w:val="en-US"/>
        </w:rPr>
      </w:pPr>
      <w:r w:rsidRPr="00F0402C">
        <w:rPr>
          <w:lang w:val="en-US"/>
        </w:rPr>
        <w:t xml:space="preserve">Parties (servers) speaking the </w:t>
      </w:r>
      <w:hyperlink r:id="rId5" w:history="1">
        <w:r w:rsidRPr="00F0402C">
          <w:rPr>
            <w:rStyle w:val="Hipercze"/>
            <w:rFonts w:eastAsiaTheme="majorEastAsia"/>
            <w:lang w:val="en-US"/>
          </w:rPr>
          <w:t>PubSubHubbub protocol</w:t>
        </w:r>
      </w:hyperlink>
      <w:r w:rsidRPr="00F0402C">
        <w:rPr>
          <w:lang w:val="en-US"/>
        </w:rPr>
        <w:t xml:space="preserve"> can get near-instant notifications (via webhook callbacks) when a topic (feed URL) they're interested in is updated. </w:t>
      </w:r>
    </w:p>
    <w:p w:rsidR="00F0402C" w:rsidRDefault="00F0402C">
      <w:r w:rsidRPr="00F0402C">
        <w:t>Nasza aplikację będzie miała za zadanie agregować tak dostarczane wpisy</w:t>
      </w:r>
      <w:r w:rsidR="00955B42">
        <w:t>: odbierać je, przetwarzać, zapisywać w bazie danych, udostępniać podstawowe statystyki poprzez kilka różnych</w:t>
      </w:r>
      <w:r w:rsidR="00811118">
        <w:t xml:space="preserve"> formatów (lub nawet sposobów) – przez wszystkie te etapy przejdziemy podczas szkolenia. </w:t>
      </w:r>
    </w:p>
    <w:p w:rsidR="00F453FE" w:rsidRDefault="00F453FE"/>
    <w:p w:rsidR="00D51863" w:rsidRDefault="00D51863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F453FE" w:rsidRDefault="00FB45B5" w:rsidP="00C16BC6">
      <w:pPr>
        <w:pStyle w:val="Nagwek1"/>
      </w:pPr>
      <w:r>
        <w:lastRenderedPageBreak/>
        <w:t>Ćwiczenie 1</w:t>
      </w:r>
    </w:p>
    <w:p w:rsidR="00FB45B5" w:rsidRDefault="00FB45B5">
      <w:r>
        <w:t xml:space="preserve">Na początek stworzymy kilka komponentów zajmujących się przetwarzaniem (a dokładnie parsowaniem) samej wiadomości. </w:t>
      </w:r>
    </w:p>
    <w:p w:rsidR="00816E19" w:rsidRDefault="00816E19">
      <w:r>
        <w:t>Zacznijmy od grama teorii, w ogólności niemal każdą funkcjonalność implementuje „wzorzec” Entity, Control, Boundary i można ją przedstawić na prostym schemacie blokowych:</w:t>
      </w:r>
    </w:p>
    <w:p w:rsidR="00816E19" w:rsidRDefault="00816E19">
      <w:r>
        <w:rPr>
          <w:noProof/>
          <w:lang w:eastAsia="pl-PL"/>
        </w:rPr>
        <w:drawing>
          <wp:inline distT="0" distB="0" distL="0" distR="0">
            <wp:extent cx="5760720" cy="221410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19" w:rsidRDefault="00D51F77">
      <w:r>
        <w:t>Odpowiedzialność każdego elementu jest dość ściśle określona:</w:t>
      </w:r>
    </w:p>
    <w:p w:rsidR="00D51F77" w:rsidRDefault="00D51F77" w:rsidP="00D51F77">
      <w:pPr>
        <w:pStyle w:val="Akapitzlist"/>
        <w:numPr>
          <w:ilvl w:val="0"/>
          <w:numId w:val="1"/>
        </w:numPr>
      </w:pPr>
      <w:r w:rsidRPr="00D51F77">
        <w:rPr>
          <w:b/>
        </w:rPr>
        <w:t>Boundary</w:t>
      </w:r>
      <w:r>
        <w:t>: fasada, element będący wejściem do systemu dla interfejsu użytkownika (bądź jakiejkolwiek innej interakcji z użytkownikiem)</w:t>
      </w:r>
    </w:p>
    <w:p w:rsidR="00D51F77" w:rsidRDefault="00D51F77" w:rsidP="00D51F77">
      <w:pPr>
        <w:pStyle w:val="Akapitzlist"/>
        <w:numPr>
          <w:ilvl w:val="0"/>
          <w:numId w:val="1"/>
        </w:numPr>
      </w:pPr>
      <w:r>
        <w:rPr>
          <w:b/>
        </w:rPr>
        <w:t>Control</w:t>
      </w:r>
      <w:r>
        <w:t>: to jest serwis (lub zestaw serwisów) oddzielonych od zewnętrznego świata; mogą być to skąp likowane serwisy bądź proste, generyczne operacje typu CRUD</w:t>
      </w:r>
    </w:p>
    <w:p w:rsidR="00D51F77" w:rsidRDefault="00D51F77" w:rsidP="00D51F77">
      <w:pPr>
        <w:pStyle w:val="Akapitzlist"/>
        <w:numPr>
          <w:ilvl w:val="0"/>
          <w:numId w:val="1"/>
        </w:numPr>
      </w:pPr>
      <w:r>
        <w:rPr>
          <w:b/>
        </w:rPr>
        <w:t>Entity</w:t>
      </w:r>
      <w:r>
        <w:t xml:space="preserve">: obiekty związane z domeną; w przypadku ogólnym encję JPA, ale może to być wyższy poziom abstrakcji (DAO) lub niższy (bezpośrednie operacje na bazie danych) – wszystkie w zależności od przypadku użycia. </w:t>
      </w:r>
    </w:p>
    <w:p w:rsidR="00D51F77" w:rsidRDefault="00D51F77" w:rsidP="00D51F77">
      <w:r>
        <w:t>Opierając się na powyższym schemacie możemy przystąpić do implementacji naszej aplikacji. W pierwszy kroku zaprojektujemy i zaimplementujemy fragment, który poprzez prosty interfejs użytkownika (pole typu text area), przekaże do serwisu artykuł w formie RSS. Artykuł ten zostanie następnie przetworzony</w:t>
      </w:r>
      <w:r w:rsidR="00C16BC6">
        <w:t xml:space="preserve"> i w konsoli zostaną wyświetlone podstawowe informacje zawarte w nagłówku. </w:t>
      </w:r>
    </w:p>
    <w:p w:rsidR="001326DE" w:rsidRDefault="001326DE">
      <w:r>
        <w:t>Odczyt RSSu może odbywać się bibliotekę Rome</w:t>
      </w:r>
    </w:p>
    <w:p w:rsidR="001326DE" w:rsidRP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1326DE">
        <w:rPr>
          <w:rFonts w:ascii="Courier New" w:hAnsi="Courier New" w:cs="Courier New"/>
          <w:color w:val="3F7F7F"/>
          <w:sz w:val="20"/>
          <w:szCs w:val="20"/>
          <w:lang w:val="en-US"/>
        </w:rPr>
        <w:t>dependency</w:t>
      </w: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326DE" w:rsidRP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6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1326DE">
        <w:rPr>
          <w:rFonts w:ascii="Courier New" w:hAnsi="Courier New" w:cs="Courier New"/>
          <w:color w:val="3F7F7F"/>
          <w:sz w:val="20"/>
          <w:szCs w:val="20"/>
          <w:lang w:val="en-US"/>
        </w:rPr>
        <w:t>groupId</w:t>
      </w: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0678A7">
        <w:rPr>
          <w:rFonts w:ascii="Courier New" w:hAnsi="Courier New" w:cs="Courier New"/>
          <w:color w:val="000000"/>
          <w:sz w:val="20"/>
          <w:szCs w:val="20"/>
          <w:lang w:val="en-US"/>
        </w:rPr>
        <w:t>rome</w:t>
      </w: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1326DE">
        <w:rPr>
          <w:rFonts w:ascii="Courier New" w:hAnsi="Courier New" w:cs="Courier New"/>
          <w:color w:val="3F7F7F"/>
          <w:sz w:val="20"/>
          <w:szCs w:val="20"/>
          <w:lang w:val="en-US"/>
        </w:rPr>
        <w:t>groupId</w:t>
      </w: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326DE" w:rsidRP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6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1326DE">
        <w:rPr>
          <w:rFonts w:ascii="Courier New" w:hAnsi="Courier New" w:cs="Courier New"/>
          <w:color w:val="3F7F7F"/>
          <w:sz w:val="20"/>
          <w:szCs w:val="20"/>
          <w:lang w:val="en-US"/>
        </w:rPr>
        <w:t>artifactId</w:t>
      </w: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0678A7">
        <w:rPr>
          <w:rFonts w:ascii="Courier New" w:hAnsi="Courier New" w:cs="Courier New"/>
          <w:color w:val="000000"/>
          <w:sz w:val="20"/>
          <w:szCs w:val="20"/>
          <w:lang w:val="en-US"/>
        </w:rPr>
        <w:t>rome</w:t>
      </w: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1326DE">
        <w:rPr>
          <w:rFonts w:ascii="Courier New" w:hAnsi="Courier New" w:cs="Courier New"/>
          <w:color w:val="3F7F7F"/>
          <w:sz w:val="20"/>
          <w:szCs w:val="20"/>
          <w:lang w:val="en-US"/>
        </w:rPr>
        <w:t>artifactId</w:t>
      </w:r>
      <w:r w:rsidRPr="001326DE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326DE" w:rsidRPr="006039FF" w:rsidRDefault="001326DE" w:rsidP="00132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6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039F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6039FF">
        <w:rPr>
          <w:rFonts w:ascii="Courier New" w:hAnsi="Courier New" w:cs="Courier New"/>
          <w:color w:val="3F7F7F"/>
          <w:sz w:val="20"/>
          <w:szCs w:val="20"/>
          <w:lang w:val="en-US"/>
        </w:rPr>
        <w:t>version</w:t>
      </w:r>
      <w:r w:rsidRPr="006039FF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6039FF">
        <w:rPr>
          <w:rFonts w:ascii="Courier New" w:hAnsi="Courier New" w:cs="Courier New"/>
          <w:color w:val="000000"/>
          <w:sz w:val="20"/>
          <w:szCs w:val="20"/>
          <w:lang w:val="en-US"/>
        </w:rPr>
        <w:t>0.9</w:t>
      </w:r>
      <w:r w:rsidRPr="006039FF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6039FF">
        <w:rPr>
          <w:rFonts w:ascii="Courier New" w:hAnsi="Courier New" w:cs="Courier New"/>
          <w:color w:val="3F7F7F"/>
          <w:sz w:val="20"/>
          <w:szCs w:val="20"/>
          <w:lang w:val="en-US"/>
        </w:rPr>
        <w:t>version</w:t>
      </w:r>
      <w:r w:rsidRPr="006039FF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326DE" w:rsidRPr="006039FF" w:rsidRDefault="001326DE" w:rsidP="001326DE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6039FF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6039FF">
        <w:rPr>
          <w:rFonts w:ascii="Courier New" w:hAnsi="Courier New" w:cs="Courier New"/>
          <w:color w:val="3F7F7F"/>
          <w:sz w:val="20"/>
          <w:szCs w:val="20"/>
          <w:lang w:val="en-US"/>
        </w:rPr>
        <w:t>dependency</w:t>
      </w:r>
      <w:r w:rsidRPr="006039FF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326DE" w:rsidRPr="006039FF" w:rsidRDefault="001326DE" w:rsidP="001326DE">
      <w:pPr>
        <w:rPr>
          <w:lang w:val="en-US"/>
        </w:rPr>
      </w:pPr>
    </w:p>
    <w:p w:rsidR="001326DE" w:rsidRP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6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text = </w:t>
      </w:r>
      <w:r w:rsidRPr="001326DE">
        <w:rPr>
          <w:rFonts w:ascii="Courier New" w:hAnsi="Courier New" w:cs="Courier New"/>
          <w:color w:val="3F7F5F"/>
          <w:sz w:val="20"/>
          <w:szCs w:val="20"/>
          <w:lang w:val="en-US"/>
        </w:rPr>
        <w:t>//...</w:t>
      </w:r>
    </w:p>
    <w:p w:rsidR="001326DE" w:rsidRP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26DE" w:rsidRP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26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SyndFeedInput input = </w:t>
      </w:r>
      <w:r w:rsidRPr="001326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326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SyndFeedInput();</w:t>
      </w:r>
    </w:p>
    <w:p w:rsidR="001326DE" w:rsidRDefault="001326D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6DE">
        <w:rPr>
          <w:rFonts w:ascii="Courier New" w:hAnsi="Courier New" w:cs="Courier New"/>
          <w:color w:val="000000"/>
          <w:sz w:val="20"/>
          <w:szCs w:val="20"/>
          <w:lang w:val="en-US"/>
        </w:rPr>
        <w:t>SyndFeed feed = input.build(</w:t>
      </w:r>
      <w:r w:rsidRPr="001326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326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StringReader(text));</w:t>
      </w:r>
      <w:r w:rsidRPr="001326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326DE" w:rsidRDefault="001326D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16BC6" w:rsidRDefault="00C16BC6" w:rsidP="00C16BC6">
      <w:pPr>
        <w:pStyle w:val="Nagwek1"/>
      </w:pPr>
      <w:r>
        <w:t>Ćwiczenie 2</w:t>
      </w:r>
    </w:p>
    <w:p w:rsidR="00C16BC6" w:rsidRDefault="00962958" w:rsidP="00C16BC6">
      <w:r>
        <w:t xml:space="preserve">Skoro nasza aplikacja potrafi przetworzyć podstawowy artykuł przejdźmy </w:t>
      </w:r>
      <w:r w:rsidR="003752B9">
        <w:t xml:space="preserve">kolejnego kroku; biblioteka Rome jest dość ułomna. Ze względu na swój wiek nie wykorzystuje takich funkcjonalności jak </w:t>
      </w:r>
      <w:r w:rsidR="003752B9">
        <w:rPr>
          <w:i/>
        </w:rPr>
        <w:t>Generics</w:t>
      </w:r>
      <w:r w:rsidR="003752B9">
        <w:t xml:space="preserve"> przez co korzystanie z niej jest utrudnione. Aby zminimalizować ilość potrzebnego </w:t>
      </w:r>
      <w:r w:rsidR="00002FB1">
        <w:t>rzutowania dodajmy</w:t>
      </w:r>
      <w:r w:rsidR="003752B9">
        <w:t xml:space="preserve"> do naszego pakietu konwerter, który zmapuje obiekty biblioteki Rome na model wykorzystywany w aplikacji.</w:t>
      </w:r>
    </w:p>
    <w:p w:rsidR="003752B9" w:rsidRDefault="003752B9" w:rsidP="003752B9">
      <w:pPr>
        <w:jc w:val="center"/>
      </w:pPr>
      <w:r>
        <w:object w:dxaOrig="4323" w:dyaOrig="1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112.5pt" o:ole="">
            <v:imagedata r:id="rId7" o:title=""/>
          </v:shape>
          <o:OLEObject Type="Embed" ProgID="Visio.Drawing.11" ShapeID="_x0000_i1025" DrawAspect="Content" ObjectID="_1415135930" r:id="rId8"/>
        </w:object>
      </w:r>
    </w:p>
    <w:p w:rsidR="00D51863" w:rsidRDefault="00D51863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160E43" w:rsidRDefault="00160E43" w:rsidP="00160E43">
      <w:pPr>
        <w:pStyle w:val="Nagwek1"/>
      </w:pPr>
      <w:r>
        <w:lastRenderedPageBreak/>
        <w:t>Ćwiczenie 3</w:t>
      </w:r>
    </w:p>
    <w:p w:rsidR="00002FB1" w:rsidRDefault="00002FB1" w:rsidP="00002FB1">
      <w:r>
        <w:t>Tak przygotowany model możemy wyświetlić w postaci prostej listy:</w:t>
      </w:r>
    </w:p>
    <w:p w:rsidR="00002FB1" w:rsidRDefault="00002FB1" w:rsidP="00002FB1">
      <w:pPr>
        <w:pStyle w:val="Akapitzlist"/>
        <w:numPr>
          <w:ilvl w:val="0"/>
          <w:numId w:val="1"/>
        </w:numPr>
      </w:pPr>
      <w:r>
        <w:t>[Nazwa kanału]</w:t>
      </w:r>
    </w:p>
    <w:p w:rsidR="00002FB1" w:rsidRDefault="00002FB1" w:rsidP="00002FB1">
      <w:pPr>
        <w:pStyle w:val="Akapitzlist"/>
        <w:numPr>
          <w:ilvl w:val="0"/>
          <w:numId w:val="2"/>
        </w:numPr>
      </w:pPr>
      <w:r>
        <w:t>[Nazwa elementu 1]</w:t>
      </w:r>
    </w:p>
    <w:p w:rsidR="00002FB1" w:rsidRDefault="00002FB1" w:rsidP="00002FB1">
      <w:pPr>
        <w:pStyle w:val="Akapitzlist"/>
        <w:numPr>
          <w:ilvl w:val="0"/>
          <w:numId w:val="2"/>
        </w:numPr>
      </w:pPr>
      <w:r>
        <w:t>[Nazwa elementu 2]</w:t>
      </w:r>
    </w:p>
    <w:p w:rsidR="00002FB1" w:rsidRDefault="00002FB1" w:rsidP="00002FB1">
      <w:pPr>
        <w:pStyle w:val="Akapitzlist"/>
        <w:numPr>
          <w:ilvl w:val="0"/>
          <w:numId w:val="2"/>
        </w:numPr>
      </w:pPr>
      <w:r>
        <w:t>…..</w:t>
      </w:r>
    </w:p>
    <w:p w:rsidR="00160E43" w:rsidRDefault="00160E43">
      <w:r>
        <w:t>W najprostszym przypadku, nasz serwlet połączony jest z tym samym komponentem EJB, więc zwykłe przechowanie listy jako prywatnego pola w komponencie będzie wystarczające do realizacji tego zadania. Zostawmy to na taki etapie, pomimo że przechowywanie stanu (co właśnie zrobiliśmy) w komponencie bezstanowym i korzystanie z niego pomiędzy wywołaniami jest niebezpiecznie i nie powinno być pod żadnym pozorem stosowane w aplikacjach produkcyjnych.</w:t>
      </w:r>
    </w:p>
    <w:p w:rsidR="00002FB1" w:rsidRDefault="00002FB1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002FB1" w:rsidRDefault="00002FB1" w:rsidP="00002FB1">
      <w:pPr>
        <w:pStyle w:val="Nagwek1"/>
      </w:pPr>
      <w:r>
        <w:lastRenderedPageBreak/>
        <w:t xml:space="preserve">Ćwiczenie </w:t>
      </w:r>
      <w:r w:rsidR="00160E43">
        <w:t>4</w:t>
      </w:r>
    </w:p>
    <w:p w:rsidR="00002FB1" w:rsidRDefault="00C873D4" w:rsidP="00002FB1">
      <w:r>
        <w:t xml:space="preserve">W kolejnym kroku przygotujemy obsługę metody callback (tzw. webhook) który zostanie wywołany aby przekazać do naszej aplikacji informację o nowym artykule (wraz z samym artykułem). W tym celu, posługując się analogicznym wzorcem jak w ćwiczeniu pierwszym – przygotowujemy endpoint zgodny z JAX-RS </w:t>
      </w:r>
      <w:r w:rsidR="00DC2429">
        <w:t>o następującej strukturze:</w:t>
      </w:r>
    </w:p>
    <w:p w:rsidR="00DC2429" w:rsidRDefault="00DC2429" w:rsidP="00002FB1">
      <w:r>
        <w:tab/>
        <w:t>http://localhost:8080/aplikacja/feeds/{identyfikator kanału}</w:t>
      </w:r>
    </w:p>
    <w:p w:rsidR="00DC2429" w:rsidRDefault="00DC2429" w:rsidP="00002FB1">
      <w:r>
        <w:t xml:space="preserve">Na powyższy URL, metodą POST wysyłane będą dane, gdzie cały </w:t>
      </w:r>
      <w:r w:rsidR="00160E43">
        <w:t>„feed” zawarty będzie w ciele zapytania (HttpMessageBody).</w:t>
      </w:r>
    </w:p>
    <w:p w:rsidR="00555DF4" w:rsidRDefault="00555DF4" w:rsidP="00002FB1">
      <w:r>
        <w:t>Tak</w:t>
      </w:r>
      <w:r w:rsidR="00847422">
        <w:t>i</w:t>
      </w:r>
      <w:r>
        <w:t xml:space="preserve"> przesłany feed przetwarzamy; wynik operacji zobaczymy </w:t>
      </w:r>
      <w:r w:rsidR="00847422">
        <w:t>w konsoli serwera</w:t>
      </w:r>
      <w:r>
        <w:t>.</w:t>
      </w:r>
    </w:p>
    <w:p w:rsidR="00D51863" w:rsidRDefault="00D51863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555DF4" w:rsidRDefault="00555DF4" w:rsidP="00555DF4">
      <w:pPr>
        <w:pStyle w:val="Nagwek1"/>
      </w:pPr>
      <w:r>
        <w:lastRenderedPageBreak/>
        <w:t>Ćwiczenie 5</w:t>
      </w:r>
    </w:p>
    <w:p w:rsidR="00555DF4" w:rsidRDefault="00555DF4" w:rsidP="00555DF4">
      <w:r>
        <w:t xml:space="preserve">Aby zobaczyć wyniki </w:t>
      </w:r>
      <w:r w:rsidR="00542EBB">
        <w:t xml:space="preserve">nie poprzez konsolę (ale np. na ekranie przeglądarki) musimy w spójny sposób zacząć przechowywanie stanu aplikacji. Na obecną chwilę dwa różne komponenty EJB są połączone z dwoma różnymi wejściami do aplikacji: serwlet i usługa REST (możemy to doskonale zaobserwować logując wywołania metody @PostConstruct komponentu EJB). </w:t>
      </w:r>
    </w:p>
    <w:p w:rsidR="00542EBB" w:rsidRDefault="00542EBB" w:rsidP="00555DF4">
      <w:r>
        <w:t xml:space="preserve">Najprostszym sposobem aby synchronizować dane pomiędzy tymi komponentami jest utworzenie kolejnego komponentu – lokalnego cache’a. W tym celu utworzymy nowy komponent będący singletonem i tam będziemy przechowywać dane. </w:t>
      </w:r>
    </w:p>
    <w:p w:rsidR="00D51863" w:rsidRDefault="00D51863">
      <w:pPr>
        <w:rPr>
          <w:rFonts w:asciiTheme="majorHAnsi" w:eastAsiaTheme="majorEastAsia" w:hAnsiTheme="majorHAnsi" w:cstheme="majorBidi"/>
          <w:b/>
          <w:bCs/>
          <w:color w:val="4B7B8A" w:themeColor="accent1" w:themeShade="BF"/>
          <w:sz w:val="28"/>
          <w:szCs w:val="28"/>
        </w:rPr>
      </w:pPr>
      <w:r>
        <w:br w:type="page"/>
      </w:r>
    </w:p>
    <w:p w:rsidR="00542EBB" w:rsidRDefault="00542EBB" w:rsidP="00542EBB">
      <w:pPr>
        <w:pStyle w:val="Nagwek1"/>
      </w:pPr>
      <w:r>
        <w:lastRenderedPageBreak/>
        <w:t>Ćwiczenie 6</w:t>
      </w:r>
    </w:p>
    <w:p w:rsidR="005031EA" w:rsidRDefault="005031EA" w:rsidP="005031EA">
      <w:r>
        <w:t>W kolejnym kroku możemy pokusić się o zapisywanie danych do bazy. W tym celu należy skonfigurować połączenie do bazy danych</w:t>
      </w:r>
      <w:r w:rsidR="00177A37">
        <w:t xml:space="preserve"> oraz odpowiednio zmapować encję. Wtedy będzie możliwe ich zapisanie (przy pomocy EntityManagera). </w:t>
      </w:r>
    </w:p>
    <w:p w:rsidR="00E556BA" w:rsidRDefault="00E556BA" w:rsidP="005031EA">
      <w:r>
        <w:t xml:space="preserve">Zamiast w lokalnej pamięci serwera (poprzedni komponent będący singletonem) zapiszmy dane do bazy. </w:t>
      </w:r>
    </w:p>
    <w:p w:rsidR="00177A37" w:rsidRDefault="00177A37" w:rsidP="005031EA">
      <w:r>
        <w:t>Skorzystajmy z lokalnej bazy MySQL, które jest już prekonfi</w:t>
      </w:r>
      <w:r w:rsidR="00CA387D">
        <w:t xml:space="preserve">gurowana na serwerze aplikacji (nazywa się MySQL DataSource). </w:t>
      </w:r>
    </w:p>
    <w:p w:rsidR="00D51863" w:rsidRDefault="00D51863"/>
    <w:p w:rsidR="00D51863" w:rsidRDefault="00D51863" w:rsidP="00D51863">
      <w:pPr>
        <w:pStyle w:val="Nagwek1"/>
      </w:pPr>
      <w:r>
        <w:t>Ćwiczenie 6a</w:t>
      </w:r>
    </w:p>
    <w:p w:rsidR="00D51863" w:rsidRDefault="00D51863" w:rsidP="00D51863">
      <w:r>
        <w:t>Aby zapewnić poprawność danych, należy je przed zapisem sprawdzić (oraz nałożyć odpowiednie więzy poprawności zgodnie ze standardem BeanValidation).</w:t>
      </w:r>
    </w:p>
    <w:p w:rsidR="00D51863" w:rsidRDefault="00D51863" w:rsidP="00D51863">
      <w:r>
        <w:t>W tym kroku dodaj sprawdzanie poprawności zapisywanych danych (po stronie zarówno serwletu, jak komponentu webowego). Zgodnie z wytycznymi komunikacji REST, w przypadku niepowodzenia zapisu danych należy zwrócić odpowiedni nagłówek http: 422 – pozostający zgodny z opisem RFC</w:t>
      </w:r>
    </w:p>
    <w:p w:rsidR="00D51863" w:rsidRPr="00D51863" w:rsidRDefault="00D51863" w:rsidP="00D51863">
      <w:pPr>
        <w:ind w:left="708"/>
        <w:rPr>
          <w:b/>
          <w:bCs/>
          <w:lang w:val="en-US"/>
        </w:rPr>
      </w:pPr>
      <w:r w:rsidRPr="00D51863">
        <w:rPr>
          <w:lang w:val="en-US"/>
        </w:rPr>
        <w:t>The 422 (</w:t>
      </w:r>
      <w:r w:rsidRPr="00D51863">
        <w:rPr>
          <w:b/>
          <w:lang w:val="en-US"/>
        </w:rPr>
        <w:t>Unprocessable Entity</w:t>
      </w:r>
      <w:r w:rsidRPr="00D51863">
        <w:rPr>
          <w:lang w:val="en-US"/>
        </w:rPr>
        <w:t xml:space="preserve">) status code means the server understands the content type of the request entity (hence a 415(Unsupported Media Type) status code is inappropriate), and the syntax of the request entity is correct (thus a 400 (Bad Request) status code is inappropriate) but was unable to process the contained instructions. For example, this error condition may occur if an XML request body contains well-formed (i.e., syntactically correct), but semantically erroneous, XML instructions. </w:t>
      </w:r>
      <w:r w:rsidRPr="00D51863">
        <w:rPr>
          <w:lang w:val="en-US"/>
        </w:rPr>
        <w:br w:type="page"/>
      </w:r>
    </w:p>
    <w:p w:rsidR="00D51863" w:rsidRPr="006039FF" w:rsidRDefault="00E1646B" w:rsidP="00E1646B">
      <w:pPr>
        <w:pStyle w:val="Nagwek1"/>
      </w:pPr>
      <w:r w:rsidRPr="006039FF">
        <w:lastRenderedPageBreak/>
        <w:t>Ćwiczenie 7</w:t>
      </w:r>
    </w:p>
    <w:p w:rsidR="00E1646B" w:rsidRDefault="00E1646B" w:rsidP="00E1646B">
      <w:r w:rsidRPr="00E1646B">
        <w:t xml:space="preserve">Jednym z wymagań jest udostępnienie serwisom </w:t>
      </w:r>
      <w:r w:rsidR="006B4477" w:rsidRPr="00E1646B">
        <w:t>zewnętrznym</w:t>
      </w:r>
      <w:r w:rsidRPr="00E1646B">
        <w:t xml:space="preserve"> statystyk dotyczących dat oraz ilości przetworzonych </w:t>
      </w:r>
      <w:r>
        <w:t xml:space="preserve">aplikację wpisów. Dane te należy udostępnić poprzez usługę sieciową typu SOAP. </w:t>
      </w:r>
    </w:p>
    <w:p w:rsidR="00964025" w:rsidRDefault="00E1646B" w:rsidP="00E1646B">
      <w:r>
        <w:t xml:space="preserve">Klient wywołując naszą usługę podaje swój identyfikator, który jest zapisywany w systemie w sposób trwały, ponieważ posłuży do późniejszego rozliczenia się z klientem.  Jako że jest to usługa </w:t>
      </w:r>
      <w:r w:rsidR="00770579">
        <w:t>komercyjna, logujemy także dane</w:t>
      </w:r>
      <w:r w:rsidR="000B5316">
        <w:t>,</w:t>
      </w:r>
      <w:r w:rsidR="00770579">
        <w:t xml:space="preserve"> które </w:t>
      </w:r>
      <w:r w:rsidR="000B5316">
        <w:t xml:space="preserve">zwracane są </w:t>
      </w:r>
      <w:r w:rsidR="00770579">
        <w:t xml:space="preserve">do klienta. </w:t>
      </w:r>
    </w:p>
    <w:p w:rsidR="00964025" w:rsidRDefault="00964025" w:rsidP="00E1646B">
      <w:r>
        <w:t xml:space="preserve">Dane zwracane są w formie zagregowanej: data, feed, ilość wywołań w dniu, ilość artykułów pobranych w dniu. </w:t>
      </w:r>
    </w:p>
    <w:p w:rsidR="00E1646B" w:rsidRDefault="000755A8" w:rsidP="00E1646B">
      <w:r>
        <w:t xml:space="preserve">Ponieważ ta funkcjonalność jest dość krytyczna dla naszych klientów, wszelkie logowania muszą odbywać się niezależnie i w tle głównego przetwarzania (mają niższy priorytet). </w:t>
      </w:r>
    </w:p>
    <w:p w:rsidR="00E1646B" w:rsidRDefault="00E1646B" w:rsidP="00E1646B">
      <w:proofErr w:type="spellStart"/>
      <w:r>
        <w:t>Hint</w:t>
      </w:r>
      <w:proofErr w:type="spellEnd"/>
      <w:r>
        <w:t xml:space="preserve">: jako że wymaganie logowanie może się zmieniać nie powinno być trwale związane z naszą logiką biznesową. </w:t>
      </w:r>
    </w:p>
    <w:p w:rsidR="00E1646B" w:rsidRPr="00E1646B" w:rsidRDefault="00E1646B" w:rsidP="00E1646B"/>
    <w:sectPr w:rsidR="00E1646B" w:rsidRPr="00E1646B" w:rsidSect="005B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5959"/>
    <w:multiLevelType w:val="hybridMultilevel"/>
    <w:tmpl w:val="0D0831D8"/>
    <w:lvl w:ilvl="0" w:tplc="22A8C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5606D"/>
    <w:multiLevelType w:val="hybridMultilevel"/>
    <w:tmpl w:val="9F6A3E8E"/>
    <w:lvl w:ilvl="0" w:tplc="F0D01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F6353"/>
    <w:rsid w:val="00002FB1"/>
    <w:rsid w:val="000678A7"/>
    <w:rsid w:val="000755A8"/>
    <w:rsid w:val="000B5316"/>
    <w:rsid w:val="00123B19"/>
    <w:rsid w:val="001326DE"/>
    <w:rsid w:val="00160E43"/>
    <w:rsid w:val="00177A37"/>
    <w:rsid w:val="00227AFF"/>
    <w:rsid w:val="00374491"/>
    <w:rsid w:val="003752B9"/>
    <w:rsid w:val="005031EA"/>
    <w:rsid w:val="00540FB3"/>
    <w:rsid w:val="00542EBB"/>
    <w:rsid w:val="00555DF4"/>
    <w:rsid w:val="0059773C"/>
    <w:rsid w:val="005B1EAD"/>
    <w:rsid w:val="006039FF"/>
    <w:rsid w:val="006631C6"/>
    <w:rsid w:val="006B4477"/>
    <w:rsid w:val="00770579"/>
    <w:rsid w:val="00811118"/>
    <w:rsid w:val="00816E19"/>
    <w:rsid w:val="00847422"/>
    <w:rsid w:val="00850A8C"/>
    <w:rsid w:val="008F6353"/>
    <w:rsid w:val="009251B6"/>
    <w:rsid w:val="00955B42"/>
    <w:rsid w:val="00962958"/>
    <w:rsid w:val="00964025"/>
    <w:rsid w:val="00A27260"/>
    <w:rsid w:val="00C16BC6"/>
    <w:rsid w:val="00C873D4"/>
    <w:rsid w:val="00CA387D"/>
    <w:rsid w:val="00CE348C"/>
    <w:rsid w:val="00D51863"/>
    <w:rsid w:val="00D51F77"/>
    <w:rsid w:val="00DC2429"/>
    <w:rsid w:val="00E1646B"/>
    <w:rsid w:val="00E556BA"/>
    <w:rsid w:val="00E86AC2"/>
    <w:rsid w:val="00F0402C"/>
    <w:rsid w:val="00F17686"/>
    <w:rsid w:val="00F453FE"/>
    <w:rsid w:val="00F569D6"/>
    <w:rsid w:val="00FB4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7AFF"/>
  </w:style>
  <w:style w:type="paragraph" w:styleId="Nagwek1">
    <w:name w:val="heading 1"/>
    <w:basedOn w:val="Normalny"/>
    <w:next w:val="Normalny"/>
    <w:link w:val="Nagwek1Znak"/>
    <w:uiPriority w:val="9"/>
    <w:qFormat/>
    <w:rsid w:val="00227AFF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7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7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27A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27A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227A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227A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7A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7A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7AFF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27AFF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27AFF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227AFF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227AFF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227AFF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227A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7AFF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7A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27AFF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27AFF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27AFF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7AFF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27AFF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27AFF"/>
    <w:rPr>
      <w:b/>
      <w:bCs/>
    </w:rPr>
  </w:style>
  <w:style w:type="character" w:styleId="Uwydatnienie">
    <w:name w:val="Emphasis"/>
    <w:basedOn w:val="Domylnaczcionkaakapitu"/>
    <w:uiPriority w:val="20"/>
    <w:qFormat/>
    <w:rsid w:val="00227AFF"/>
    <w:rPr>
      <w:i/>
      <w:iCs/>
    </w:rPr>
  </w:style>
  <w:style w:type="paragraph" w:styleId="Bezodstpw">
    <w:name w:val="No Spacing"/>
    <w:link w:val="BezodstpwZnak"/>
    <w:uiPriority w:val="1"/>
    <w:qFormat/>
    <w:rsid w:val="00227AFF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27AFF"/>
  </w:style>
  <w:style w:type="paragraph" w:styleId="Akapitzlist">
    <w:name w:val="List Paragraph"/>
    <w:basedOn w:val="Normalny"/>
    <w:link w:val="AkapitzlistZnak"/>
    <w:uiPriority w:val="34"/>
    <w:qFormat/>
    <w:rsid w:val="00227AFF"/>
    <w:pPr>
      <w:ind w:left="720"/>
      <w:contextualSpacing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227AFF"/>
  </w:style>
  <w:style w:type="paragraph" w:styleId="Cytat">
    <w:name w:val="Quote"/>
    <w:basedOn w:val="Normalny"/>
    <w:next w:val="Normalny"/>
    <w:link w:val="CytatZnak"/>
    <w:uiPriority w:val="29"/>
    <w:qFormat/>
    <w:rsid w:val="00227AF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227AFF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7AFF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7AFF"/>
    <w:rPr>
      <w:b/>
      <w:bCs/>
      <w:i/>
      <w:iCs/>
      <w:color w:val="6EA0B0" w:themeColor="accent1"/>
    </w:rPr>
  </w:style>
  <w:style w:type="character" w:styleId="Wyrnieniedelikatne">
    <w:name w:val="Subtle Emphasis"/>
    <w:basedOn w:val="Domylnaczcionkaakapitu"/>
    <w:uiPriority w:val="19"/>
    <w:qFormat/>
    <w:rsid w:val="00227AF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227AFF"/>
    <w:rPr>
      <w:b/>
      <w:bCs/>
      <w:i/>
      <w:iCs/>
      <w:color w:val="6EA0B0" w:themeColor="accent1"/>
    </w:rPr>
  </w:style>
  <w:style w:type="character" w:styleId="Odwoaniedelikatne">
    <w:name w:val="Subtle Reference"/>
    <w:basedOn w:val="Domylnaczcionkaakapitu"/>
    <w:uiPriority w:val="31"/>
    <w:qFormat/>
    <w:rsid w:val="00227AFF"/>
    <w:rPr>
      <w:smallCaps/>
      <w:color w:val="CCAF0A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227AFF"/>
    <w:rPr>
      <w:b/>
      <w:bCs/>
      <w:smallCaps/>
      <w:color w:val="CCAF0A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227AF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27AFF"/>
    <w:pPr>
      <w:outlineLvl w:val="9"/>
    </w:pPr>
  </w:style>
  <w:style w:type="paragraph" w:styleId="NormalnyWeb">
    <w:name w:val="Normal (Web)"/>
    <w:basedOn w:val="Normalny"/>
    <w:uiPriority w:val="99"/>
    <w:semiHidden/>
    <w:unhideWhenUsed/>
    <w:rsid w:val="00F0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0402C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6E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ubsubhubbub.googlecode.com/svn/trunk/pubsubhubbub-core-0.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1005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M.</dc:creator>
  <cp:keywords/>
  <dc:description/>
  <cp:lastModifiedBy>Kuba M.</cp:lastModifiedBy>
  <cp:revision>31</cp:revision>
  <dcterms:created xsi:type="dcterms:W3CDTF">2012-11-22T20:51:00Z</dcterms:created>
  <dcterms:modified xsi:type="dcterms:W3CDTF">2012-11-22T23:32:00Z</dcterms:modified>
</cp:coreProperties>
</file>