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0CE" w:rsidRPr="00F97160" w:rsidRDefault="007B40CE" w:rsidP="007B40CE">
      <w:pPr>
        <w:rPr>
          <w:rFonts w:ascii="Times New Roman" w:hAnsi="Times New Roman" w:cs="Times New Roman"/>
          <w:sz w:val="24"/>
          <w:szCs w:val="24"/>
        </w:rPr>
      </w:pPr>
      <w:bookmarkStart w:id="0" w:name="_GoBack"/>
      <w:r w:rsidRPr="00F97160">
        <w:rPr>
          <w:rFonts w:ascii="Times New Roman" w:hAnsi="Times New Roman" w:cs="Times New Roman"/>
          <w:sz w:val="24"/>
          <w:szCs w:val="24"/>
        </w:rPr>
        <w:t>Summary:</w:t>
      </w:r>
    </w:p>
    <w:p w:rsidR="007B40CE" w:rsidRPr="00F97160" w:rsidRDefault="007B40CE" w:rsidP="007B40CE">
      <w:pPr>
        <w:rPr>
          <w:rFonts w:ascii="Times New Roman" w:hAnsi="Times New Roman" w:cs="Times New Roman"/>
          <w:sz w:val="24"/>
          <w:szCs w:val="24"/>
        </w:rPr>
      </w:pPr>
    </w:p>
    <w:p w:rsidR="007B40CE" w:rsidRPr="00F97160" w:rsidRDefault="007448FC" w:rsidP="007B40CE">
      <w:pPr>
        <w:rPr>
          <w:rFonts w:ascii="Times New Roman" w:hAnsi="Times New Roman" w:cs="Times New Roman"/>
          <w:sz w:val="24"/>
          <w:szCs w:val="24"/>
        </w:rPr>
      </w:pPr>
      <w:r w:rsidRPr="00F97160">
        <w:rPr>
          <w:rFonts w:ascii="Times New Roman" w:hAnsi="Times New Roman" w:cs="Times New Roman"/>
          <w:sz w:val="24"/>
          <w:szCs w:val="24"/>
        </w:rPr>
        <w:t>In this exercise, I</w:t>
      </w:r>
      <w:r w:rsidR="007B40CE" w:rsidRPr="00F97160">
        <w:rPr>
          <w:rFonts w:ascii="Times New Roman" w:hAnsi="Times New Roman" w:cs="Times New Roman"/>
          <w:sz w:val="24"/>
          <w:szCs w:val="24"/>
        </w:rPr>
        <w:t xml:space="preserve"> examine the </w:t>
      </w:r>
      <w:r w:rsidRPr="00F97160">
        <w:rPr>
          <w:rFonts w:ascii="Times New Roman" w:hAnsi="Times New Roman" w:cs="Times New Roman"/>
          <w:sz w:val="24"/>
          <w:szCs w:val="24"/>
        </w:rPr>
        <w:t xml:space="preserve">index </w:t>
      </w:r>
      <w:proofErr w:type="spellStart"/>
      <w:r w:rsidRPr="00F97160">
        <w:rPr>
          <w:rFonts w:ascii="Times New Roman" w:hAnsi="Times New Roman" w:cs="Times New Roman"/>
          <w:sz w:val="24"/>
          <w:szCs w:val="24"/>
        </w:rPr>
        <w:t>recomposition</w:t>
      </w:r>
      <w:proofErr w:type="spellEnd"/>
      <w:r w:rsidRPr="00F97160">
        <w:rPr>
          <w:rFonts w:ascii="Times New Roman" w:hAnsi="Times New Roman" w:cs="Times New Roman"/>
          <w:sz w:val="24"/>
          <w:szCs w:val="24"/>
        </w:rPr>
        <w:t xml:space="preserve"> announcements and their impact on volumes and returns. I divide the index event data into in-sample period, from June 2022 to May 2023, and apply basic analysis on the return and volume patters, categorized by indices and event types. I formulate a basic strategy and </w:t>
      </w:r>
      <w:proofErr w:type="spellStart"/>
      <w:r w:rsidRPr="00F97160">
        <w:rPr>
          <w:rFonts w:ascii="Times New Roman" w:hAnsi="Times New Roman" w:cs="Times New Roman"/>
          <w:sz w:val="24"/>
          <w:szCs w:val="24"/>
        </w:rPr>
        <w:t>backtest</w:t>
      </w:r>
      <w:proofErr w:type="spellEnd"/>
      <w:r w:rsidRPr="00F97160">
        <w:rPr>
          <w:rFonts w:ascii="Times New Roman" w:hAnsi="Times New Roman" w:cs="Times New Roman"/>
          <w:sz w:val="24"/>
          <w:szCs w:val="24"/>
        </w:rPr>
        <w:t xml:space="preserve"> it with the out-of-sample period, from June 2023 to July 2024. I then introduce a hedge and adjust bet-sizing restrictions on the strategy, and evaluate their performance and risks.</w:t>
      </w:r>
    </w:p>
    <w:p w:rsidR="007448FC" w:rsidRPr="00F97160" w:rsidRDefault="007448FC" w:rsidP="007B40CE">
      <w:pPr>
        <w:rPr>
          <w:rFonts w:ascii="Times New Roman" w:hAnsi="Times New Roman" w:cs="Times New Roman"/>
          <w:sz w:val="24"/>
          <w:szCs w:val="24"/>
        </w:rPr>
      </w:pPr>
    </w:p>
    <w:p w:rsidR="007448FC" w:rsidRPr="00F97160" w:rsidRDefault="007448FC" w:rsidP="007448FC">
      <w:pPr>
        <w:pStyle w:val="ListParagraph"/>
        <w:numPr>
          <w:ilvl w:val="0"/>
          <w:numId w:val="1"/>
        </w:numPr>
        <w:ind w:firstLineChars="0"/>
        <w:rPr>
          <w:rFonts w:ascii="Times New Roman" w:hAnsi="Times New Roman" w:cs="Times New Roman"/>
          <w:sz w:val="24"/>
          <w:szCs w:val="24"/>
        </w:rPr>
      </w:pPr>
      <w:r w:rsidRPr="00F97160">
        <w:rPr>
          <w:rFonts w:ascii="Times New Roman" w:hAnsi="Times New Roman" w:cs="Times New Roman"/>
          <w:sz w:val="24"/>
          <w:szCs w:val="24"/>
        </w:rPr>
        <w:t>Data Sources and Cleaning</w:t>
      </w:r>
    </w:p>
    <w:p w:rsidR="003A22E9" w:rsidRPr="00F97160" w:rsidRDefault="003A22E9" w:rsidP="007B40CE">
      <w:pPr>
        <w:rPr>
          <w:rFonts w:ascii="Times New Roman" w:hAnsi="Times New Roman" w:cs="Times New Roman"/>
          <w:sz w:val="24"/>
          <w:szCs w:val="24"/>
        </w:rPr>
      </w:pPr>
    </w:p>
    <w:p w:rsidR="007448FC" w:rsidRPr="00F97160" w:rsidRDefault="007448FC" w:rsidP="007B40CE">
      <w:pPr>
        <w:rPr>
          <w:rFonts w:ascii="Times New Roman" w:hAnsi="Times New Roman" w:cs="Times New Roman"/>
          <w:sz w:val="24"/>
          <w:szCs w:val="24"/>
        </w:rPr>
      </w:pPr>
      <w:r w:rsidRPr="00F97160">
        <w:rPr>
          <w:rFonts w:ascii="Times New Roman" w:hAnsi="Times New Roman" w:cs="Times New Roman"/>
          <w:sz w:val="24"/>
          <w:szCs w:val="24"/>
        </w:rPr>
        <w:t>For each individual event, I retrieve the open, close, and volume information of the relevant ticker in the period of 2 months before each announcement and 2 months after each trading date. There is one notable issue relating to data retrieval: out o</w:t>
      </w:r>
      <w:r w:rsidR="00B75BE5" w:rsidRPr="00F97160">
        <w:rPr>
          <w:rFonts w:ascii="Times New Roman" w:hAnsi="Times New Roman" w:cs="Times New Roman"/>
          <w:sz w:val="24"/>
          <w:szCs w:val="24"/>
        </w:rPr>
        <w:t xml:space="preserve">f 1562 event entries, 505 of them, representing 255 unique tickers. Further, only 219 of the tickers are associated with at least </w:t>
      </w:r>
      <w:proofErr w:type="gramStart"/>
      <w:r w:rsidR="00B75BE5" w:rsidRPr="00F97160">
        <w:rPr>
          <w:rFonts w:ascii="Times New Roman" w:hAnsi="Times New Roman" w:cs="Times New Roman"/>
          <w:sz w:val="24"/>
          <w:szCs w:val="24"/>
        </w:rPr>
        <w:t xml:space="preserve">one </w:t>
      </w:r>
      <w:r w:rsidR="003573D9" w:rsidRPr="00F97160">
        <w:rPr>
          <w:rFonts w:ascii="Times New Roman" w:hAnsi="Times New Roman" w:cs="Times New Roman"/>
          <w:sz w:val="24"/>
          <w:szCs w:val="24"/>
        </w:rPr>
        <w:t>delete</w:t>
      </w:r>
      <w:proofErr w:type="gramEnd"/>
      <w:r w:rsidR="003573D9" w:rsidRPr="00F97160">
        <w:rPr>
          <w:rFonts w:ascii="Times New Roman" w:hAnsi="Times New Roman" w:cs="Times New Roman"/>
          <w:sz w:val="24"/>
          <w:szCs w:val="24"/>
        </w:rPr>
        <w:t xml:space="preserve"> events. This may create some issue with data incompleteness, but since Yahoo </w:t>
      </w:r>
      <w:proofErr w:type="gramStart"/>
      <w:r w:rsidR="003573D9" w:rsidRPr="00F97160">
        <w:rPr>
          <w:rFonts w:ascii="Times New Roman" w:hAnsi="Times New Roman" w:cs="Times New Roman"/>
          <w:sz w:val="24"/>
          <w:szCs w:val="24"/>
        </w:rPr>
        <w:t>Finance</w:t>
      </w:r>
      <w:proofErr w:type="gramEnd"/>
      <w:r w:rsidR="003573D9" w:rsidRPr="00F97160">
        <w:rPr>
          <w:rFonts w:ascii="Times New Roman" w:hAnsi="Times New Roman" w:cs="Times New Roman"/>
          <w:sz w:val="24"/>
          <w:szCs w:val="24"/>
        </w:rPr>
        <w:t xml:space="preserve"> not featuring a ticker is often associated with delisting events which has very different dynamics from liquidity events such as index </w:t>
      </w:r>
      <w:proofErr w:type="spellStart"/>
      <w:r w:rsidR="003573D9" w:rsidRPr="00F97160">
        <w:rPr>
          <w:rFonts w:ascii="Times New Roman" w:hAnsi="Times New Roman" w:cs="Times New Roman"/>
          <w:sz w:val="24"/>
          <w:szCs w:val="24"/>
        </w:rPr>
        <w:t>recomposition</w:t>
      </w:r>
      <w:proofErr w:type="spellEnd"/>
      <w:r w:rsidR="003573D9" w:rsidRPr="00F97160">
        <w:rPr>
          <w:rFonts w:ascii="Times New Roman" w:hAnsi="Times New Roman" w:cs="Times New Roman"/>
          <w:sz w:val="24"/>
          <w:szCs w:val="24"/>
        </w:rPr>
        <w:t xml:space="preserve"> announcements.</w:t>
      </w:r>
    </w:p>
    <w:p w:rsidR="003573D9" w:rsidRPr="00F97160" w:rsidRDefault="003573D9" w:rsidP="007B40CE">
      <w:pPr>
        <w:rPr>
          <w:rFonts w:ascii="Times New Roman" w:hAnsi="Times New Roman" w:cs="Times New Roman"/>
          <w:sz w:val="24"/>
          <w:szCs w:val="24"/>
        </w:rPr>
      </w:pPr>
    </w:p>
    <w:p w:rsidR="003573D9" w:rsidRPr="00F97160" w:rsidRDefault="003573D9" w:rsidP="007B40CE">
      <w:pPr>
        <w:rPr>
          <w:rFonts w:ascii="Times New Roman" w:hAnsi="Times New Roman" w:cs="Times New Roman"/>
          <w:sz w:val="24"/>
          <w:szCs w:val="24"/>
        </w:rPr>
      </w:pPr>
      <w:r w:rsidRPr="00F97160">
        <w:rPr>
          <w:rFonts w:ascii="Times New Roman" w:hAnsi="Times New Roman" w:cs="Times New Roman"/>
          <w:sz w:val="24"/>
          <w:szCs w:val="24"/>
        </w:rPr>
        <w:t xml:space="preserve">Below is a two-way table showing the decomposition of events into indices and event types (“Action”). Note that duplicate values, such as “Add” and “Addition”, </w:t>
      </w:r>
      <w:proofErr w:type="gramStart"/>
      <w:r w:rsidRPr="00F97160">
        <w:rPr>
          <w:rFonts w:ascii="Times New Roman" w:hAnsi="Times New Roman" w:cs="Times New Roman"/>
          <w:sz w:val="24"/>
          <w:szCs w:val="24"/>
        </w:rPr>
        <w:t>are merged</w:t>
      </w:r>
      <w:proofErr w:type="gramEnd"/>
      <w:r w:rsidRPr="00F97160">
        <w:rPr>
          <w:rFonts w:ascii="Times New Roman" w:hAnsi="Times New Roman" w:cs="Times New Roman"/>
          <w:sz w:val="24"/>
          <w:szCs w:val="24"/>
        </w:rPr>
        <w:t xml:space="preserve">. One entry had action "z", changed to </w:t>
      </w:r>
      <w:proofErr w:type="spellStart"/>
      <w:r w:rsidRPr="00F97160">
        <w:rPr>
          <w:rFonts w:ascii="Times New Roman" w:hAnsi="Times New Roman" w:cs="Times New Roman"/>
          <w:sz w:val="24"/>
          <w:szCs w:val="24"/>
        </w:rPr>
        <w:t>Upweight</w:t>
      </w:r>
      <w:proofErr w:type="spellEnd"/>
      <w:r w:rsidRPr="00F97160">
        <w:rPr>
          <w:rFonts w:ascii="Times New Roman" w:hAnsi="Times New Roman" w:cs="Times New Roman"/>
          <w:sz w:val="24"/>
          <w:szCs w:val="24"/>
        </w:rPr>
        <w:t xml:space="preserve"> by context. Note also that the "Reclassification" action occurs only once, and created no share changes.</w:t>
      </w:r>
    </w:p>
    <w:p w:rsidR="003573D9" w:rsidRPr="00F97160" w:rsidRDefault="003573D9" w:rsidP="007B40CE">
      <w:pPr>
        <w:rPr>
          <w:rFonts w:ascii="Times New Roman" w:hAnsi="Times New Roman" w:cs="Times New Roman"/>
          <w:sz w:val="24"/>
          <w:szCs w:val="24"/>
        </w:rPr>
      </w:pPr>
      <w:r w:rsidRPr="00F97160">
        <w:rPr>
          <w:rFonts w:ascii="Times New Roman" w:hAnsi="Times New Roman" w:cs="Times New Roman"/>
          <w:noProof/>
          <w:sz w:val="24"/>
          <w:szCs w:val="24"/>
        </w:rPr>
        <w:drawing>
          <wp:inline distT="0" distB="0" distL="0" distR="0" wp14:anchorId="6DB4237D" wp14:editId="244002A4">
            <wp:extent cx="5274310" cy="2394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94585"/>
                    </a:xfrm>
                    <a:prstGeom prst="rect">
                      <a:avLst/>
                    </a:prstGeom>
                  </pic:spPr>
                </pic:pic>
              </a:graphicData>
            </a:graphic>
          </wp:inline>
        </w:drawing>
      </w:r>
    </w:p>
    <w:p w:rsidR="003A22E9" w:rsidRPr="00F97160" w:rsidRDefault="003A22E9" w:rsidP="007B40CE">
      <w:pPr>
        <w:rPr>
          <w:rFonts w:ascii="Times New Roman" w:hAnsi="Times New Roman" w:cs="Times New Roman"/>
          <w:sz w:val="24"/>
          <w:szCs w:val="24"/>
        </w:rPr>
      </w:pPr>
    </w:p>
    <w:p w:rsidR="003573D9" w:rsidRPr="00F97160" w:rsidRDefault="003573D9" w:rsidP="007B40CE">
      <w:pPr>
        <w:rPr>
          <w:rFonts w:ascii="Times New Roman" w:hAnsi="Times New Roman" w:cs="Times New Roman"/>
          <w:sz w:val="24"/>
          <w:szCs w:val="24"/>
        </w:rPr>
      </w:pPr>
      <w:r w:rsidRPr="00F97160">
        <w:rPr>
          <w:rFonts w:ascii="Times New Roman" w:hAnsi="Times New Roman" w:cs="Times New Roman"/>
          <w:sz w:val="24"/>
          <w:szCs w:val="24"/>
        </w:rPr>
        <w:t xml:space="preserve">Here is the top </w:t>
      </w:r>
      <w:proofErr w:type="gramStart"/>
      <w:r w:rsidRPr="00F97160">
        <w:rPr>
          <w:rFonts w:ascii="Times New Roman" w:hAnsi="Times New Roman" w:cs="Times New Roman"/>
          <w:sz w:val="24"/>
          <w:szCs w:val="24"/>
        </w:rPr>
        <w:t>5</w:t>
      </w:r>
      <w:proofErr w:type="gramEnd"/>
      <w:r w:rsidRPr="00F97160">
        <w:rPr>
          <w:rFonts w:ascii="Times New Roman" w:hAnsi="Times New Roman" w:cs="Times New Roman"/>
          <w:sz w:val="24"/>
          <w:szCs w:val="24"/>
        </w:rPr>
        <w:t xml:space="preserve"> </w:t>
      </w:r>
      <w:r w:rsidR="0010798C" w:rsidRPr="00F97160">
        <w:rPr>
          <w:rFonts w:ascii="Times New Roman" w:hAnsi="Times New Roman" w:cs="Times New Roman"/>
          <w:sz w:val="24"/>
          <w:szCs w:val="24"/>
        </w:rPr>
        <w:t>occurring</w:t>
      </w:r>
      <w:r w:rsidRPr="00F97160">
        <w:rPr>
          <w:rFonts w:ascii="Times New Roman" w:hAnsi="Times New Roman" w:cs="Times New Roman"/>
          <w:sz w:val="24"/>
          <w:szCs w:val="24"/>
        </w:rPr>
        <w:t xml:space="preserve"> comments. I use this to get a clue of the number of events associated with regular </w:t>
      </w:r>
      <w:r w:rsidR="0010798C" w:rsidRPr="00F97160">
        <w:rPr>
          <w:rFonts w:ascii="Times New Roman" w:hAnsi="Times New Roman" w:cs="Times New Roman"/>
          <w:sz w:val="24"/>
          <w:szCs w:val="24"/>
        </w:rPr>
        <w:t>updating</w:t>
      </w:r>
      <w:r w:rsidRPr="00F97160">
        <w:rPr>
          <w:rFonts w:ascii="Times New Roman" w:hAnsi="Times New Roman" w:cs="Times New Roman"/>
          <w:sz w:val="24"/>
          <w:szCs w:val="24"/>
        </w:rPr>
        <w:t xml:space="preserve"> and the event characteristics. Due to the low number of quarterly rebalance entries,</w:t>
      </w:r>
      <w:r w:rsidR="0010798C" w:rsidRPr="00F97160">
        <w:rPr>
          <w:rFonts w:ascii="Times New Roman" w:hAnsi="Times New Roman" w:cs="Times New Roman"/>
          <w:sz w:val="24"/>
          <w:szCs w:val="24"/>
        </w:rPr>
        <w:t xml:space="preserve"> I consider that regular re-adjustments may not contain enough entries to warrant separate categorization and sub-grouping. </w:t>
      </w:r>
    </w:p>
    <w:p w:rsidR="003573D9" w:rsidRPr="00F97160" w:rsidRDefault="003573D9" w:rsidP="007B40CE">
      <w:pPr>
        <w:rPr>
          <w:rFonts w:ascii="Times New Roman" w:hAnsi="Times New Roman" w:cs="Times New Roman"/>
          <w:sz w:val="24"/>
          <w:szCs w:val="24"/>
        </w:rPr>
      </w:pPr>
      <w:r w:rsidRPr="00F97160">
        <w:rPr>
          <w:rFonts w:ascii="Times New Roman" w:hAnsi="Times New Roman" w:cs="Times New Roman"/>
          <w:noProof/>
          <w:sz w:val="24"/>
          <w:szCs w:val="24"/>
        </w:rPr>
        <w:lastRenderedPageBreak/>
        <w:drawing>
          <wp:inline distT="0" distB="0" distL="0" distR="0" wp14:anchorId="763B7ADD" wp14:editId="3E84A091">
            <wp:extent cx="5274310" cy="23190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19020"/>
                    </a:xfrm>
                    <a:prstGeom prst="rect">
                      <a:avLst/>
                    </a:prstGeom>
                  </pic:spPr>
                </pic:pic>
              </a:graphicData>
            </a:graphic>
          </wp:inline>
        </w:drawing>
      </w:r>
    </w:p>
    <w:p w:rsidR="0010798C" w:rsidRPr="00F97160" w:rsidRDefault="0010798C" w:rsidP="00976037">
      <w:pPr>
        <w:widowControl/>
        <w:jc w:val="left"/>
        <w:rPr>
          <w:rFonts w:ascii="Times New Roman" w:hAnsi="Times New Roman" w:cs="Times New Roman"/>
          <w:sz w:val="24"/>
          <w:szCs w:val="24"/>
        </w:rPr>
      </w:pPr>
    </w:p>
    <w:p w:rsidR="0010798C" w:rsidRPr="00F97160" w:rsidRDefault="0010798C" w:rsidP="0010798C">
      <w:pPr>
        <w:pStyle w:val="ListParagraph"/>
        <w:numPr>
          <w:ilvl w:val="0"/>
          <w:numId w:val="1"/>
        </w:numPr>
        <w:ind w:firstLineChars="0"/>
        <w:rPr>
          <w:rFonts w:ascii="Times New Roman" w:hAnsi="Times New Roman" w:cs="Times New Roman"/>
          <w:sz w:val="24"/>
          <w:szCs w:val="24"/>
        </w:rPr>
      </w:pPr>
      <w:r w:rsidRPr="00F97160">
        <w:rPr>
          <w:rFonts w:ascii="Times New Roman" w:hAnsi="Times New Roman" w:cs="Times New Roman"/>
          <w:sz w:val="24"/>
          <w:szCs w:val="24"/>
        </w:rPr>
        <w:t>Analysis of the In-sample Data</w:t>
      </w:r>
    </w:p>
    <w:p w:rsidR="0010798C" w:rsidRPr="00F97160" w:rsidRDefault="0010798C" w:rsidP="0010798C">
      <w:pPr>
        <w:rPr>
          <w:rFonts w:ascii="Times New Roman" w:hAnsi="Times New Roman" w:cs="Times New Roman"/>
          <w:sz w:val="24"/>
          <w:szCs w:val="24"/>
        </w:rPr>
      </w:pPr>
    </w:p>
    <w:p w:rsidR="0010798C" w:rsidRPr="00F97160" w:rsidRDefault="0010798C" w:rsidP="0010798C">
      <w:pPr>
        <w:rPr>
          <w:rFonts w:ascii="Times New Roman" w:hAnsi="Times New Roman" w:cs="Times New Roman"/>
          <w:sz w:val="24"/>
          <w:szCs w:val="24"/>
        </w:rPr>
      </w:pPr>
      <w:r w:rsidRPr="00F97160">
        <w:rPr>
          <w:rFonts w:ascii="Times New Roman" w:hAnsi="Times New Roman" w:cs="Times New Roman"/>
          <w:sz w:val="24"/>
          <w:szCs w:val="24"/>
        </w:rPr>
        <w:t>First, here is a two-way table for the in-sample events, grouped into event types and indices:</w:t>
      </w:r>
    </w:p>
    <w:p w:rsidR="0010798C" w:rsidRPr="00F97160" w:rsidRDefault="0010798C" w:rsidP="0010798C">
      <w:pPr>
        <w:rPr>
          <w:rFonts w:ascii="Times New Roman" w:hAnsi="Times New Roman" w:cs="Times New Roman"/>
          <w:sz w:val="24"/>
          <w:szCs w:val="24"/>
        </w:rPr>
      </w:pPr>
      <w:r w:rsidRPr="00F97160">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7620</wp:posOffset>
            </wp:positionV>
            <wp:extent cx="5274310" cy="215709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57095"/>
                    </a:xfrm>
                    <a:prstGeom prst="rect">
                      <a:avLst/>
                    </a:prstGeom>
                  </pic:spPr>
                </pic:pic>
              </a:graphicData>
            </a:graphic>
          </wp:anchor>
        </w:drawing>
      </w:r>
      <w:r w:rsidRPr="00F97160">
        <w:rPr>
          <w:rFonts w:ascii="Times New Roman" w:hAnsi="Times New Roman" w:cs="Times New Roman"/>
          <w:sz w:val="24"/>
          <w:szCs w:val="24"/>
        </w:rPr>
        <w:t xml:space="preserve">As we can see, the in-sample data does not contain many entries for specific event type (e.g. “Delete”) and indices (e.g. Nasdaq 100) to </w:t>
      </w:r>
      <w:proofErr w:type="gramStart"/>
      <w:r w:rsidRPr="00F97160">
        <w:rPr>
          <w:rFonts w:ascii="Times New Roman" w:hAnsi="Times New Roman" w:cs="Times New Roman"/>
          <w:sz w:val="24"/>
          <w:szCs w:val="24"/>
        </w:rPr>
        <w:t>make generalization</w:t>
      </w:r>
      <w:proofErr w:type="gramEnd"/>
      <w:r w:rsidRPr="00F97160">
        <w:rPr>
          <w:rFonts w:ascii="Times New Roman" w:hAnsi="Times New Roman" w:cs="Times New Roman"/>
          <w:sz w:val="24"/>
          <w:szCs w:val="24"/>
        </w:rPr>
        <w:t xml:space="preserve"> on the return behaviors around announcements. Further, this low count in sample size create problems for statistical tools, such as linear regression and fixed effect estimati</w:t>
      </w:r>
      <w:r w:rsidR="003C1ED7" w:rsidRPr="00F97160">
        <w:rPr>
          <w:rFonts w:ascii="Times New Roman" w:hAnsi="Times New Roman" w:cs="Times New Roman"/>
          <w:sz w:val="24"/>
          <w:szCs w:val="24"/>
        </w:rPr>
        <w:t xml:space="preserve">ons, in analyzing and estimating effect sizes and durations. Such attempts are recorded in the file “2’ Fixed Effect Estimation of Announcement Effects.” </w:t>
      </w:r>
    </w:p>
    <w:p w:rsidR="003C1ED7" w:rsidRPr="00F97160" w:rsidRDefault="003C1ED7" w:rsidP="0010798C">
      <w:pPr>
        <w:rPr>
          <w:rFonts w:ascii="Times New Roman" w:hAnsi="Times New Roman" w:cs="Times New Roman"/>
          <w:sz w:val="24"/>
          <w:szCs w:val="24"/>
        </w:rPr>
      </w:pPr>
    </w:p>
    <w:p w:rsidR="003C1ED7" w:rsidRPr="00F97160" w:rsidRDefault="003C1ED7" w:rsidP="0010798C">
      <w:pPr>
        <w:rPr>
          <w:rFonts w:ascii="Times New Roman" w:hAnsi="Times New Roman" w:cs="Times New Roman"/>
          <w:sz w:val="24"/>
          <w:szCs w:val="24"/>
        </w:rPr>
      </w:pPr>
      <w:r w:rsidRPr="00F97160">
        <w:rPr>
          <w:rFonts w:ascii="Times New Roman" w:hAnsi="Times New Roman" w:cs="Times New Roman"/>
          <w:sz w:val="24"/>
          <w:szCs w:val="24"/>
        </w:rPr>
        <w:t>Due to the time difference between announcements and index funds actually trading, I also analyze the average time gaps and standard errors of such events. It seems that announcements and trading dates often have relatively stable and short gaps. This suggests that the return patterns around the trading days would be just lags of the return patterns around announcements.</w:t>
      </w:r>
    </w:p>
    <w:p w:rsidR="003C1ED7" w:rsidRPr="00F97160" w:rsidRDefault="003C1ED7" w:rsidP="0010798C">
      <w:pPr>
        <w:rPr>
          <w:rFonts w:ascii="Times New Roman" w:hAnsi="Times New Roman" w:cs="Times New Roman"/>
          <w:sz w:val="24"/>
          <w:szCs w:val="24"/>
        </w:rPr>
      </w:pPr>
    </w:p>
    <w:p w:rsidR="003C1ED7" w:rsidRPr="00F97160" w:rsidRDefault="003C1ED7" w:rsidP="0010798C">
      <w:pPr>
        <w:rPr>
          <w:rFonts w:ascii="Times New Roman" w:hAnsi="Times New Roman" w:cs="Times New Roman"/>
          <w:sz w:val="24"/>
          <w:szCs w:val="24"/>
        </w:rPr>
      </w:pPr>
      <w:r w:rsidRPr="00F97160">
        <w:rPr>
          <w:rFonts w:ascii="Times New Roman" w:hAnsi="Times New Roman" w:cs="Times New Roman"/>
          <w:noProof/>
          <w:sz w:val="24"/>
          <w:szCs w:val="24"/>
        </w:rPr>
        <w:lastRenderedPageBreak/>
        <w:drawing>
          <wp:inline distT="0" distB="0" distL="0" distR="0" wp14:anchorId="08557121" wp14:editId="7C75E8BC">
            <wp:extent cx="5274310" cy="27984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98445"/>
                    </a:xfrm>
                    <a:prstGeom prst="rect">
                      <a:avLst/>
                    </a:prstGeom>
                  </pic:spPr>
                </pic:pic>
              </a:graphicData>
            </a:graphic>
          </wp:inline>
        </w:drawing>
      </w:r>
    </w:p>
    <w:p w:rsidR="003C1ED7" w:rsidRPr="00F97160" w:rsidRDefault="003C1ED7" w:rsidP="0010798C">
      <w:pPr>
        <w:rPr>
          <w:rFonts w:ascii="Times New Roman" w:hAnsi="Times New Roman" w:cs="Times New Roman"/>
          <w:sz w:val="24"/>
          <w:szCs w:val="24"/>
        </w:rPr>
      </w:pPr>
    </w:p>
    <w:p w:rsidR="003C1ED7" w:rsidRPr="00F97160" w:rsidRDefault="003C1ED7" w:rsidP="0010798C">
      <w:pPr>
        <w:rPr>
          <w:rFonts w:ascii="Times New Roman" w:hAnsi="Times New Roman" w:cs="Times New Roman"/>
          <w:sz w:val="24"/>
          <w:szCs w:val="24"/>
        </w:rPr>
      </w:pPr>
      <w:r w:rsidRPr="00F97160">
        <w:rPr>
          <w:rFonts w:ascii="Times New Roman" w:hAnsi="Times New Roman" w:cs="Times New Roman"/>
          <w:sz w:val="24"/>
          <w:szCs w:val="24"/>
        </w:rPr>
        <w:t xml:space="preserve">I focus on analyzing the cumulative return curves on average for each event categories. I divided the actions into five categories: </w:t>
      </w:r>
      <w:proofErr w:type="gramStart"/>
      <w:r w:rsidRPr="00F97160">
        <w:rPr>
          <w:rFonts w:ascii="Times New Roman" w:hAnsi="Times New Roman" w:cs="Times New Roman"/>
          <w:sz w:val="24"/>
          <w:szCs w:val="24"/>
        </w:rPr>
        <w:t>Add,</w:t>
      </w:r>
      <w:proofErr w:type="gramEnd"/>
      <w:r w:rsidRPr="00F97160">
        <w:rPr>
          <w:rFonts w:ascii="Times New Roman" w:hAnsi="Times New Roman" w:cs="Times New Roman"/>
          <w:sz w:val="24"/>
          <w:szCs w:val="24"/>
        </w:rPr>
        <w:t xml:space="preserve"> Delete, </w:t>
      </w:r>
      <w:proofErr w:type="spellStart"/>
      <w:r w:rsidRPr="00F97160">
        <w:rPr>
          <w:rFonts w:ascii="Times New Roman" w:hAnsi="Times New Roman" w:cs="Times New Roman"/>
          <w:sz w:val="24"/>
          <w:szCs w:val="24"/>
        </w:rPr>
        <w:t>Upweight</w:t>
      </w:r>
      <w:proofErr w:type="spellEnd"/>
      <w:r w:rsidRPr="00F97160">
        <w:rPr>
          <w:rFonts w:ascii="Times New Roman" w:hAnsi="Times New Roman" w:cs="Times New Roman"/>
          <w:sz w:val="24"/>
          <w:szCs w:val="24"/>
        </w:rPr>
        <w:t xml:space="preserve">, </w:t>
      </w:r>
      <w:proofErr w:type="spellStart"/>
      <w:r w:rsidRPr="00F97160">
        <w:rPr>
          <w:rFonts w:ascii="Times New Roman" w:hAnsi="Times New Roman" w:cs="Times New Roman"/>
          <w:sz w:val="24"/>
          <w:szCs w:val="24"/>
        </w:rPr>
        <w:t>Downweight</w:t>
      </w:r>
      <w:proofErr w:type="spellEnd"/>
      <w:r w:rsidRPr="00F97160">
        <w:rPr>
          <w:rFonts w:ascii="Times New Roman" w:hAnsi="Times New Roman" w:cs="Times New Roman"/>
          <w:sz w:val="24"/>
          <w:szCs w:val="24"/>
        </w:rPr>
        <w:t xml:space="preserve">, and Reclassification. Reclassification contains action types such as “MSCI SC to </w:t>
      </w:r>
      <w:proofErr w:type="spellStart"/>
      <w:r w:rsidRPr="00F97160">
        <w:rPr>
          <w:rFonts w:ascii="Times New Roman" w:hAnsi="Times New Roman" w:cs="Times New Roman"/>
          <w:sz w:val="24"/>
          <w:szCs w:val="24"/>
        </w:rPr>
        <w:t>Std</w:t>
      </w:r>
      <w:proofErr w:type="spellEnd"/>
      <w:r w:rsidRPr="00F97160">
        <w:rPr>
          <w:rFonts w:ascii="Times New Roman" w:hAnsi="Times New Roman" w:cs="Times New Roman"/>
          <w:sz w:val="24"/>
          <w:szCs w:val="24"/>
        </w:rPr>
        <w:t>” and “SP500 to SP400”. I then decompose each categories into indices, and analyze trends and patterns for eac</w:t>
      </w:r>
      <w:r w:rsidR="006D7043" w:rsidRPr="00F97160">
        <w:rPr>
          <w:rFonts w:ascii="Times New Roman" w:hAnsi="Times New Roman" w:cs="Times New Roman"/>
          <w:sz w:val="24"/>
          <w:szCs w:val="24"/>
        </w:rPr>
        <w:t xml:space="preserve">h indices. As an example, below are the graphs for cumulative returns and volumes for “Add” events, </w:t>
      </w:r>
      <w:proofErr w:type="gramStart"/>
      <w:r w:rsidR="006D7043" w:rsidRPr="00F97160">
        <w:rPr>
          <w:rFonts w:ascii="Times New Roman" w:hAnsi="Times New Roman" w:cs="Times New Roman"/>
          <w:sz w:val="24"/>
          <w:szCs w:val="24"/>
        </w:rPr>
        <w:t>color coded</w:t>
      </w:r>
      <w:proofErr w:type="gramEnd"/>
      <w:r w:rsidR="006D7043" w:rsidRPr="00F97160">
        <w:rPr>
          <w:rFonts w:ascii="Times New Roman" w:hAnsi="Times New Roman" w:cs="Times New Roman"/>
          <w:sz w:val="24"/>
          <w:szCs w:val="24"/>
        </w:rPr>
        <w:t xml:space="preserve"> by indices:</w:t>
      </w:r>
    </w:p>
    <w:p w:rsidR="006D7043" w:rsidRPr="00F97160" w:rsidRDefault="006D7043" w:rsidP="00976037">
      <w:pPr>
        <w:rPr>
          <w:rFonts w:ascii="Times New Roman" w:hAnsi="Times New Roman" w:cs="Times New Roman"/>
          <w:sz w:val="24"/>
          <w:szCs w:val="24"/>
        </w:rPr>
      </w:pPr>
      <w:r w:rsidRPr="00F97160">
        <w:rPr>
          <w:rFonts w:ascii="Times New Roman" w:hAnsi="Times New Roman" w:cs="Times New Roman"/>
          <w:noProof/>
          <w:sz w:val="24"/>
          <w:szCs w:val="24"/>
        </w:rPr>
        <w:drawing>
          <wp:inline distT="0" distB="0" distL="0" distR="0" wp14:anchorId="6F0E40FD" wp14:editId="7EF7101A">
            <wp:extent cx="4762500" cy="4405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1498" cy="4413609"/>
                    </a:xfrm>
                    <a:prstGeom prst="rect">
                      <a:avLst/>
                    </a:prstGeom>
                  </pic:spPr>
                </pic:pic>
              </a:graphicData>
            </a:graphic>
          </wp:inline>
        </w:drawing>
      </w:r>
    </w:p>
    <w:p w:rsidR="003C1ED7" w:rsidRPr="00F97160" w:rsidRDefault="006D7043" w:rsidP="0010798C">
      <w:pPr>
        <w:rPr>
          <w:rFonts w:ascii="Times New Roman" w:hAnsi="Times New Roman" w:cs="Times New Roman"/>
          <w:sz w:val="24"/>
          <w:szCs w:val="24"/>
        </w:rPr>
      </w:pPr>
      <w:r w:rsidRPr="00F97160">
        <w:rPr>
          <w:rFonts w:ascii="Times New Roman" w:hAnsi="Times New Roman" w:cs="Times New Roman"/>
          <w:sz w:val="24"/>
          <w:szCs w:val="24"/>
        </w:rPr>
        <w:lastRenderedPageBreak/>
        <w:t>Below is the average cumulative returns for each indices in the “Add” events, from -10 days to 30 days around announcements:</w:t>
      </w:r>
    </w:p>
    <w:p w:rsidR="006D7043" w:rsidRPr="00F97160" w:rsidRDefault="006D7043" w:rsidP="0010798C">
      <w:pPr>
        <w:rPr>
          <w:rFonts w:ascii="Times New Roman" w:hAnsi="Times New Roman" w:cs="Times New Roman"/>
          <w:sz w:val="24"/>
          <w:szCs w:val="24"/>
        </w:rPr>
      </w:pPr>
      <w:r w:rsidRPr="00F97160">
        <w:rPr>
          <w:rFonts w:ascii="Times New Roman" w:hAnsi="Times New Roman" w:cs="Times New Roman"/>
          <w:noProof/>
          <w:sz w:val="24"/>
          <w:szCs w:val="24"/>
        </w:rPr>
        <w:drawing>
          <wp:inline distT="0" distB="0" distL="0" distR="0" wp14:anchorId="5D9D464E" wp14:editId="7175278E">
            <wp:extent cx="2400635" cy="69732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635" cy="6973273"/>
                    </a:xfrm>
                    <a:prstGeom prst="rect">
                      <a:avLst/>
                    </a:prstGeom>
                  </pic:spPr>
                </pic:pic>
              </a:graphicData>
            </a:graphic>
          </wp:inline>
        </w:drawing>
      </w:r>
      <w:r w:rsidRPr="00F97160">
        <w:rPr>
          <w:rFonts w:ascii="Times New Roman" w:hAnsi="Times New Roman" w:cs="Times New Roman"/>
          <w:noProof/>
          <w:sz w:val="24"/>
          <w:szCs w:val="24"/>
        </w:rPr>
        <w:drawing>
          <wp:inline distT="0" distB="0" distL="0" distR="0" wp14:anchorId="0C087ED8" wp14:editId="6E18F145">
            <wp:extent cx="2448267" cy="560148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8267" cy="5601482"/>
                    </a:xfrm>
                    <a:prstGeom prst="rect">
                      <a:avLst/>
                    </a:prstGeom>
                  </pic:spPr>
                </pic:pic>
              </a:graphicData>
            </a:graphic>
          </wp:inline>
        </w:drawing>
      </w:r>
    </w:p>
    <w:p w:rsidR="006D7043" w:rsidRPr="00F97160" w:rsidRDefault="006D7043">
      <w:pPr>
        <w:widowControl/>
        <w:jc w:val="left"/>
        <w:rPr>
          <w:rFonts w:ascii="Times New Roman" w:hAnsi="Times New Roman" w:cs="Times New Roman"/>
          <w:sz w:val="24"/>
          <w:szCs w:val="24"/>
        </w:rPr>
      </w:pPr>
      <w:r w:rsidRPr="00F97160">
        <w:rPr>
          <w:rFonts w:ascii="Times New Roman" w:hAnsi="Times New Roman" w:cs="Times New Roman"/>
          <w:sz w:val="24"/>
          <w:szCs w:val="24"/>
        </w:rPr>
        <w:br w:type="page"/>
      </w:r>
    </w:p>
    <w:p w:rsidR="006D7043" w:rsidRPr="00F97160" w:rsidRDefault="006D7043" w:rsidP="0010798C">
      <w:pPr>
        <w:rPr>
          <w:rFonts w:ascii="Times New Roman" w:hAnsi="Times New Roman" w:cs="Times New Roman"/>
          <w:sz w:val="24"/>
          <w:szCs w:val="24"/>
        </w:rPr>
      </w:pPr>
      <w:r w:rsidRPr="00F97160">
        <w:rPr>
          <w:rFonts w:ascii="Times New Roman" w:hAnsi="Times New Roman" w:cs="Times New Roman"/>
          <w:sz w:val="24"/>
          <w:szCs w:val="24"/>
        </w:rPr>
        <w:lastRenderedPageBreak/>
        <w:t>Below is the cumulative returns around the trading days, we see indeed they resemble lagged patterns from graphs mapping against announcement timelines:</w:t>
      </w:r>
    </w:p>
    <w:p w:rsidR="006D7043" w:rsidRPr="00F97160" w:rsidRDefault="006D7043" w:rsidP="0010798C">
      <w:pPr>
        <w:rPr>
          <w:rFonts w:ascii="Times New Roman" w:hAnsi="Times New Roman" w:cs="Times New Roman"/>
          <w:sz w:val="24"/>
          <w:szCs w:val="24"/>
        </w:rPr>
      </w:pPr>
      <w:r w:rsidRPr="00F97160">
        <w:rPr>
          <w:rFonts w:ascii="Times New Roman" w:hAnsi="Times New Roman" w:cs="Times New Roman"/>
          <w:noProof/>
          <w:sz w:val="24"/>
          <w:szCs w:val="24"/>
        </w:rPr>
        <w:drawing>
          <wp:inline distT="0" distB="0" distL="0" distR="0" wp14:anchorId="3EDFE3FB" wp14:editId="128BF603">
            <wp:extent cx="2333951" cy="696374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3951" cy="6963747"/>
                    </a:xfrm>
                    <a:prstGeom prst="rect">
                      <a:avLst/>
                    </a:prstGeom>
                  </pic:spPr>
                </pic:pic>
              </a:graphicData>
            </a:graphic>
          </wp:inline>
        </w:drawing>
      </w:r>
      <w:r w:rsidRPr="00F97160">
        <w:rPr>
          <w:rFonts w:ascii="Times New Roman" w:hAnsi="Times New Roman" w:cs="Times New Roman"/>
          <w:noProof/>
          <w:sz w:val="24"/>
          <w:szCs w:val="24"/>
        </w:rPr>
        <w:drawing>
          <wp:inline distT="0" distB="0" distL="0" distR="0" wp14:anchorId="37206EB6" wp14:editId="5F46DA00">
            <wp:extent cx="2353003" cy="556337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3003" cy="5563376"/>
                    </a:xfrm>
                    <a:prstGeom prst="rect">
                      <a:avLst/>
                    </a:prstGeom>
                  </pic:spPr>
                </pic:pic>
              </a:graphicData>
            </a:graphic>
          </wp:inline>
        </w:drawing>
      </w:r>
    </w:p>
    <w:p w:rsidR="006D7043" w:rsidRPr="00F97160" w:rsidRDefault="006D7043" w:rsidP="0010798C">
      <w:pPr>
        <w:rPr>
          <w:rFonts w:ascii="Times New Roman" w:hAnsi="Times New Roman" w:cs="Times New Roman"/>
          <w:sz w:val="24"/>
          <w:szCs w:val="24"/>
        </w:rPr>
      </w:pPr>
    </w:p>
    <w:p w:rsidR="006D7043" w:rsidRPr="00F97160" w:rsidRDefault="006D7043" w:rsidP="0010798C">
      <w:pPr>
        <w:rPr>
          <w:rFonts w:ascii="Times New Roman" w:hAnsi="Times New Roman" w:cs="Times New Roman"/>
          <w:sz w:val="24"/>
          <w:szCs w:val="24"/>
        </w:rPr>
      </w:pPr>
      <w:r w:rsidRPr="00F97160">
        <w:rPr>
          <w:rFonts w:ascii="Times New Roman" w:hAnsi="Times New Roman" w:cs="Times New Roman"/>
          <w:sz w:val="24"/>
          <w:szCs w:val="24"/>
        </w:rPr>
        <w:t xml:space="preserve">For the complete analysis, please see file “2 Basic Analysis and Strategy Formulation”. </w:t>
      </w:r>
    </w:p>
    <w:p w:rsidR="006D7043" w:rsidRPr="00F97160" w:rsidRDefault="006D7043" w:rsidP="0010798C">
      <w:pPr>
        <w:rPr>
          <w:rFonts w:ascii="Times New Roman" w:hAnsi="Times New Roman" w:cs="Times New Roman"/>
          <w:sz w:val="24"/>
          <w:szCs w:val="24"/>
        </w:rPr>
      </w:pP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My findings suggest that:</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 xml:space="preserve">    1. For "Add" events, there seems to be a return spike on the day after Announcement, followed by a sharp decline by about 10th day</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lastRenderedPageBreak/>
        <w:t xml:space="preserve">    </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2. For "Delete" events, MSCI SC, NASDAQ 100, and Russell 2000 seem to have stocks go up after announcement, in about 5 days; SP Completion seems to have no effect; SP 400, 500, and 600 seem to have a negative impact on returns after announcement, for at least 10 days.</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 xml:space="preserve">    </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3. For "</w:t>
      </w:r>
      <w:proofErr w:type="spellStart"/>
      <w:r w:rsidRPr="00F97160">
        <w:rPr>
          <w:rFonts w:ascii="Times New Roman" w:hAnsi="Times New Roman" w:cs="Times New Roman"/>
          <w:sz w:val="24"/>
          <w:szCs w:val="24"/>
        </w:rPr>
        <w:t>Upweight</w:t>
      </w:r>
      <w:proofErr w:type="spellEnd"/>
      <w:r w:rsidRPr="00F97160">
        <w:rPr>
          <w:rFonts w:ascii="Times New Roman" w:hAnsi="Times New Roman" w:cs="Times New Roman"/>
          <w:sz w:val="24"/>
          <w:szCs w:val="24"/>
        </w:rPr>
        <w:t xml:space="preserve">" events, SP 500 index </w:t>
      </w:r>
      <w:proofErr w:type="spellStart"/>
      <w:r w:rsidRPr="00F97160">
        <w:rPr>
          <w:rFonts w:ascii="Times New Roman" w:hAnsi="Times New Roman" w:cs="Times New Roman"/>
          <w:sz w:val="24"/>
          <w:szCs w:val="24"/>
        </w:rPr>
        <w:t>upweight</w:t>
      </w:r>
      <w:proofErr w:type="spellEnd"/>
      <w:r w:rsidRPr="00F97160">
        <w:rPr>
          <w:rFonts w:ascii="Times New Roman" w:hAnsi="Times New Roman" w:cs="Times New Roman"/>
          <w:sz w:val="24"/>
          <w:szCs w:val="24"/>
        </w:rPr>
        <w:t xml:space="preserve"> seems to induce increase in return, while all other indices' "</w:t>
      </w:r>
      <w:proofErr w:type="spellStart"/>
      <w:r w:rsidRPr="00F97160">
        <w:rPr>
          <w:rFonts w:ascii="Times New Roman" w:hAnsi="Times New Roman" w:cs="Times New Roman"/>
          <w:sz w:val="24"/>
          <w:szCs w:val="24"/>
        </w:rPr>
        <w:t>Upweights</w:t>
      </w:r>
      <w:proofErr w:type="spellEnd"/>
      <w:r w:rsidRPr="00F97160">
        <w:rPr>
          <w:rFonts w:ascii="Times New Roman" w:hAnsi="Times New Roman" w:cs="Times New Roman"/>
          <w:sz w:val="24"/>
          <w:szCs w:val="24"/>
        </w:rPr>
        <w:t>" experience a decrease in return, duration about 5 days, then an increase for about 10 days.</w:t>
      </w:r>
    </w:p>
    <w:p w:rsidR="00251C80" w:rsidRPr="00F97160" w:rsidRDefault="00251C80" w:rsidP="00251C80">
      <w:pPr>
        <w:rPr>
          <w:rFonts w:ascii="Times New Roman" w:hAnsi="Times New Roman" w:cs="Times New Roman"/>
          <w:sz w:val="24"/>
          <w:szCs w:val="24"/>
        </w:rPr>
      </w:pP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4. For "</w:t>
      </w:r>
      <w:proofErr w:type="spellStart"/>
      <w:r w:rsidRPr="00F97160">
        <w:rPr>
          <w:rFonts w:ascii="Times New Roman" w:hAnsi="Times New Roman" w:cs="Times New Roman"/>
          <w:sz w:val="24"/>
          <w:szCs w:val="24"/>
        </w:rPr>
        <w:t>Downweight</w:t>
      </w:r>
      <w:proofErr w:type="spellEnd"/>
      <w:r w:rsidRPr="00F97160">
        <w:rPr>
          <w:rFonts w:ascii="Times New Roman" w:hAnsi="Times New Roman" w:cs="Times New Roman"/>
          <w:sz w:val="24"/>
          <w:szCs w:val="24"/>
        </w:rPr>
        <w:t xml:space="preserve">" events, there seems to be a down movement followed by </w:t>
      </w:r>
      <w:proofErr w:type="gramStart"/>
      <w:r w:rsidRPr="00F97160">
        <w:rPr>
          <w:rFonts w:ascii="Times New Roman" w:hAnsi="Times New Roman" w:cs="Times New Roman"/>
          <w:sz w:val="24"/>
          <w:szCs w:val="24"/>
        </w:rPr>
        <w:t>a</w:t>
      </w:r>
      <w:proofErr w:type="gramEnd"/>
      <w:r w:rsidRPr="00F97160">
        <w:rPr>
          <w:rFonts w:ascii="Times New Roman" w:hAnsi="Times New Roman" w:cs="Times New Roman"/>
          <w:sz w:val="24"/>
          <w:szCs w:val="24"/>
        </w:rPr>
        <w:t xml:space="preserve"> up movement. SP600, seeing increase, is notable exception.</w:t>
      </w:r>
    </w:p>
    <w:p w:rsidR="00251C80" w:rsidRPr="00F97160" w:rsidRDefault="00251C80" w:rsidP="00251C80">
      <w:pPr>
        <w:rPr>
          <w:rFonts w:ascii="Times New Roman" w:hAnsi="Times New Roman" w:cs="Times New Roman"/>
          <w:sz w:val="24"/>
          <w:szCs w:val="24"/>
        </w:rPr>
      </w:pPr>
    </w:p>
    <w:p w:rsidR="00251C80" w:rsidRPr="00F97160" w:rsidRDefault="00251C80" w:rsidP="00251C80">
      <w:pPr>
        <w:rPr>
          <w:rFonts w:ascii="Times New Roman" w:hAnsi="Times New Roman" w:cs="Times New Roman"/>
          <w:sz w:val="24"/>
          <w:szCs w:val="24"/>
        </w:rPr>
      </w:pPr>
      <w:proofErr w:type="gramStart"/>
      <w:r w:rsidRPr="00F97160">
        <w:rPr>
          <w:rFonts w:ascii="Times New Roman" w:hAnsi="Times New Roman" w:cs="Times New Roman"/>
          <w:sz w:val="24"/>
          <w:szCs w:val="24"/>
        </w:rPr>
        <w:t>5. For Reclassification</w:t>
      </w:r>
      <w:proofErr w:type="gramEnd"/>
      <w:r w:rsidRPr="00F97160">
        <w:rPr>
          <w:rFonts w:ascii="Times New Roman" w:hAnsi="Times New Roman" w:cs="Times New Roman"/>
          <w:sz w:val="24"/>
          <w:szCs w:val="24"/>
        </w:rPr>
        <w:t xml:space="preserve"> events, such as "SP600 to SP500", it seems that in general, all cross-index reclassifications for the SP series led to a decrease in returns, for the next 10 days.</w:t>
      </w:r>
    </w:p>
    <w:p w:rsidR="00251C80" w:rsidRPr="00F97160" w:rsidRDefault="00251C80" w:rsidP="00251C80">
      <w:pPr>
        <w:rPr>
          <w:rFonts w:ascii="Times New Roman" w:hAnsi="Times New Roman" w:cs="Times New Roman"/>
          <w:sz w:val="24"/>
          <w:szCs w:val="24"/>
        </w:rPr>
      </w:pP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Our basic trading strategy is as follows:</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1. For "Add" events,</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 xml:space="preserve">    </w:t>
      </w:r>
      <w:proofErr w:type="gramStart"/>
      <w:r w:rsidRPr="00F97160">
        <w:rPr>
          <w:rFonts w:ascii="Times New Roman" w:hAnsi="Times New Roman" w:cs="Times New Roman"/>
          <w:sz w:val="24"/>
          <w:szCs w:val="24"/>
        </w:rPr>
        <w:t>a</w:t>
      </w:r>
      <w:proofErr w:type="gramEnd"/>
      <w:r w:rsidRPr="00F97160">
        <w:rPr>
          <w:rFonts w:ascii="Times New Roman" w:hAnsi="Times New Roman" w:cs="Times New Roman"/>
          <w:sz w:val="24"/>
          <w:szCs w:val="24"/>
        </w:rPr>
        <w:t>. For SP500 and SP600, to long for 5 days;</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 xml:space="preserve">    b. For other indices, to short on the day after announcement, close this position after 5 days.</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 xml:space="preserve">2. For "Delete" events, </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 xml:space="preserve">    </w:t>
      </w:r>
      <w:proofErr w:type="gramStart"/>
      <w:r w:rsidRPr="00F97160">
        <w:rPr>
          <w:rFonts w:ascii="Times New Roman" w:hAnsi="Times New Roman" w:cs="Times New Roman"/>
          <w:sz w:val="24"/>
          <w:szCs w:val="24"/>
        </w:rPr>
        <w:t>a</w:t>
      </w:r>
      <w:proofErr w:type="gramEnd"/>
      <w:r w:rsidRPr="00F97160">
        <w:rPr>
          <w:rFonts w:ascii="Times New Roman" w:hAnsi="Times New Roman" w:cs="Times New Roman"/>
          <w:sz w:val="24"/>
          <w:szCs w:val="24"/>
        </w:rPr>
        <w:t>. To short stocks impacted by SP 400, 500, 600 deletion events, and cover the position in 5 day;</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 xml:space="preserve">    </w:t>
      </w:r>
      <w:proofErr w:type="gramStart"/>
      <w:r w:rsidRPr="00F97160">
        <w:rPr>
          <w:rFonts w:ascii="Times New Roman" w:hAnsi="Times New Roman" w:cs="Times New Roman"/>
          <w:sz w:val="24"/>
          <w:szCs w:val="24"/>
        </w:rPr>
        <w:t>b</w:t>
      </w:r>
      <w:proofErr w:type="gramEnd"/>
      <w:r w:rsidRPr="00F97160">
        <w:rPr>
          <w:rFonts w:ascii="Times New Roman" w:hAnsi="Times New Roman" w:cs="Times New Roman"/>
          <w:sz w:val="24"/>
          <w:szCs w:val="24"/>
        </w:rPr>
        <w:t>. To long stocks impacted by MSCI SC, NASDAQ 100, and Russell 2000 in 5 days.</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3. For "</w:t>
      </w:r>
      <w:proofErr w:type="spellStart"/>
      <w:r w:rsidRPr="00F97160">
        <w:rPr>
          <w:rFonts w:ascii="Times New Roman" w:hAnsi="Times New Roman" w:cs="Times New Roman"/>
          <w:sz w:val="24"/>
          <w:szCs w:val="24"/>
        </w:rPr>
        <w:t>Upweight</w:t>
      </w:r>
      <w:proofErr w:type="spellEnd"/>
      <w:r w:rsidRPr="00F97160">
        <w:rPr>
          <w:rFonts w:ascii="Times New Roman" w:hAnsi="Times New Roman" w:cs="Times New Roman"/>
          <w:sz w:val="24"/>
          <w:szCs w:val="24"/>
        </w:rPr>
        <w:t>" events,</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 xml:space="preserve">    </w:t>
      </w:r>
      <w:proofErr w:type="gramStart"/>
      <w:r w:rsidRPr="00F97160">
        <w:rPr>
          <w:rFonts w:ascii="Times New Roman" w:hAnsi="Times New Roman" w:cs="Times New Roman"/>
          <w:sz w:val="24"/>
          <w:szCs w:val="24"/>
        </w:rPr>
        <w:t>a</w:t>
      </w:r>
      <w:proofErr w:type="gramEnd"/>
      <w:r w:rsidRPr="00F97160">
        <w:rPr>
          <w:rFonts w:ascii="Times New Roman" w:hAnsi="Times New Roman" w:cs="Times New Roman"/>
          <w:sz w:val="24"/>
          <w:szCs w:val="24"/>
        </w:rPr>
        <w:t>. To Long SP 500 after "</w:t>
      </w:r>
      <w:proofErr w:type="spellStart"/>
      <w:r w:rsidRPr="00F97160">
        <w:rPr>
          <w:rFonts w:ascii="Times New Roman" w:hAnsi="Times New Roman" w:cs="Times New Roman"/>
          <w:sz w:val="24"/>
          <w:szCs w:val="24"/>
        </w:rPr>
        <w:t>Upweight</w:t>
      </w:r>
      <w:proofErr w:type="spellEnd"/>
      <w:r w:rsidRPr="00F97160">
        <w:rPr>
          <w:rFonts w:ascii="Times New Roman" w:hAnsi="Times New Roman" w:cs="Times New Roman"/>
          <w:sz w:val="24"/>
          <w:szCs w:val="24"/>
        </w:rPr>
        <w:t>" announcement for 5 days;</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 xml:space="preserve">    b. To </w:t>
      </w:r>
      <w:proofErr w:type="gramStart"/>
      <w:r w:rsidRPr="00F97160">
        <w:rPr>
          <w:rFonts w:ascii="Times New Roman" w:hAnsi="Times New Roman" w:cs="Times New Roman"/>
          <w:sz w:val="24"/>
          <w:szCs w:val="24"/>
        </w:rPr>
        <w:t>Short</w:t>
      </w:r>
      <w:proofErr w:type="gramEnd"/>
      <w:r w:rsidRPr="00F97160">
        <w:rPr>
          <w:rFonts w:ascii="Times New Roman" w:hAnsi="Times New Roman" w:cs="Times New Roman"/>
          <w:sz w:val="24"/>
          <w:szCs w:val="24"/>
        </w:rPr>
        <w:t xml:space="preserve"> other indices' "</w:t>
      </w:r>
      <w:proofErr w:type="spellStart"/>
      <w:r w:rsidRPr="00F97160">
        <w:rPr>
          <w:rFonts w:ascii="Times New Roman" w:hAnsi="Times New Roman" w:cs="Times New Roman"/>
          <w:sz w:val="24"/>
          <w:szCs w:val="24"/>
        </w:rPr>
        <w:t>Upweight</w:t>
      </w:r>
      <w:proofErr w:type="spellEnd"/>
      <w:r w:rsidRPr="00F97160">
        <w:rPr>
          <w:rFonts w:ascii="Times New Roman" w:hAnsi="Times New Roman" w:cs="Times New Roman"/>
          <w:sz w:val="24"/>
          <w:szCs w:val="24"/>
        </w:rPr>
        <w:t>" announcement for 5 days, cover, then long for 5 days.</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4. For "</w:t>
      </w:r>
      <w:proofErr w:type="spellStart"/>
      <w:r w:rsidRPr="00F97160">
        <w:rPr>
          <w:rFonts w:ascii="Times New Roman" w:hAnsi="Times New Roman" w:cs="Times New Roman"/>
          <w:sz w:val="24"/>
          <w:szCs w:val="24"/>
        </w:rPr>
        <w:t>Downweight</w:t>
      </w:r>
      <w:proofErr w:type="spellEnd"/>
      <w:r w:rsidRPr="00F97160">
        <w:rPr>
          <w:rFonts w:ascii="Times New Roman" w:hAnsi="Times New Roman" w:cs="Times New Roman"/>
          <w:sz w:val="24"/>
          <w:szCs w:val="24"/>
        </w:rPr>
        <w:t>" events, we take no actions (due to lack of data)</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5. For "Reclassification" events, to short, and close the positions after 5 days.</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Liquidity constraint of no more than 1% of 20-day volume average is included.</w:t>
      </w:r>
    </w:p>
    <w:p w:rsidR="00251C80" w:rsidRPr="00F97160" w:rsidRDefault="00251C80" w:rsidP="00251C80">
      <w:pPr>
        <w:rPr>
          <w:rFonts w:ascii="Times New Roman" w:hAnsi="Times New Roman" w:cs="Times New Roman"/>
          <w:sz w:val="24"/>
          <w:szCs w:val="24"/>
        </w:rPr>
      </w:pP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I also formulated a variation on this strategy with hedging using SPY positions:</w:t>
      </w: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 xml:space="preserve">First, we modify the strategy by adding a hedge from SPY on the short legs of the strategy, i.e. to take a long position in SPY of equal value when we enter a short position, then close them at the same time. Since in the long term, SPY </w:t>
      </w:r>
      <w:proofErr w:type="spellStart"/>
      <w:r w:rsidRPr="00F97160">
        <w:rPr>
          <w:rFonts w:ascii="Times New Roman" w:hAnsi="Times New Roman" w:cs="Times New Roman"/>
          <w:sz w:val="24"/>
          <w:szCs w:val="24"/>
        </w:rPr>
        <w:t>inceases</w:t>
      </w:r>
      <w:proofErr w:type="spellEnd"/>
      <w:r w:rsidRPr="00F97160">
        <w:rPr>
          <w:rFonts w:ascii="Times New Roman" w:hAnsi="Times New Roman" w:cs="Times New Roman"/>
          <w:sz w:val="24"/>
          <w:szCs w:val="24"/>
        </w:rPr>
        <w:t xml:space="preserve"> in value, making a short leg in </w:t>
      </w:r>
      <w:proofErr w:type="gramStart"/>
      <w:r w:rsidRPr="00F97160">
        <w:rPr>
          <w:rFonts w:ascii="Times New Roman" w:hAnsi="Times New Roman" w:cs="Times New Roman"/>
          <w:sz w:val="24"/>
          <w:szCs w:val="24"/>
        </w:rPr>
        <w:t>SPY</w:t>
      </w:r>
      <w:proofErr w:type="gramEnd"/>
      <w:r w:rsidRPr="00F97160">
        <w:rPr>
          <w:rFonts w:ascii="Times New Roman" w:hAnsi="Times New Roman" w:cs="Times New Roman"/>
          <w:sz w:val="24"/>
          <w:szCs w:val="24"/>
        </w:rPr>
        <w:t xml:space="preserve"> as a hedge may be too risky.</w:t>
      </w:r>
    </w:p>
    <w:p w:rsidR="00251C80" w:rsidRPr="00F97160" w:rsidRDefault="00251C80" w:rsidP="00251C80">
      <w:pPr>
        <w:rPr>
          <w:rFonts w:ascii="Times New Roman" w:hAnsi="Times New Roman" w:cs="Times New Roman"/>
          <w:sz w:val="24"/>
          <w:szCs w:val="24"/>
        </w:rPr>
      </w:pP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Second, we change the "</w:t>
      </w:r>
      <w:proofErr w:type="spellStart"/>
      <w:r w:rsidRPr="00F97160">
        <w:rPr>
          <w:rFonts w:ascii="Times New Roman" w:hAnsi="Times New Roman" w:cs="Times New Roman"/>
          <w:sz w:val="24"/>
          <w:szCs w:val="24"/>
        </w:rPr>
        <w:t>Upweight</w:t>
      </w:r>
      <w:proofErr w:type="spellEnd"/>
      <w:r w:rsidRPr="00F97160">
        <w:rPr>
          <w:rFonts w:ascii="Times New Roman" w:hAnsi="Times New Roman" w:cs="Times New Roman"/>
          <w:sz w:val="24"/>
          <w:szCs w:val="24"/>
        </w:rPr>
        <w:t xml:space="preserve">" part of the strategy </w:t>
      </w:r>
      <w:proofErr w:type="gramStart"/>
      <w:r w:rsidRPr="00F97160">
        <w:rPr>
          <w:rFonts w:ascii="Times New Roman" w:hAnsi="Times New Roman" w:cs="Times New Roman"/>
          <w:sz w:val="24"/>
          <w:szCs w:val="24"/>
        </w:rPr>
        <w:t>to</w:t>
      </w:r>
      <w:proofErr w:type="gramEnd"/>
      <w:r w:rsidRPr="00F97160">
        <w:rPr>
          <w:rFonts w:ascii="Times New Roman" w:hAnsi="Times New Roman" w:cs="Times New Roman"/>
          <w:sz w:val="24"/>
          <w:szCs w:val="24"/>
        </w:rPr>
        <w:t>:</w:t>
      </w:r>
    </w:p>
    <w:p w:rsidR="00251C80" w:rsidRPr="00F97160" w:rsidRDefault="00251C80" w:rsidP="00251C80">
      <w:pPr>
        <w:ind w:firstLine="420"/>
        <w:rPr>
          <w:rFonts w:ascii="Times New Roman" w:hAnsi="Times New Roman" w:cs="Times New Roman"/>
          <w:sz w:val="24"/>
          <w:szCs w:val="24"/>
        </w:rPr>
      </w:pPr>
      <w:proofErr w:type="gramStart"/>
      <w:r w:rsidRPr="00F97160">
        <w:rPr>
          <w:rFonts w:ascii="Times New Roman" w:hAnsi="Times New Roman" w:cs="Times New Roman"/>
          <w:sz w:val="24"/>
          <w:szCs w:val="24"/>
        </w:rPr>
        <w:t>a</w:t>
      </w:r>
      <w:proofErr w:type="gramEnd"/>
      <w:r w:rsidRPr="00F97160">
        <w:rPr>
          <w:rFonts w:ascii="Times New Roman" w:hAnsi="Times New Roman" w:cs="Times New Roman"/>
          <w:sz w:val="24"/>
          <w:szCs w:val="24"/>
        </w:rPr>
        <w:t>. To Long SP 500 after "</w:t>
      </w:r>
      <w:proofErr w:type="spellStart"/>
      <w:r w:rsidRPr="00F97160">
        <w:rPr>
          <w:rFonts w:ascii="Times New Roman" w:hAnsi="Times New Roman" w:cs="Times New Roman"/>
          <w:sz w:val="24"/>
          <w:szCs w:val="24"/>
        </w:rPr>
        <w:t>Upweight</w:t>
      </w:r>
      <w:proofErr w:type="spellEnd"/>
      <w:r w:rsidRPr="00F97160">
        <w:rPr>
          <w:rFonts w:ascii="Times New Roman" w:hAnsi="Times New Roman" w:cs="Times New Roman"/>
          <w:sz w:val="24"/>
          <w:szCs w:val="24"/>
        </w:rPr>
        <w:t>" announcement for 5 days;</w:t>
      </w:r>
    </w:p>
    <w:p w:rsidR="00251C80" w:rsidRPr="00F97160" w:rsidRDefault="00251C80" w:rsidP="00251C80">
      <w:pPr>
        <w:ind w:firstLine="420"/>
        <w:rPr>
          <w:rFonts w:ascii="Times New Roman" w:hAnsi="Times New Roman" w:cs="Times New Roman"/>
          <w:sz w:val="24"/>
          <w:szCs w:val="24"/>
        </w:rPr>
      </w:pPr>
      <w:r w:rsidRPr="00F97160">
        <w:rPr>
          <w:rFonts w:ascii="Times New Roman" w:hAnsi="Times New Roman" w:cs="Times New Roman"/>
          <w:sz w:val="24"/>
          <w:szCs w:val="24"/>
        </w:rPr>
        <w:t xml:space="preserve">b. To </w:t>
      </w:r>
      <w:proofErr w:type="gramStart"/>
      <w:r w:rsidRPr="00F97160">
        <w:rPr>
          <w:rFonts w:ascii="Times New Roman" w:hAnsi="Times New Roman" w:cs="Times New Roman"/>
          <w:sz w:val="24"/>
          <w:szCs w:val="24"/>
        </w:rPr>
        <w:t>Short</w:t>
      </w:r>
      <w:proofErr w:type="gramEnd"/>
      <w:r w:rsidRPr="00F97160">
        <w:rPr>
          <w:rFonts w:ascii="Times New Roman" w:hAnsi="Times New Roman" w:cs="Times New Roman"/>
          <w:sz w:val="24"/>
          <w:szCs w:val="24"/>
        </w:rPr>
        <w:t xml:space="preserve"> other indices' "</w:t>
      </w:r>
      <w:proofErr w:type="spellStart"/>
      <w:r w:rsidRPr="00F97160">
        <w:rPr>
          <w:rFonts w:ascii="Times New Roman" w:hAnsi="Times New Roman" w:cs="Times New Roman"/>
          <w:sz w:val="24"/>
          <w:szCs w:val="24"/>
        </w:rPr>
        <w:t>Upweight</w:t>
      </w:r>
      <w:proofErr w:type="spellEnd"/>
      <w:r w:rsidRPr="00F97160">
        <w:rPr>
          <w:rFonts w:ascii="Times New Roman" w:hAnsi="Times New Roman" w:cs="Times New Roman"/>
          <w:sz w:val="24"/>
          <w:szCs w:val="24"/>
        </w:rPr>
        <w:t>" announcement for 5 days</w:t>
      </w:r>
    </w:p>
    <w:p w:rsidR="00251C80" w:rsidRPr="00F97160" w:rsidRDefault="00251C80" w:rsidP="00251C80">
      <w:pPr>
        <w:rPr>
          <w:rFonts w:ascii="Times New Roman" w:hAnsi="Times New Roman" w:cs="Times New Roman"/>
          <w:sz w:val="24"/>
          <w:szCs w:val="24"/>
        </w:rPr>
      </w:pP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Third, we also cap our trades to no more than 5% of our current portfolio value:</w:t>
      </w:r>
    </w:p>
    <w:p w:rsidR="00251C80" w:rsidRPr="00F97160" w:rsidRDefault="00251C80" w:rsidP="00251C80">
      <w:pPr>
        <w:rPr>
          <w:rFonts w:ascii="Times New Roman" w:hAnsi="Times New Roman" w:cs="Times New Roman"/>
          <w:sz w:val="24"/>
          <w:szCs w:val="24"/>
        </w:rPr>
      </w:pPr>
    </w:p>
    <w:p w:rsidR="00251C80" w:rsidRPr="00F97160" w:rsidRDefault="00251C80" w:rsidP="00251C80">
      <w:pPr>
        <w:rPr>
          <w:rFonts w:ascii="Times New Roman" w:hAnsi="Times New Roman" w:cs="Times New Roman"/>
          <w:sz w:val="24"/>
          <w:szCs w:val="24"/>
        </w:rPr>
      </w:pPr>
      <w:r w:rsidRPr="00F97160">
        <w:rPr>
          <w:rFonts w:ascii="Times New Roman" w:hAnsi="Times New Roman" w:cs="Times New Roman"/>
          <w:sz w:val="24"/>
          <w:szCs w:val="24"/>
        </w:rPr>
        <w:t xml:space="preserve">Note that due to computational constraints, I do not perform </w:t>
      </w:r>
      <w:proofErr w:type="spellStart"/>
      <w:r w:rsidRPr="00F97160">
        <w:rPr>
          <w:rFonts w:ascii="Times New Roman" w:hAnsi="Times New Roman" w:cs="Times New Roman"/>
          <w:sz w:val="24"/>
          <w:szCs w:val="24"/>
        </w:rPr>
        <w:t>cointegrations</w:t>
      </w:r>
      <w:proofErr w:type="spellEnd"/>
      <w:r w:rsidRPr="00F97160">
        <w:rPr>
          <w:rFonts w:ascii="Times New Roman" w:hAnsi="Times New Roman" w:cs="Times New Roman"/>
          <w:sz w:val="24"/>
          <w:szCs w:val="24"/>
        </w:rPr>
        <w:t xml:space="preserve"> to form hedges, as analyzing the co-integration of the entire market to determine time series correlations on the entire universe of listed tickers with relatively low frequency sample size may be both statistically unstable and computationally intensive. That however deserves to be a project of its own.</w:t>
      </w:r>
      <w:r w:rsidR="00FA6CAE" w:rsidRPr="00F97160">
        <w:rPr>
          <w:rFonts w:ascii="Times New Roman" w:hAnsi="Times New Roman" w:cs="Times New Roman"/>
          <w:sz w:val="24"/>
          <w:szCs w:val="24"/>
        </w:rPr>
        <w:t xml:space="preserve"> </w:t>
      </w:r>
      <w:r w:rsidRPr="00F97160">
        <w:rPr>
          <w:rFonts w:ascii="Times New Roman" w:hAnsi="Times New Roman" w:cs="Times New Roman"/>
          <w:sz w:val="24"/>
          <w:szCs w:val="24"/>
        </w:rPr>
        <w:t>I also did not perform hedges based</w:t>
      </w:r>
      <w:r w:rsidR="00FA6CAE" w:rsidRPr="00F97160">
        <w:rPr>
          <w:rFonts w:ascii="Times New Roman" w:hAnsi="Times New Roman" w:cs="Times New Roman"/>
          <w:sz w:val="24"/>
          <w:szCs w:val="24"/>
        </w:rPr>
        <w:t xml:space="preserve"> on individual sectors, due to similar lack of sample size and evidence for sectorial indices behaviors.</w:t>
      </w:r>
    </w:p>
    <w:p w:rsidR="00FA6CAE" w:rsidRPr="00F97160" w:rsidRDefault="00FA6CAE" w:rsidP="00251C80">
      <w:pPr>
        <w:rPr>
          <w:rFonts w:ascii="Times New Roman" w:hAnsi="Times New Roman" w:cs="Times New Roman"/>
          <w:sz w:val="24"/>
          <w:szCs w:val="24"/>
        </w:rPr>
      </w:pPr>
    </w:p>
    <w:p w:rsidR="00FA6CAE" w:rsidRPr="00F97160" w:rsidRDefault="00FA6CAE" w:rsidP="00FA6CAE">
      <w:pPr>
        <w:pStyle w:val="ListParagraph"/>
        <w:numPr>
          <w:ilvl w:val="0"/>
          <w:numId w:val="1"/>
        </w:numPr>
        <w:ind w:firstLineChars="0"/>
        <w:rPr>
          <w:rFonts w:ascii="Times New Roman" w:hAnsi="Times New Roman" w:cs="Times New Roman"/>
          <w:sz w:val="24"/>
          <w:szCs w:val="24"/>
        </w:rPr>
      </w:pPr>
      <w:proofErr w:type="spellStart"/>
      <w:r w:rsidRPr="00F97160">
        <w:rPr>
          <w:rFonts w:ascii="Times New Roman" w:hAnsi="Times New Roman" w:cs="Times New Roman"/>
          <w:sz w:val="24"/>
          <w:szCs w:val="24"/>
        </w:rPr>
        <w:t>Backtesting</w:t>
      </w:r>
      <w:proofErr w:type="spellEnd"/>
    </w:p>
    <w:p w:rsidR="00FA6CAE" w:rsidRPr="00F97160" w:rsidRDefault="00FA6CAE" w:rsidP="00FA6CAE">
      <w:pPr>
        <w:rPr>
          <w:rFonts w:ascii="Times New Roman" w:hAnsi="Times New Roman" w:cs="Times New Roman"/>
          <w:sz w:val="24"/>
          <w:szCs w:val="24"/>
        </w:rPr>
      </w:pPr>
    </w:p>
    <w:p w:rsidR="00FA6CAE" w:rsidRPr="00F97160" w:rsidRDefault="00FA6CAE" w:rsidP="00FA6CAE">
      <w:pPr>
        <w:rPr>
          <w:rFonts w:ascii="Times New Roman" w:hAnsi="Times New Roman" w:cs="Times New Roman"/>
          <w:sz w:val="24"/>
          <w:szCs w:val="24"/>
        </w:rPr>
      </w:pPr>
      <w:r w:rsidRPr="00F97160">
        <w:rPr>
          <w:rFonts w:ascii="Times New Roman" w:hAnsi="Times New Roman" w:cs="Times New Roman"/>
          <w:sz w:val="24"/>
          <w:szCs w:val="24"/>
        </w:rPr>
        <w:t>The first iteration of the strategy does not perform well at all: its total return is</w:t>
      </w:r>
      <w:r w:rsidR="00F25C74" w:rsidRPr="00F97160">
        <w:rPr>
          <w:rFonts w:ascii="Times New Roman" w:hAnsi="Times New Roman" w:cs="Times New Roman"/>
          <w:sz w:val="24"/>
          <w:szCs w:val="24"/>
        </w:rPr>
        <w:t xml:space="preserve"> -2</w:t>
      </w:r>
      <w:r w:rsidRPr="00F97160">
        <w:rPr>
          <w:rFonts w:ascii="Times New Roman" w:hAnsi="Times New Roman" w:cs="Times New Roman"/>
          <w:sz w:val="24"/>
          <w:szCs w:val="24"/>
        </w:rPr>
        <w:t>2% in the out-of-sample period, and below is the equity Curve with the strategy:</w:t>
      </w:r>
    </w:p>
    <w:p w:rsidR="00FA6CAE" w:rsidRPr="00F97160" w:rsidRDefault="00FA6CAE" w:rsidP="00FA6CAE">
      <w:pPr>
        <w:rPr>
          <w:rFonts w:ascii="Times New Roman" w:hAnsi="Times New Roman" w:cs="Times New Roman"/>
          <w:sz w:val="24"/>
          <w:szCs w:val="24"/>
        </w:rPr>
      </w:pPr>
    </w:p>
    <w:p w:rsidR="00F25C74" w:rsidRPr="00F25C74" w:rsidRDefault="00F25C74" w:rsidP="00F25C74">
      <w:pPr>
        <w:widowControl/>
        <w:jc w:val="left"/>
        <w:rPr>
          <w:rFonts w:ascii="Times New Roman" w:eastAsia="宋体" w:hAnsi="Times New Roman" w:cs="Times New Roman"/>
          <w:kern w:val="0"/>
          <w:sz w:val="24"/>
          <w:szCs w:val="24"/>
        </w:rPr>
      </w:pPr>
      <w:r w:rsidRPr="00F97160">
        <w:rPr>
          <w:rFonts w:ascii="Times New Roman" w:hAnsi="Times New Roman" w:cs="Times New Roman"/>
          <w:noProof/>
          <w:sz w:val="24"/>
          <w:szCs w:val="24"/>
        </w:rPr>
        <w:drawing>
          <wp:inline distT="0" distB="0" distL="0" distR="0">
            <wp:extent cx="5257800" cy="2826068"/>
            <wp:effectExtent l="0" t="0" r="0" b="0"/>
            <wp:docPr id="12" name="Picture 12" descr="C:\Users\联想\AppData\Local\Microsoft\Windows\INetCache\Content.MSO\E70748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联想\AppData\Local\Microsoft\Windows\INetCache\Content.MSO\E70748F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9703" cy="2832466"/>
                    </a:xfrm>
                    <a:prstGeom prst="rect">
                      <a:avLst/>
                    </a:prstGeom>
                    <a:noFill/>
                    <a:ln>
                      <a:noFill/>
                    </a:ln>
                  </pic:spPr>
                </pic:pic>
              </a:graphicData>
            </a:graphic>
          </wp:inline>
        </w:drawing>
      </w:r>
    </w:p>
    <w:p w:rsidR="00FA6CAE" w:rsidRPr="00F97160" w:rsidRDefault="00F25C74" w:rsidP="00FA6CAE">
      <w:pPr>
        <w:rPr>
          <w:rFonts w:ascii="Times New Roman" w:hAnsi="Times New Roman" w:cs="Times New Roman"/>
          <w:sz w:val="24"/>
          <w:szCs w:val="24"/>
        </w:rPr>
      </w:pPr>
      <w:r w:rsidRPr="00F97160">
        <w:rPr>
          <w:rFonts w:ascii="Times New Roman" w:hAnsi="Times New Roman" w:cs="Times New Roman"/>
          <w:sz w:val="24"/>
          <w:szCs w:val="24"/>
        </w:rPr>
        <w:t xml:space="preserve">Considering the S&amp;P went up during this period, this </w:t>
      </w:r>
      <w:proofErr w:type="gramStart"/>
      <w:r w:rsidRPr="00F97160">
        <w:rPr>
          <w:rFonts w:ascii="Times New Roman" w:hAnsi="Times New Roman" w:cs="Times New Roman"/>
          <w:sz w:val="24"/>
          <w:szCs w:val="24"/>
        </w:rPr>
        <w:t>isn’t</w:t>
      </w:r>
      <w:proofErr w:type="gramEnd"/>
      <w:r w:rsidRPr="00F97160">
        <w:rPr>
          <w:rFonts w:ascii="Times New Roman" w:hAnsi="Times New Roman" w:cs="Times New Roman"/>
          <w:sz w:val="24"/>
          <w:szCs w:val="24"/>
        </w:rPr>
        <w:t xml:space="preserve"> great.</w:t>
      </w:r>
    </w:p>
    <w:p w:rsidR="00FA6CAE" w:rsidRPr="00F97160" w:rsidRDefault="00FA6CAE" w:rsidP="00FA6CAE">
      <w:pPr>
        <w:rPr>
          <w:rFonts w:ascii="Times New Roman" w:hAnsi="Times New Roman" w:cs="Times New Roman"/>
          <w:sz w:val="24"/>
          <w:szCs w:val="24"/>
        </w:rPr>
      </w:pPr>
      <w:r w:rsidRPr="00F97160">
        <w:rPr>
          <w:rFonts w:ascii="Times New Roman" w:hAnsi="Times New Roman" w:cs="Times New Roman"/>
          <w:sz w:val="24"/>
          <w:szCs w:val="24"/>
        </w:rPr>
        <w:t xml:space="preserve">The noticeable drop in 2024-06 is the result of a single event trade: </w:t>
      </w:r>
      <w:r w:rsidR="00F25C74" w:rsidRPr="00F97160">
        <w:rPr>
          <w:rFonts w:ascii="Times New Roman" w:hAnsi="Times New Roman" w:cs="Times New Roman"/>
          <w:sz w:val="24"/>
          <w:szCs w:val="24"/>
        </w:rPr>
        <w:t xml:space="preserve">VKTX was </w:t>
      </w:r>
      <w:proofErr w:type="spellStart"/>
      <w:r w:rsidR="00F25C74" w:rsidRPr="00F97160">
        <w:rPr>
          <w:rFonts w:ascii="Times New Roman" w:hAnsi="Times New Roman" w:cs="Times New Roman"/>
          <w:sz w:val="24"/>
          <w:szCs w:val="24"/>
        </w:rPr>
        <w:t>upweighted</w:t>
      </w:r>
      <w:proofErr w:type="spellEnd"/>
      <w:r w:rsidR="00F25C74" w:rsidRPr="00F97160">
        <w:rPr>
          <w:rFonts w:ascii="Times New Roman" w:hAnsi="Times New Roman" w:cs="Times New Roman"/>
          <w:sz w:val="24"/>
          <w:szCs w:val="24"/>
        </w:rPr>
        <w:t xml:space="preserve"> by Russell 2000 on 2024-03-11</w:t>
      </w:r>
      <w:r w:rsidRPr="00F97160">
        <w:rPr>
          <w:rFonts w:ascii="Times New Roman" w:hAnsi="Times New Roman" w:cs="Times New Roman"/>
          <w:sz w:val="24"/>
          <w:szCs w:val="24"/>
        </w:rPr>
        <w:t xml:space="preserve">, and the shorting leg lost nearly </w:t>
      </w:r>
      <w:r w:rsidR="00F25C74" w:rsidRPr="00F97160">
        <w:rPr>
          <w:rFonts w:ascii="Times New Roman" w:hAnsi="Times New Roman" w:cs="Times New Roman"/>
          <w:sz w:val="24"/>
          <w:szCs w:val="24"/>
        </w:rPr>
        <w:t>2 million</w:t>
      </w:r>
      <w:r w:rsidRPr="00F97160">
        <w:rPr>
          <w:rFonts w:ascii="Times New Roman" w:hAnsi="Times New Roman" w:cs="Times New Roman"/>
          <w:sz w:val="24"/>
          <w:szCs w:val="24"/>
        </w:rPr>
        <w:t>. This demonstrates the importance of placing size limits on each trades.</w:t>
      </w:r>
    </w:p>
    <w:p w:rsidR="00FA6CAE" w:rsidRPr="00F97160" w:rsidRDefault="00FA6CAE" w:rsidP="00FA6CAE">
      <w:pPr>
        <w:rPr>
          <w:rFonts w:ascii="Times New Roman" w:hAnsi="Times New Roman" w:cs="Times New Roman"/>
          <w:sz w:val="24"/>
          <w:szCs w:val="24"/>
        </w:rPr>
      </w:pPr>
    </w:p>
    <w:p w:rsidR="00FA6CAE" w:rsidRPr="00F97160" w:rsidRDefault="00FA6CAE" w:rsidP="00FA6CAE">
      <w:pPr>
        <w:rPr>
          <w:rFonts w:ascii="Times New Roman" w:hAnsi="Times New Roman" w:cs="Times New Roman"/>
          <w:sz w:val="24"/>
          <w:szCs w:val="24"/>
        </w:rPr>
      </w:pPr>
      <w:r w:rsidRPr="00F97160">
        <w:rPr>
          <w:rFonts w:ascii="Times New Roman" w:hAnsi="Times New Roman" w:cs="Times New Roman"/>
          <w:sz w:val="24"/>
          <w:szCs w:val="24"/>
        </w:rPr>
        <w:t>Below is a two-way table showing the profits and losses of entries for each actions and indices:</w:t>
      </w:r>
    </w:p>
    <w:p w:rsidR="00FA6CAE" w:rsidRPr="00F97160" w:rsidRDefault="000A3494" w:rsidP="00FA6CAE">
      <w:pPr>
        <w:rPr>
          <w:rFonts w:ascii="Times New Roman" w:hAnsi="Times New Roman" w:cs="Times New Roman"/>
          <w:sz w:val="24"/>
          <w:szCs w:val="24"/>
        </w:rPr>
      </w:pPr>
      <w:r w:rsidRPr="00F97160">
        <w:rPr>
          <w:rFonts w:ascii="Times New Roman" w:hAnsi="Times New Roman" w:cs="Times New Roman"/>
          <w:sz w:val="24"/>
          <w:szCs w:val="24"/>
        </w:rPr>
        <w:lastRenderedPageBreak/>
        <w:drawing>
          <wp:inline distT="0" distB="0" distL="0" distR="0" wp14:anchorId="0F19965F" wp14:editId="3D31064C">
            <wp:extent cx="5274310" cy="19056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05635"/>
                    </a:xfrm>
                    <a:prstGeom prst="rect">
                      <a:avLst/>
                    </a:prstGeom>
                  </pic:spPr>
                </pic:pic>
              </a:graphicData>
            </a:graphic>
          </wp:inline>
        </w:drawing>
      </w:r>
    </w:p>
    <w:p w:rsidR="00FA6CAE" w:rsidRPr="00F97160" w:rsidRDefault="00FA6CAE" w:rsidP="00FA6CAE">
      <w:pPr>
        <w:rPr>
          <w:rFonts w:ascii="Times New Roman" w:hAnsi="Times New Roman" w:cs="Times New Roman"/>
          <w:sz w:val="24"/>
          <w:szCs w:val="24"/>
        </w:rPr>
      </w:pPr>
      <w:r w:rsidRPr="00F97160">
        <w:rPr>
          <w:rFonts w:ascii="Times New Roman" w:hAnsi="Times New Roman" w:cs="Times New Roman"/>
          <w:sz w:val="24"/>
          <w:szCs w:val="24"/>
        </w:rPr>
        <w:t xml:space="preserve">Evidently, I was very wrong about </w:t>
      </w:r>
      <w:r w:rsidR="000A3494" w:rsidRPr="00F97160">
        <w:rPr>
          <w:rFonts w:ascii="Times New Roman" w:hAnsi="Times New Roman" w:cs="Times New Roman"/>
          <w:sz w:val="24"/>
          <w:szCs w:val="24"/>
        </w:rPr>
        <w:t>“Add”, “Delete” and “</w:t>
      </w:r>
      <w:proofErr w:type="spellStart"/>
      <w:r w:rsidR="000A3494" w:rsidRPr="00F97160">
        <w:rPr>
          <w:rFonts w:ascii="Times New Roman" w:hAnsi="Times New Roman" w:cs="Times New Roman"/>
          <w:sz w:val="24"/>
          <w:szCs w:val="24"/>
        </w:rPr>
        <w:t>Upweight</w:t>
      </w:r>
      <w:proofErr w:type="spellEnd"/>
      <w:r w:rsidR="000A3494" w:rsidRPr="00F97160">
        <w:rPr>
          <w:rFonts w:ascii="Times New Roman" w:hAnsi="Times New Roman" w:cs="Times New Roman"/>
          <w:sz w:val="24"/>
          <w:szCs w:val="24"/>
        </w:rPr>
        <w:t>” events, and Russell 2000, SP400, and SP500.</w:t>
      </w:r>
    </w:p>
    <w:p w:rsidR="00FA6CAE" w:rsidRPr="00F97160" w:rsidRDefault="00FA6CAE" w:rsidP="00FA6CAE">
      <w:pPr>
        <w:rPr>
          <w:rFonts w:ascii="Times New Roman" w:hAnsi="Times New Roman" w:cs="Times New Roman"/>
          <w:sz w:val="24"/>
          <w:szCs w:val="24"/>
        </w:rPr>
      </w:pPr>
    </w:p>
    <w:p w:rsidR="00FA6CAE" w:rsidRPr="00F97160" w:rsidRDefault="00FA6CAE" w:rsidP="00FA6CAE">
      <w:pPr>
        <w:rPr>
          <w:rFonts w:ascii="Times New Roman" w:hAnsi="Times New Roman" w:cs="Times New Roman"/>
          <w:sz w:val="24"/>
          <w:szCs w:val="24"/>
        </w:rPr>
      </w:pPr>
      <w:r w:rsidRPr="00F97160">
        <w:rPr>
          <w:rFonts w:ascii="Times New Roman" w:hAnsi="Times New Roman" w:cs="Times New Roman"/>
          <w:sz w:val="24"/>
          <w:szCs w:val="24"/>
        </w:rPr>
        <w:t>The second it</w:t>
      </w:r>
      <w:r w:rsidR="00F25C74" w:rsidRPr="00F97160">
        <w:rPr>
          <w:rFonts w:ascii="Times New Roman" w:hAnsi="Times New Roman" w:cs="Times New Roman"/>
          <w:sz w:val="24"/>
          <w:szCs w:val="24"/>
        </w:rPr>
        <w:t>erations fares better, with a 0.04</w:t>
      </w:r>
      <w:r w:rsidRPr="00F97160">
        <w:rPr>
          <w:rFonts w:ascii="Times New Roman" w:hAnsi="Times New Roman" w:cs="Times New Roman"/>
          <w:sz w:val="24"/>
          <w:szCs w:val="24"/>
        </w:rPr>
        <w:t xml:space="preserve">% return over the same period. </w:t>
      </w:r>
      <w:r w:rsidR="00B01135" w:rsidRPr="00F97160">
        <w:rPr>
          <w:rFonts w:ascii="Times New Roman" w:hAnsi="Times New Roman" w:cs="Times New Roman"/>
          <w:sz w:val="24"/>
          <w:szCs w:val="24"/>
        </w:rPr>
        <w:t xml:space="preserve">It has a Sharpe Ratio of </w:t>
      </w:r>
      <w:r w:rsidR="00F25C74" w:rsidRPr="00F97160">
        <w:rPr>
          <w:rFonts w:ascii="Times New Roman" w:hAnsi="Times New Roman" w:cs="Times New Roman"/>
          <w:sz w:val="24"/>
          <w:szCs w:val="24"/>
        </w:rPr>
        <w:t>-0.079</w:t>
      </w:r>
      <w:r w:rsidR="00B01135" w:rsidRPr="00F97160">
        <w:rPr>
          <w:rFonts w:ascii="Times New Roman" w:hAnsi="Times New Roman" w:cs="Times New Roman"/>
          <w:sz w:val="24"/>
          <w:szCs w:val="24"/>
        </w:rPr>
        <w:t xml:space="preserve"> when measuring against Fed Funds Rate. </w:t>
      </w:r>
      <w:proofErr w:type="gramStart"/>
      <w:r w:rsidR="00B01135" w:rsidRPr="00F97160">
        <w:rPr>
          <w:rFonts w:ascii="Times New Roman" w:hAnsi="Times New Roman" w:cs="Times New Roman"/>
          <w:sz w:val="24"/>
          <w:szCs w:val="24"/>
        </w:rPr>
        <w:t>But</w:t>
      </w:r>
      <w:proofErr w:type="gramEnd"/>
      <w:r w:rsidR="00B01135" w:rsidRPr="00F97160">
        <w:rPr>
          <w:rFonts w:ascii="Times New Roman" w:hAnsi="Times New Roman" w:cs="Times New Roman"/>
          <w:sz w:val="24"/>
          <w:szCs w:val="24"/>
        </w:rPr>
        <w:t xml:space="preserve"> this increase in return may be due mostly to the hedging SPY legs</w:t>
      </w:r>
      <w:r w:rsidR="00F25C74" w:rsidRPr="00F97160">
        <w:rPr>
          <w:rFonts w:ascii="Times New Roman" w:hAnsi="Times New Roman" w:cs="Times New Roman"/>
          <w:sz w:val="24"/>
          <w:szCs w:val="24"/>
        </w:rPr>
        <w:t xml:space="preserve">, while the </w:t>
      </w:r>
      <w:r w:rsidR="00CB437A" w:rsidRPr="00F97160">
        <w:rPr>
          <w:rFonts w:ascii="Times New Roman" w:hAnsi="Times New Roman" w:cs="Times New Roman"/>
          <w:sz w:val="24"/>
          <w:szCs w:val="24"/>
        </w:rPr>
        <w:t>variance is</w:t>
      </w:r>
      <w:r w:rsidR="00F25C74" w:rsidRPr="00F97160">
        <w:rPr>
          <w:rFonts w:ascii="Times New Roman" w:hAnsi="Times New Roman" w:cs="Times New Roman"/>
          <w:sz w:val="24"/>
          <w:szCs w:val="24"/>
        </w:rPr>
        <w:t xml:space="preserve"> </w:t>
      </w:r>
      <w:r w:rsidR="00805E08" w:rsidRPr="00F97160">
        <w:rPr>
          <w:rFonts w:ascii="Times New Roman" w:hAnsi="Times New Roman" w:cs="Times New Roman"/>
          <w:sz w:val="24"/>
          <w:szCs w:val="24"/>
        </w:rPr>
        <w:t>very high</w:t>
      </w:r>
      <w:r w:rsidR="00B01135" w:rsidRPr="00F97160">
        <w:rPr>
          <w:rFonts w:ascii="Times New Roman" w:hAnsi="Times New Roman" w:cs="Times New Roman"/>
          <w:sz w:val="24"/>
          <w:szCs w:val="24"/>
        </w:rPr>
        <w:t>. Below is the equity curve of the modified strategy:</w:t>
      </w:r>
    </w:p>
    <w:p w:rsidR="00F25C74" w:rsidRPr="00F25C74" w:rsidRDefault="00F25C74" w:rsidP="00F25C74">
      <w:pPr>
        <w:widowControl/>
        <w:jc w:val="left"/>
        <w:rPr>
          <w:rFonts w:ascii="Times New Roman" w:eastAsia="宋体" w:hAnsi="Times New Roman" w:cs="Times New Roman"/>
          <w:kern w:val="0"/>
          <w:sz w:val="24"/>
          <w:szCs w:val="24"/>
        </w:rPr>
      </w:pPr>
      <w:r w:rsidRPr="00F97160">
        <w:rPr>
          <w:rFonts w:ascii="Times New Roman" w:eastAsia="宋体" w:hAnsi="Times New Roman" w:cs="Times New Roman"/>
          <w:noProof/>
          <w:kern w:val="0"/>
          <w:sz w:val="24"/>
          <w:szCs w:val="24"/>
        </w:rPr>
        <w:drawing>
          <wp:inline distT="0" distB="0" distL="0" distR="0">
            <wp:extent cx="5303520" cy="2822418"/>
            <wp:effectExtent l="0" t="0" r="0" b="0"/>
            <wp:docPr id="14" name="Picture 14" descr="C:\Users\联想\AppData\Local\Microsoft\Windows\INetCache\Content.MSO\D47B81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联想\AppData\Local\Microsoft\Windows\INetCache\Content.MSO\D47B811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6399" cy="2829272"/>
                    </a:xfrm>
                    <a:prstGeom prst="rect">
                      <a:avLst/>
                    </a:prstGeom>
                    <a:noFill/>
                    <a:ln>
                      <a:noFill/>
                    </a:ln>
                  </pic:spPr>
                </pic:pic>
              </a:graphicData>
            </a:graphic>
          </wp:inline>
        </w:drawing>
      </w:r>
    </w:p>
    <w:p w:rsidR="00B01135" w:rsidRPr="00F97160" w:rsidRDefault="00B01135" w:rsidP="00B01135">
      <w:pPr>
        <w:widowControl/>
        <w:jc w:val="left"/>
        <w:rPr>
          <w:rFonts w:ascii="Times New Roman" w:eastAsia="宋体" w:hAnsi="Times New Roman" w:cs="Times New Roman"/>
          <w:kern w:val="0"/>
          <w:sz w:val="24"/>
          <w:szCs w:val="24"/>
        </w:rPr>
      </w:pPr>
    </w:p>
    <w:p w:rsidR="00B01135" w:rsidRPr="00F97160" w:rsidRDefault="00B01135" w:rsidP="00FA6CAE">
      <w:pPr>
        <w:rPr>
          <w:rFonts w:ascii="Times New Roman" w:hAnsi="Times New Roman" w:cs="Times New Roman"/>
          <w:sz w:val="24"/>
          <w:szCs w:val="24"/>
        </w:rPr>
      </w:pPr>
      <w:r w:rsidRPr="00F97160">
        <w:rPr>
          <w:rFonts w:ascii="Times New Roman" w:hAnsi="Times New Roman" w:cs="Times New Roman"/>
          <w:sz w:val="24"/>
          <w:szCs w:val="24"/>
        </w:rPr>
        <w:t xml:space="preserve">More analysis and code implementation found in “3 </w:t>
      </w:r>
      <w:proofErr w:type="spellStart"/>
      <w:r w:rsidRPr="00F97160">
        <w:rPr>
          <w:rFonts w:ascii="Times New Roman" w:hAnsi="Times New Roman" w:cs="Times New Roman"/>
          <w:sz w:val="24"/>
          <w:szCs w:val="24"/>
        </w:rPr>
        <w:t>Backtesting</w:t>
      </w:r>
      <w:proofErr w:type="spellEnd"/>
      <w:r w:rsidRPr="00F97160">
        <w:rPr>
          <w:rFonts w:ascii="Times New Roman" w:hAnsi="Times New Roman" w:cs="Times New Roman"/>
          <w:sz w:val="24"/>
          <w:szCs w:val="24"/>
        </w:rPr>
        <w:t>”</w:t>
      </w:r>
      <w:bookmarkEnd w:id="0"/>
    </w:p>
    <w:sectPr w:rsidR="00B01135" w:rsidRPr="00F971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F2A46"/>
    <w:multiLevelType w:val="hybridMultilevel"/>
    <w:tmpl w:val="F224D1DA"/>
    <w:lvl w:ilvl="0" w:tplc="AEE65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CE"/>
    <w:rsid w:val="000A3494"/>
    <w:rsid w:val="0010798C"/>
    <w:rsid w:val="00251C80"/>
    <w:rsid w:val="003573D9"/>
    <w:rsid w:val="003A22E9"/>
    <w:rsid w:val="003C1ED7"/>
    <w:rsid w:val="00426BFA"/>
    <w:rsid w:val="006D7043"/>
    <w:rsid w:val="007448FC"/>
    <w:rsid w:val="007B40CE"/>
    <w:rsid w:val="00805E08"/>
    <w:rsid w:val="00976037"/>
    <w:rsid w:val="00B01135"/>
    <w:rsid w:val="00B75BE5"/>
    <w:rsid w:val="00CB437A"/>
    <w:rsid w:val="00F25C74"/>
    <w:rsid w:val="00F97160"/>
    <w:rsid w:val="00FA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66A1"/>
  <w15:chartTrackingRefBased/>
  <w15:docId w15:val="{3383EA77-ED39-4A0F-A69B-E4B7AF1F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8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85743">
      <w:bodyDiv w:val="1"/>
      <w:marLeft w:val="0"/>
      <w:marRight w:val="0"/>
      <w:marTop w:val="0"/>
      <w:marBottom w:val="0"/>
      <w:divBdr>
        <w:top w:val="none" w:sz="0" w:space="0" w:color="auto"/>
        <w:left w:val="none" w:sz="0" w:space="0" w:color="auto"/>
        <w:bottom w:val="none" w:sz="0" w:space="0" w:color="auto"/>
        <w:right w:val="none" w:sz="0" w:space="0" w:color="auto"/>
      </w:divBdr>
      <w:divsChild>
        <w:div w:id="473373321">
          <w:marLeft w:val="0"/>
          <w:marRight w:val="0"/>
          <w:marTop w:val="0"/>
          <w:marBottom w:val="0"/>
          <w:divBdr>
            <w:top w:val="none" w:sz="0" w:space="0" w:color="auto"/>
            <w:left w:val="none" w:sz="0" w:space="0" w:color="auto"/>
            <w:bottom w:val="none" w:sz="0" w:space="0" w:color="auto"/>
            <w:right w:val="none" w:sz="0" w:space="0" w:color="auto"/>
          </w:divBdr>
          <w:divsChild>
            <w:div w:id="7125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3235">
      <w:bodyDiv w:val="1"/>
      <w:marLeft w:val="0"/>
      <w:marRight w:val="0"/>
      <w:marTop w:val="0"/>
      <w:marBottom w:val="0"/>
      <w:divBdr>
        <w:top w:val="none" w:sz="0" w:space="0" w:color="auto"/>
        <w:left w:val="none" w:sz="0" w:space="0" w:color="auto"/>
        <w:bottom w:val="none" w:sz="0" w:space="0" w:color="auto"/>
        <w:right w:val="none" w:sz="0" w:space="0" w:color="auto"/>
      </w:divBdr>
      <w:divsChild>
        <w:div w:id="533159599">
          <w:marLeft w:val="0"/>
          <w:marRight w:val="0"/>
          <w:marTop w:val="0"/>
          <w:marBottom w:val="0"/>
          <w:divBdr>
            <w:top w:val="none" w:sz="0" w:space="0" w:color="auto"/>
            <w:left w:val="none" w:sz="0" w:space="0" w:color="auto"/>
            <w:bottom w:val="none" w:sz="0" w:space="0" w:color="auto"/>
            <w:right w:val="none" w:sz="0" w:space="0" w:color="auto"/>
          </w:divBdr>
        </w:div>
      </w:divsChild>
    </w:div>
    <w:div w:id="431170102">
      <w:bodyDiv w:val="1"/>
      <w:marLeft w:val="0"/>
      <w:marRight w:val="0"/>
      <w:marTop w:val="0"/>
      <w:marBottom w:val="0"/>
      <w:divBdr>
        <w:top w:val="none" w:sz="0" w:space="0" w:color="auto"/>
        <w:left w:val="none" w:sz="0" w:space="0" w:color="auto"/>
        <w:bottom w:val="none" w:sz="0" w:space="0" w:color="auto"/>
        <w:right w:val="none" w:sz="0" w:space="0" w:color="auto"/>
      </w:divBdr>
      <w:divsChild>
        <w:div w:id="2058892072">
          <w:marLeft w:val="0"/>
          <w:marRight w:val="0"/>
          <w:marTop w:val="0"/>
          <w:marBottom w:val="0"/>
          <w:divBdr>
            <w:top w:val="none" w:sz="0" w:space="0" w:color="auto"/>
            <w:left w:val="none" w:sz="0" w:space="0" w:color="auto"/>
            <w:bottom w:val="none" w:sz="0" w:space="0" w:color="auto"/>
            <w:right w:val="none" w:sz="0" w:space="0" w:color="auto"/>
          </w:divBdr>
        </w:div>
      </w:divsChild>
    </w:div>
    <w:div w:id="916400908">
      <w:bodyDiv w:val="1"/>
      <w:marLeft w:val="0"/>
      <w:marRight w:val="0"/>
      <w:marTop w:val="0"/>
      <w:marBottom w:val="0"/>
      <w:divBdr>
        <w:top w:val="none" w:sz="0" w:space="0" w:color="auto"/>
        <w:left w:val="none" w:sz="0" w:space="0" w:color="auto"/>
        <w:bottom w:val="none" w:sz="0" w:space="0" w:color="auto"/>
        <w:right w:val="none" w:sz="0" w:space="0" w:color="auto"/>
      </w:divBdr>
    </w:div>
    <w:div w:id="1219778311">
      <w:bodyDiv w:val="1"/>
      <w:marLeft w:val="0"/>
      <w:marRight w:val="0"/>
      <w:marTop w:val="0"/>
      <w:marBottom w:val="0"/>
      <w:divBdr>
        <w:top w:val="none" w:sz="0" w:space="0" w:color="auto"/>
        <w:left w:val="none" w:sz="0" w:space="0" w:color="auto"/>
        <w:bottom w:val="none" w:sz="0" w:space="0" w:color="auto"/>
        <w:right w:val="none" w:sz="0" w:space="0" w:color="auto"/>
      </w:divBdr>
      <w:divsChild>
        <w:div w:id="2066685689">
          <w:marLeft w:val="0"/>
          <w:marRight w:val="0"/>
          <w:marTop w:val="0"/>
          <w:marBottom w:val="0"/>
          <w:divBdr>
            <w:top w:val="none" w:sz="0" w:space="0" w:color="auto"/>
            <w:left w:val="none" w:sz="0" w:space="0" w:color="auto"/>
            <w:bottom w:val="none" w:sz="0" w:space="0" w:color="auto"/>
            <w:right w:val="none" w:sz="0" w:space="0" w:color="auto"/>
          </w:divBdr>
        </w:div>
      </w:divsChild>
    </w:div>
    <w:div w:id="1623804370">
      <w:bodyDiv w:val="1"/>
      <w:marLeft w:val="0"/>
      <w:marRight w:val="0"/>
      <w:marTop w:val="0"/>
      <w:marBottom w:val="0"/>
      <w:divBdr>
        <w:top w:val="none" w:sz="0" w:space="0" w:color="auto"/>
        <w:left w:val="none" w:sz="0" w:space="0" w:color="auto"/>
        <w:bottom w:val="none" w:sz="0" w:space="0" w:color="auto"/>
        <w:right w:val="none" w:sz="0" w:space="0" w:color="auto"/>
      </w:divBdr>
      <w:divsChild>
        <w:div w:id="666371011">
          <w:marLeft w:val="0"/>
          <w:marRight w:val="0"/>
          <w:marTop w:val="0"/>
          <w:marBottom w:val="0"/>
          <w:divBdr>
            <w:top w:val="none" w:sz="0" w:space="0" w:color="auto"/>
            <w:left w:val="none" w:sz="0" w:space="0" w:color="auto"/>
            <w:bottom w:val="none" w:sz="0" w:space="0" w:color="auto"/>
            <w:right w:val="none" w:sz="0" w:space="0" w:color="auto"/>
          </w:divBdr>
        </w:div>
      </w:divsChild>
    </w:div>
    <w:div w:id="1664237066">
      <w:bodyDiv w:val="1"/>
      <w:marLeft w:val="0"/>
      <w:marRight w:val="0"/>
      <w:marTop w:val="0"/>
      <w:marBottom w:val="0"/>
      <w:divBdr>
        <w:top w:val="none" w:sz="0" w:space="0" w:color="auto"/>
        <w:left w:val="none" w:sz="0" w:space="0" w:color="auto"/>
        <w:bottom w:val="none" w:sz="0" w:space="0" w:color="auto"/>
        <w:right w:val="none" w:sz="0" w:space="0" w:color="auto"/>
      </w:divBdr>
      <w:divsChild>
        <w:div w:id="1077895651">
          <w:marLeft w:val="0"/>
          <w:marRight w:val="0"/>
          <w:marTop w:val="0"/>
          <w:marBottom w:val="0"/>
          <w:divBdr>
            <w:top w:val="none" w:sz="0" w:space="0" w:color="auto"/>
            <w:left w:val="none" w:sz="0" w:space="0" w:color="auto"/>
            <w:bottom w:val="none" w:sz="0" w:space="0" w:color="auto"/>
            <w:right w:val="none" w:sz="0" w:space="0" w:color="auto"/>
          </w:divBdr>
          <w:divsChild>
            <w:div w:id="84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85E40-5E82-4801-AD95-A8BBB8F79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8</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联想</dc:creator>
  <cp:keywords/>
  <dc:description/>
  <cp:lastModifiedBy>联想</cp:lastModifiedBy>
  <cp:revision>9</cp:revision>
  <cp:lastPrinted>2024-08-05T15:57:00Z</cp:lastPrinted>
  <dcterms:created xsi:type="dcterms:W3CDTF">2024-08-05T01:52:00Z</dcterms:created>
  <dcterms:modified xsi:type="dcterms:W3CDTF">2024-08-05T15:59:00Z</dcterms:modified>
</cp:coreProperties>
</file>