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0"/>
      </w:pPr>
      <w:r>
        <w:rPr>
          <w:rFonts w:ascii="Calibri" w:hAnsi="Calibri"/>
          <w:b/>
          <w:i w:val="0"/>
          <w:color w:val="2E74B5"/>
          <w:sz w:val="20"/>
        </w:rPr>
        <w:t>FEHLER- UND UMSETZUNGSBERICHT</w:t>
      </w:r>
    </w:p>
    <w:p>
      <w:pPr>
        <w:spacing w:before="0" w:after="160"/>
      </w:pPr>
      <w:r>
        <w:rPr>
          <w:rFonts w:ascii="Calibri" w:hAnsi="Calibri"/>
          <w:b/>
          <w:i w:val="0"/>
          <w:color w:val="183B56"/>
          <w:sz w:val="56"/>
        </w:rPr>
        <w:t>Kontaktverwaltung &amp; Integrationen</w:t>
      </w:r>
    </w:p>
    <w:p>
      <w:pPr>
        <w:spacing w:after="360"/>
      </w:pPr>
      <w:r>
        <w:rPr>
          <w:rFonts w:ascii="Calibri" w:hAnsi="Calibri"/>
          <w:b w:val="0"/>
          <w:i w:val="0"/>
          <w:color w:val="667085"/>
          <w:sz w:val="27"/>
        </w:rPr>
        <w:t>Dokumentation der gemeldeten Punkte, umgesetzten Lösungen und Prüfungen</w:t>
      </w:r>
    </w:p>
    <w:tbl>
      <w:tblPr>
        <w:tblStyle w:val="TableGrid"/>
        <w:tblW w:type="dxa" w:w="9360"/>
        <w:jc w:val="center"/>
        <w:tblLayout w:type="fixed"/>
        <w:tblLook w:firstColumn="1" w:firstRow="1" w:lastColumn="0" w:lastRow="0" w:noHBand="0" w:noVBand="1" w:val="04A0"/>
        <w:tblLayout w:type="fixed"/>
        <w:tblInd w:w="120" w:type="dxa"/>
      </w:tblPr>
      <w:tblGrid>
        <w:gridCol w:w="1500"/>
        <w:gridCol w:w="3000"/>
        <w:gridCol w:w="1500"/>
        <w:gridCol w:w="3360"/>
      </w:tblGrid>
      <w:tr>
        <w:trPr>
          <w:cantSplit/>
        </w:trPr>
        <w:tc>
          <w:tcPr>
            <w:tcW w:type="dxa" w:w="15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0"/>
              </w:rPr>
              <w:t>Anwendung</w:t>
            </w:r>
          </w:p>
        </w:tc>
        <w:tc>
          <w:tcPr>
            <w:tcW w:type="dxa" w:w="3000"/>
            <w:tcMar>
              <w:top w:w="80" w:type="dxa"/>
              <w:start w:w="120" w:type="dxa"/>
              <w:bottom w:w="80" w:type="dxa"/>
              <w:end w:w="120" w:type="dxa"/>
            </w:tcMar>
            <w:vAlign w:val="center"/>
            <w:shd w:fill="FFFFFF"/>
          </w:tcPr>
          <w:p>
            <w:pPr>
              <w:spacing w:before="0" w:after="0" w:line="264" w:lineRule="auto"/>
            </w:pPr>
            <w:r>
              <w:rPr>
                <w:rFonts w:ascii="Calibri" w:hAnsi="Calibri"/>
                <w:b w:val="0"/>
                <w:i w:val="0"/>
                <w:color w:val="1D2939"/>
                <w:sz w:val="20"/>
              </w:rPr>
              <w:t>Sentimental Logic</w:t>
            </w:r>
          </w:p>
        </w:tc>
        <w:tc>
          <w:tcPr>
            <w:tcW w:type="dxa" w:w="15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0"/>
              </w:rPr>
              <w:t>Berichtsdatum</w:t>
            </w:r>
          </w:p>
        </w:tc>
        <w:tc>
          <w:tcPr>
            <w:tcW w:type="dxa" w:w="3360"/>
            <w:tcMar>
              <w:top w:w="80" w:type="dxa"/>
              <w:start w:w="120" w:type="dxa"/>
              <w:bottom w:w="80" w:type="dxa"/>
              <w:end w:w="120" w:type="dxa"/>
            </w:tcMar>
            <w:vAlign w:val="center"/>
            <w:shd w:fill="FFFFFF"/>
          </w:tcPr>
          <w:p>
            <w:pPr>
              <w:spacing w:before="0" w:after="0" w:line="264" w:lineRule="auto"/>
            </w:pPr>
            <w:r>
              <w:rPr>
                <w:rFonts w:ascii="Calibri" w:hAnsi="Calibri"/>
                <w:b w:val="0"/>
                <w:i w:val="0"/>
                <w:color w:val="1D2939"/>
                <w:sz w:val="20"/>
              </w:rPr>
              <w:t>11. August 2026</w:t>
            </w:r>
          </w:p>
        </w:tc>
      </w:tr>
      <w:tr>
        <w:trPr>
          <w:cantSplit/>
        </w:trPr>
        <w:tc>
          <w:tcPr>
            <w:tcW w:type="dxa" w:w="15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0"/>
              </w:rPr>
              <w:t>Auftraggeber</w:t>
            </w:r>
          </w:p>
        </w:tc>
        <w:tc>
          <w:tcPr>
            <w:tcW w:type="dxa" w:w="3000"/>
            <w:tcMar>
              <w:top w:w="80" w:type="dxa"/>
              <w:start w:w="120" w:type="dxa"/>
              <w:bottom w:w="80" w:type="dxa"/>
              <w:end w:w="120" w:type="dxa"/>
            </w:tcMar>
            <w:vAlign w:val="center"/>
            <w:shd w:fill="FFFFFF"/>
          </w:tcPr>
          <w:p>
            <w:pPr>
              <w:spacing w:before="0" w:after="0" w:line="264" w:lineRule="auto"/>
            </w:pPr>
            <w:r>
              <w:rPr>
                <w:rFonts w:ascii="Calibri" w:hAnsi="Calibri"/>
                <w:b w:val="0"/>
                <w:i w:val="0"/>
                <w:color w:val="1D2939"/>
                <w:sz w:val="20"/>
              </w:rPr>
              <w:t>Online First</w:t>
            </w:r>
          </w:p>
        </w:tc>
        <w:tc>
          <w:tcPr>
            <w:tcW w:type="dxa" w:w="15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0"/>
              </w:rPr>
              <w:t>Technischer Stand</w:t>
            </w:r>
          </w:p>
        </w:tc>
        <w:tc>
          <w:tcPr>
            <w:tcW w:type="dxa" w:w="3360"/>
            <w:tcMar>
              <w:top w:w="80" w:type="dxa"/>
              <w:start w:w="120" w:type="dxa"/>
              <w:bottom w:w="80" w:type="dxa"/>
              <w:end w:w="120" w:type="dxa"/>
            </w:tcMar>
            <w:vAlign w:val="center"/>
            <w:shd w:fill="FFFFFF"/>
          </w:tcPr>
          <w:p>
            <w:pPr>
              <w:spacing w:before="0" w:after="0" w:line="264" w:lineRule="auto"/>
            </w:pPr>
            <w:r>
              <w:rPr>
                <w:rFonts w:ascii="Calibri" w:hAnsi="Calibri"/>
                <w:b w:val="0"/>
                <w:i w:val="0"/>
                <w:color w:val="1D2939"/>
                <w:sz w:val="20"/>
              </w:rPr>
              <w:t>main · 67d890d</w:t>
            </w:r>
          </w:p>
        </w:tc>
      </w:tr>
    </w:tbl>
    <w:p>
      <w:pPr>
        <w:pStyle w:val="Heading1"/>
        <w:keepNext/>
      </w:pPr>
      <w:r>
        <w:t>Ergebnis auf einen Blick</w:t>
      </w:r>
    </w:p>
    <w:tbl>
      <w:tblPr>
        <w:tblStyle w:val="TableGrid"/>
        <w:tblW w:type="dxa" w:w="9360"/>
        <w:jc w:val="center"/>
        <w:tblLayout w:type="fixed"/>
        <w:tblLook w:firstColumn="1" w:firstRow="1" w:lastColumn="0" w:lastRow="0" w:noHBand="0" w:noVBand="1" w:val="04A0"/>
        <w:tblLayout w:type="fixed"/>
        <w:tblInd w:w="120" w:type="dxa"/>
      </w:tblPr>
      <w:tblGrid>
        <w:gridCol w:w="2200"/>
        <w:gridCol w:w="7160"/>
      </w:tblGrid>
      <w:tr>
        <w:trPr>
          <w:cantSplit/>
        </w:trPr>
        <w:tc>
          <w:tcPr>
            <w:tcW w:type="dxa" w:w="2200"/>
            <w:tcMar>
              <w:top w:w="80" w:type="dxa"/>
              <w:start w:w="120" w:type="dxa"/>
              <w:bottom w:w="80" w:type="dxa"/>
              <w:end w:w="120" w:type="dxa"/>
            </w:tcMar>
            <w:vAlign w:val="center"/>
            <w:shd w:fill="EAF7F0"/>
          </w:tcPr>
          <w:p>
            <w:pPr>
              <w:spacing w:before="0" w:after="0" w:line="264" w:lineRule="auto"/>
            </w:pPr>
            <w:r>
              <w:rPr>
                <w:rFonts w:ascii="Calibri" w:hAnsi="Calibri"/>
                <w:b/>
                <w:i w:val="0"/>
                <w:color w:val="1F7A4D"/>
                <w:sz w:val="21"/>
              </w:rPr>
              <w:t>9 von 10</w:t>
            </w:r>
          </w:p>
        </w:tc>
        <w:tc>
          <w:tcPr>
            <w:tcW w:type="dxa" w:w="7160"/>
            <w:tcMar>
              <w:top w:w="80" w:type="dxa"/>
              <w:start w:w="120" w:type="dxa"/>
              <w:bottom w:w="80" w:type="dxa"/>
              <w:end w:w="120" w:type="dxa"/>
            </w:tcMar>
            <w:vAlign w:val="center"/>
            <w:shd w:fill="EAF7F0"/>
          </w:tcPr>
          <w:p>
            <w:pPr>
              <w:spacing w:before="0" w:after="0" w:line="264" w:lineRule="auto"/>
            </w:pPr>
            <w:r>
              <w:rPr>
                <w:rFonts w:ascii="Calibri" w:hAnsi="Calibri"/>
                <w:b w:val="0"/>
                <w:i w:val="0"/>
                <w:color w:val="1F7A4D"/>
                <w:sz w:val="21"/>
              </w:rPr>
              <w:t>Umgesetzt und technisch bzw. produktiv geprüft.</w:t>
            </w:r>
          </w:p>
        </w:tc>
      </w:tr>
    </w:tbl>
    <w:p>
      <w:pPr>
        <w:spacing w:after="40"/>
      </w:pPr>
    </w:p>
    <w:tbl>
      <w:tblPr>
        <w:tblStyle w:val="TableGrid"/>
        <w:tblW w:type="dxa" w:w="9360"/>
        <w:jc w:val="center"/>
        <w:tblLayout w:type="fixed"/>
        <w:tblLook w:firstColumn="1" w:firstRow="1" w:lastColumn="0" w:lastRow="0" w:noHBand="0" w:noVBand="1" w:val="04A0"/>
        <w:tblLayout w:type="fixed"/>
        <w:tblInd w:w="120" w:type="dxa"/>
      </w:tblPr>
      <w:tblGrid>
        <w:gridCol w:w="2200"/>
        <w:gridCol w:w="7160"/>
      </w:tblGrid>
      <w:tr>
        <w:trPr>
          <w:cantSplit/>
        </w:trPr>
        <w:tc>
          <w:tcPr>
            <w:tcW w:type="dxa" w:w="2200"/>
            <w:tcMar>
              <w:top w:w="80" w:type="dxa"/>
              <w:start w:w="120" w:type="dxa"/>
              <w:bottom w:w="80" w:type="dxa"/>
              <w:end w:w="120" w:type="dxa"/>
            </w:tcMar>
            <w:vAlign w:val="center"/>
            <w:shd w:fill="EAF7F0"/>
          </w:tcPr>
          <w:p>
            <w:pPr>
              <w:spacing w:before="0" w:after="0" w:line="264" w:lineRule="auto"/>
            </w:pPr>
            <w:r>
              <w:rPr>
                <w:rFonts w:ascii="Calibri" w:hAnsi="Calibri"/>
                <w:b/>
                <w:i w:val="0"/>
                <w:color w:val="1F7A4D"/>
                <w:sz w:val="21"/>
              </w:rPr>
              <w:t>Testdaten</w:t>
            </w:r>
          </w:p>
        </w:tc>
        <w:tc>
          <w:tcPr>
            <w:tcW w:type="dxa" w:w="7160"/>
            <w:tcMar>
              <w:top w:w="80" w:type="dxa"/>
              <w:start w:w="120" w:type="dxa"/>
              <w:bottom w:w="80" w:type="dxa"/>
              <w:end w:w="120" w:type="dxa"/>
            </w:tcMar>
            <w:vAlign w:val="center"/>
            <w:shd w:fill="EAF7F0"/>
          </w:tcPr>
          <w:p>
            <w:pPr>
              <w:spacing w:before="0" w:after="0" w:line="264" w:lineRule="auto"/>
            </w:pPr>
            <w:r>
              <w:rPr>
                <w:rFonts w:ascii="Calibri" w:hAnsi="Calibri"/>
                <w:b w:val="0"/>
                <w:i w:val="0"/>
                <w:color w:val="1F7A4D"/>
                <w:sz w:val="21"/>
              </w:rPr>
              <w:t>16 markierte Testkontakte, 23 Aktivitäten und 7 markierte Aufgaben kontrolliert entfernt.</w:t>
            </w:r>
          </w:p>
        </w:tc>
      </w:tr>
    </w:tbl>
    <w:p>
      <w:pPr>
        <w:spacing w:after="40"/>
      </w:pPr>
    </w:p>
    <w:tbl>
      <w:tblPr>
        <w:tblStyle w:val="TableGrid"/>
        <w:tblW w:type="dxa" w:w="9360"/>
        <w:jc w:val="center"/>
        <w:tblLayout w:type="fixed"/>
        <w:tblLook w:firstColumn="1" w:firstRow="1" w:lastColumn="0" w:lastRow="0" w:noHBand="0" w:noVBand="1" w:val="04A0"/>
        <w:tblLayout w:type="fixed"/>
        <w:tblInd w:w="120" w:type="dxa"/>
      </w:tblPr>
      <w:tblGrid>
        <w:gridCol w:w="2200"/>
        <w:gridCol w:w="7160"/>
      </w:tblGrid>
      <w:tr>
        <w:trPr>
          <w:cantSplit/>
        </w:trPr>
        <w:tc>
          <w:tcPr>
            <w:tcW w:type="dxa" w:w="2200"/>
            <w:tcMar>
              <w:top w:w="80" w:type="dxa"/>
              <w:start w:w="120" w:type="dxa"/>
              <w:bottom w:w="80" w:type="dxa"/>
              <w:end w:w="120" w:type="dxa"/>
            </w:tcMar>
            <w:vAlign w:val="center"/>
            <w:shd w:fill="FFF4D6"/>
          </w:tcPr>
          <w:p>
            <w:pPr>
              <w:spacing w:before="0" w:after="0" w:line="264" w:lineRule="auto"/>
            </w:pPr>
            <w:r>
              <w:rPr>
                <w:rFonts w:ascii="Calibri" w:hAnsi="Calibri"/>
                <w:b/>
                <w:i w:val="0"/>
                <w:color w:val="8A5A00"/>
                <w:sz w:val="21"/>
              </w:rPr>
              <w:t>1 Abnahme</w:t>
            </w:r>
          </w:p>
        </w:tc>
        <w:tc>
          <w:tcPr>
            <w:tcW w:type="dxa" w:w="7160"/>
            <w:tcMar>
              <w:top w:w="80" w:type="dxa"/>
              <w:start w:w="120" w:type="dxa"/>
              <w:bottom w:w="80" w:type="dxa"/>
              <w:end w:w="120" w:type="dxa"/>
            </w:tcMar>
            <w:vAlign w:val="center"/>
            <w:shd w:fill="FFF4D6"/>
          </w:tcPr>
          <w:p>
            <w:pPr>
              <w:spacing w:before="0" w:after="0" w:line="264" w:lineRule="auto"/>
            </w:pPr>
            <w:r>
              <w:rPr>
                <w:rFonts w:ascii="Calibri" w:hAnsi="Calibri"/>
                <w:b w:val="0"/>
                <w:i w:val="0"/>
                <w:color w:val="8A5A00"/>
                <w:sz w:val="21"/>
              </w:rPr>
              <w:t>Das SuperChat-Gesprächslabel benötigt noch eine produktive Dienstprüfung.</w:t>
            </w:r>
          </w:p>
        </w:tc>
      </w:tr>
    </w:tbl>
    <w:p>
      <w:pPr>
        <w:spacing w:after="40"/>
      </w:pPr>
    </w:p>
    <w:p>
      <w:pPr>
        <w:keepNext w:val="0"/>
        <w:spacing w:before="0" w:after="160" w:line="264" w:lineRule="auto"/>
      </w:pPr>
      <w:r>
        <w:rPr>
          <w:rFonts w:ascii="Calibri" w:hAnsi="Calibri"/>
          <w:b w:val="0"/>
          <w:i w:val="0"/>
          <w:color w:val="1D2939"/>
          <w:sz w:val="22"/>
        </w:rPr>
        <w:t>Die gemeldeten Bedienungsprobleme und Funktionswünsche wurden in einem zusammenhängenden Änderungspaket bearbeitet. Die Kontaktverwaltung bleibt beim Rücksprung im Arbeitskontext, bietet vier fachliche Ansichten und zeigt den Status deutlich über die gesamte Zeile. Die Detailseite wurde reduziert und um den Erstgespräch-PDF-Export ergänzt.</w:t>
      </w:r>
    </w:p>
    <w:p>
      <w:pPr>
        <w:pStyle w:val="Heading2"/>
        <w:keepNext/>
      </w:pPr>
      <w:r>
        <w:t>Abnahmekriterien</w:t>
      </w:r>
    </w:p>
    <w:p>
      <w:pPr>
        <w:pStyle w:val="ListBullet"/>
        <w:spacing w:before="0" w:after="160" w:line="280" w:lineRule="auto"/>
      </w:pPr>
      <w:r>
        <w:rPr>
          <w:rFonts w:ascii="Calibri" w:hAnsi="Calibri"/>
          <w:b w:val="0"/>
          <w:i w:val="0"/>
          <w:color w:val="1D2939"/>
          <w:sz w:val="22"/>
        </w:rPr>
        <w:t>Kein Verlust von Suche, Ansicht oder Sortierung beim Rücksprung aus einem Kontakt.</w:t>
      </w:r>
    </w:p>
    <w:p>
      <w:pPr>
        <w:pStyle w:val="ListBullet"/>
        <w:spacing w:before="0" w:after="160" w:line="280" w:lineRule="auto"/>
      </w:pPr>
      <w:r>
        <w:rPr>
          <w:rFonts w:ascii="Calibri" w:hAnsi="Calibri"/>
          <w:b w:val="0"/>
          <w:i w:val="0"/>
          <w:color w:val="1D2939"/>
          <w:sz w:val="22"/>
        </w:rPr>
        <w:t>Fachlich eindeutige Trennung in Alle, Leads, Kunden und Nicht interessierte.</w:t>
      </w:r>
    </w:p>
    <w:p>
      <w:pPr>
        <w:pStyle w:val="ListBullet"/>
        <w:spacing w:before="0" w:after="160" w:line="280" w:lineRule="auto"/>
      </w:pPr>
      <w:r>
        <w:rPr>
          <w:rFonts w:ascii="Calibri" w:hAnsi="Calibri"/>
          <w:b w:val="0"/>
          <w:i w:val="0"/>
          <w:color w:val="1D2939"/>
          <w:sz w:val="22"/>
        </w:rPr>
        <w:t>Keine Sichtbarkeit markierter Testkontakte oder zugehöriger Aufgaben ohne persönliche Freigabe.</w:t>
      </w:r>
    </w:p>
    <w:p>
      <w:pPr>
        <w:pStyle w:val="ListBullet"/>
        <w:spacing w:before="0" w:after="160" w:line="280" w:lineRule="auto"/>
      </w:pPr>
      <w:r>
        <w:rPr>
          <w:rFonts w:ascii="Calibri" w:hAnsi="Calibri"/>
          <w:b w:val="0"/>
          <w:i w:val="0"/>
          <w:color w:val="1D2939"/>
          <w:sz w:val="22"/>
        </w:rPr>
        <w:t>Nachvollziehbare, geschützte Datenkorrekturen ohne pauschales Löschen oder Überschreiben fremder Integrations-Tags.</w:t>
      </w:r>
    </w:p>
    <w:p>
      <w:pPr>
        <w:pStyle w:val="ListBullet"/>
        <w:spacing w:before="0" w:after="160" w:line="280" w:lineRule="auto"/>
      </w:pPr>
      <w:r>
        <w:rPr>
          <w:rFonts w:ascii="Calibri" w:hAnsi="Calibri"/>
          <w:b w:val="0"/>
          <w:i w:val="0"/>
          <w:color w:val="1D2939"/>
          <w:sz w:val="22"/>
        </w:rPr>
        <w:t>Neue Kernabläufe sind im Regressionstest-Katalog dokumentiert.</w:t>
      </w:r>
    </w:p>
    <w:p>
      <w:r>
        <w:br w:type="page"/>
      </w:r>
    </w:p>
    <w:p>
      <w:pPr>
        <w:pStyle w:val="Heading1"/>
        <w:keepNext/>
      </w:pPr>
      <w:r>
        <w:t>Dokumentierte Meldungen und Lösungen</w:t>
      </w:r>
    </w:p>
    <w:p>
      <w:pPr>
        <w:pStyle w:val="Heading2"/>
        <w:keepNext/>
      </w:pPr>
      <w:r>
        <w:t>1. Filter und Sortierung beim Rücksprung erhalten</w:t>
      </w:r>
    </w:p>
    <w:tbl>
      <w:tblPr>
        <w:tblStyle w:val="TableGrid"/>
        <w:tblW w:type="dxa" w:w="9360"/>
        <w:jc w:val="center"/>
        <w:tblLayout w:type="fixed"/>
        <w:tblLook w:firstColumn="1" w:firstRow="1" w:lastColumn="0" w:lastRow="0" w:noHBand="0" w:noVBand="1" w:val="04A0"/>
        <w:tblLayout w:type="fixed"/>
        <w:tblInd w:w="120" w:type="dxa"/>
      </w:tblPr>
      <w:tblGrid>
        <w:gridCol w:w="1800"/>
        <w:gridCol w:w="7560"/>
      </w:tblGrid>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Gemeldet</w:t>
            </w:r>
          </w:p>
        </w:tc>
        <w:tc>
          <w:tcPr>
            <w:tcW w:type="dxa" w:w="756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Nach dem Öffnen eines Kontakts gingen die zuvor gesetzte Ansicht, Suche und Sortierung verloren.</w:t>
            </w:r>
          </w:p>
        </w:tc>
      </w:tr>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Lösung</w:t>
            </w:r>
          </w:p>
        </w:tc>
        <w:tc>
          <w:tcPr>
            <w:tcW w:type="dxa" w:w="756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Die Kontaktübersicht schreibt Ansicht, Suche, Sparte und Sortierung in die Seitenadresse. Jeder Kontaktlink führt zusätzlich eine sichere Rücksprungadresse mit. „Zurück“ öffnet dadurch exakt den vorherigen Arbeitsstand.</w:t>
            </w:r>
          </w:p>
        </w:tc>
      </w:tr>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Prüfung</w:t>
            </w:r>
          </w:p>
        </w:tc>
        <w:tc>
          <w:tcPr>
            <w:tcW w:type="dxa" w:w="756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Neuer Regressionstest E2E-028 prüft Suche, Sortierung, Detailnavigation und Rückkehr in denselben Zustand.</w:t>
            </w:r>
          </w:p>
        </w:tc>
      </w:tr>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Status</w:t>
            </w:r>
          </w:p>
        </w:tc>
        <w:tc>
          <w:tcPr>
            <w:tcW w:type="dxa" w:w="7560"/>
            <w:tcMar>
              <w:top w:w="80" w:type="dxa"/>
              <w:start w:w="120" w:type="dxa"/>
              <w:bottom w:w="80" w:type="dxa"/>
              <w:end w:w="120" w:type="dxa"/>
            </w:tcMar>
            <w:vAlign w:val="center"/>
            <w:shd w:fill="EAF7F0"/>
          </w:tcPr>
          <w:p>
            <w:pPr>
              <w:spacing w:before="0" w:after="0" w:line="264" w:lineRule="auto"/>
            </w:pPr>
            <w:r>
              <w:rPr>
                <w:rFonts w:ascii="Calibri" w:hAnsi="Calibri"/>
                <w:b w:val="0"/>
                <w:i w:val="0"/>
                <w:color w:val="1F7A4D"/>
                <w:sz w:val="21"/>
              </w:rPr>
              <w:t>Umgesetzt und technisch geprüft</w:t>
            </w:r>
          </w:p>
        </w:tc>
      </w:tr>
    </w:tbl>
    <w:p>
      <w:pPr>
        <w:spacing w:after="60"/>
      </w:pPr>
    </w:p>
    <w:p>
      <w:pPr>
        <w:pStyle w:val="Heading2"/>
        <w:keepNext/>
      </w:pPr>
      <w:r>
        <w:t>2. Vier fachliche Kontaktansichten</w:t>
      </w:r>
    </w:p>
    <w:tbl>
      <w:tblPr>
        <w:tblStyle w:val="TableGrid"/>
        <w:tblW w:type="dxa" w:w="9360"/>
        <w:jc w:val="center"/>
        <w:tblLayout w:type="fixed"/>
        <w:tblLook w:firstColumn="1" w:firstRow="1" w:lastColumn="0" w:lastRow="0" w:noHBand="0" w:noVBand="1" w:val="04A0"/>
        <w:tblLayout w:type="fixed"/>
        <w:tblInd w:w="120" w:type="dxa"/>
      </w:tblPr>
      <w:tblGrid>
        <w:gridCol w:w="1800"/>
        <w:gridCol w:w="7560"/>
      </w:tblGrid>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Gemeldet</w:t>
            </w:r>
          </w:p>
        </w:tc>
        <w:tc>
          <w:tcPr>
            <w:tcW w:type="dxa" w:w="756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Benötigt wurden insgesamt die Ansichten „Alle“, „Leads“, „Kunden“ und „Nicht interessierte“.</w:t>
            </w:r>
          </w:p>
        </w:tc>
      </w:tr>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Lösung</w:t>
            </w:r>
          </w:p>
        </w:tc>
        <w:tc>
          <w:tcPr>
            <w:tcW w:type="dxa" w:w="756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Die Übersicht bietet genau diese vier Ansichten. Leads schließen die Status „Kunde“ und „Nicht interessiert“ aus. Kunden und Nicht interessierte werden jeweils über ihren Status abgegrenzt.</w:t>
            </w:r>
          </w:p>
        </w:tc>
      </w:tr>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Prüfung</w:t>
            </w:r>
          </w:p>
        </w:tc>
        <w:tc>
          <w:tcPr>
            <w:tcW w:type="dxa" w:w="756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E2E-028 prüft die vier Optionen und die fachliche Filterlogik.</w:t>
            </w:r>
          </w:p>
        </w:tc>
      </w:tr>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Status</w:t>
            </w:r>
          </w:p>
        </w:tc>
        <w:tc>
          <w:tcPr>
            <w:tcW w:type="dxa" w:w="7560"/>
            <w:tcMar>
              <w:top w:w="80" w:type="dxa"/>
              <w:start w:w="120" w:type="dxa"/>
              <w:bottom w:w="80" w:type="dxa"/>
              <w:end w:w="120" w:type="dxa"/>
            </w:tcMar>
            <w:vAlign w:val="center"/>
            <w:shd w:fill="EAF7F0"/>
          </w:tcPr>
          <w:p>
            <w:pPr>
              <w:spacing w:before="0" w:after="0" w:line="264" w:lineRule="auto"/>
            </w:pPr>
            <w:r>
              <w:rPr>
                <w:rFonts w:ascii="Calibri" w:hAnsi="Calibri"/>
                <w:b w:val="0"/>
                <w:i w:val="0"/>
                <w:color w:val="1F7A4D"/>
                <w:sz w:val="21"/>
              </w:rPr>
              <w:t>Umgesetzt und technisch geprüft</w:t>
            </w:r>
          </w:p>
        </w:tc>
      </w:tr>
    </w:tbl>
    <w:p>
      <w:pPr>
        <w:spacing w:after="60"/>
      </w:pPr>
    </w:p>
    <w:p>
      <w:pPr>
        <w:pStyle w:val="Heading2"/>
        <w:keepNext/>
      </w:pPr>
      <w:r>
        <w:t>3. Statusfarbe auf der gesamten Kontaktzeile</w:t>
      </w:r>
    </w:p>
    <w:tbl>
      <w:tblPr>
        <w:tblStyle w:val="TableGrid"/>
        <w:tblW w:type="dxa" w:w="9360"/>
        <w:jc w:val="center"/>
        <w:tblLayout w:type="fixed"/>
        <w:tblLook w:firstColumn="1" w:firstRow="1" w:lastColumn="0" w:lastRow="0" w:noHBand="0" w:noVBand="1" w:val="04A0"/>
        <w:tblLayout w:type="fixed"/>
        <w:tblInd w:w="120" w:type="dxa"/>
      </w:tblPr>
      <w:tblGrid>
        <w:gridCol w:w="1800"/>
        <w:gridCol w:w="7560"/>
      </w:tblGrid>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Gemeldet</w:t>
            </w:r>
          </w:p>
        </w:tc>
        <w:tc>
          <w:tcPr>
            <w:tcW w:type="dxa" w:w="756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Bisher war nur der Statustext farblich markiert; die komplette Zeile sollte die in den Einstellungen konfigurierte Statusfarbe erhalten.</w:t>
            </w:r>
          </w:p>
        </w:tc>
      </w:tr>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Lösung</w:t>
            </w:r>
          </w:p>
        </w:tc>
        <w:tc>
          <w:tcPr>
            <w:tcW w:type="dxa" w:w="756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Desktop-Zeilen und mobile Kontaktkarten erhalten nun eine dezente Hintergrundfarbe aus der Statuskonfiguration. Der Statustext bleibt zusätzlich lesbar hervorgehoben.</w:t>
            </w:r>
          </w:p>
        </w:tc>
      </w:tr>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Prüfung</w:t>
            </w:r>
          </w:p>
        </w:tc>
        <w:tc>
          <w:tcPr>
            <w:tcW w:type="dxa" w:w="756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E2E-028 kontrolliert, dass die Kontaktzeile die statusabhängige Farbklasse trägt.</w:t>
            </w:r>
          </w:p>
        </w:tc>
      </w:tr>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Status</w:t>
            </w:r>
          </w:p>
        </w:tc>
        <w:tc>
          <w:tcPr>
            <w:tcW w:type="dxa" w:w="7560"/>
            <w:tcMar>
              <w:top w:w="80" w:type="dxa"/>
              <w:start w:w="120" w:type="dxa"/>
              <w:bottom w:w="80" w:type="dxa"/>
              <w:end w:w="120" w:type="dxa"/>
            </w:tcMar>
            <w:vAlign w:val="center"/>
            <w:shd w:fill="EAF7F0"/>
          </w:tcPr>
          <w:p>
            <w:pPr>
              <w:spacing w:before="0" w:after="0" w:line="264" w:lineRule="auto"/>
            </w:pPr>
            <w:r>
              <w:rPr>
                <w:rFonts w:ascii="Calibri" w:hAnsi="Calibri"/>
                <w:b w:val="0"/>
                <w:i w:val="0"/>
                <w:color w:val="1F7A4D"/>
                <w:sz w:val="21"/>
              </w:rPr>
              <w:t>Umgesetzt und technisch geprüft</w:t>
            </w:r>
          </w:p>
        </w:tc>
      </w:tr>
    </w:tbl>
    <w:p>
      <w:pPr>
        <w:spacing w:after="60"/>
      </w:pPr>
    </w:p>
    <w:p>
      <w:pPr>
        <w:pStyle w:val="Heading2"/>
        <w:keepNext/>
      </w:pPr>
      <w:r>
        <w:t>4. Obere Filterleiste vereinfachen</w:t>
      </w:r>
    </w:p>
    <w:tbl>
      <w:tblPr>
        <w:tblStyle w:val="TableGrid"/>
        <w:tblW w:type="dxa" w:w="9360"/>
        <w:jc w:val="center"/>
        <w:tblLayout w:type="fixed"/>
        <w:tblLook w:firstColumn="1" w:firstRow="1" w:lastColumn="0" w:lastRow="0" w:noHBand="0" w:noVBand="1" w:val="04A0"/>
        <w:tblLayout w:type="fixed"/>
        <w:tblInd w:w="120" w:type="dxa"/>
      </w:tblPr>
      <w:tblGrid>
        <w:gridCol w:w="1800"/>
        <w:gridCol w:w="7560"/>
      </w:tblGrid>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Gemeldet</w:t>
            </w:r>
          </w:p>
        </w:tc>
        <w:tc>
          <w:tcPr>
            <w:tcW w:type="dxa" w:w="756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Quelle, Schritt, Typ, Prüfungsgrund, Tags und das Archiv-Flag sollten aus der oberen Filterleiste entfernt werden.</w:t>
            </w:r>
          </w:p>
        </w:tc>
      </w:tr>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Lösung</w:t>
            </w:r>
          </w:p>
        </w:tc>
        <w:tc>
          <w:tcPr>
            <w:tcW w:type="dxa" w:w="756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Die genannten Felder wurden aus der sichtbaren Filterleiste und aus der lokalen Filterlogik entfernt. Verblieben sind die für den täglichen Arbeitsablauf benötigten Elemente: Ansicht, Suche, Sparte und Sortierung.</w:t>
            </w:r>
          </w:p>
        </w:tc>
      </w:tr>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Prüfung</w:t>
            </w:r>
          </w:p>
        </w:tc>
        <w:tc>
          <w:tcPr>
            <w:tcW w:type="dxa" w:w="756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E2E-028 stellt sicher, dass die entfernten Filter nicht mehr angeboten werden.</w:t>
            </w:r>
          </w:p>
        </w:tc>
      </w:tr>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Status</w:t>
            </w:r>
          </w:p>
        </w:tc>
        <w:tc>
          <w:tcPr>
            <w:tcW w:type="dxa" w:w="7560"/>
            <w:tcMar>
              <w:top w:w="80" w:type="dxa"/>
              <w:start w:w="120" w:type="dxa"/>
              <w:bottom w:w="80" w:type="dxa"/>
              <w:end w:w="120" w:type="dxa"/>
            </w:tcMar>
            <w:vAlign w:val="center"/>
            <w:shd w:fill="EAF7F0"/>
          </w:tcPr>
          <w:p>
            <w:pPr>
              <w:spacing w:before="0" w:after="0" w:line="264" w:lineRule="auto"/>
            </w:pPr>
            <w:r>
              <w:rPr>
                <w:rFonts w:ascii="Calibri" w:hAnsi="Calibri"/>
                <w:b w:val="0"/>
                <w:i w:val="0"/>
                <w:color w:val="1F7A4D"/>
                <w:sz w:val="21"/>
              </w:rPr>
              <w:t>Umgesetzt und technisch geprüft</w:t>
            </w:r>
          </w:p>
        </w:tc>
      </w:tr>
    </w:tbl>
    <w:p>
      <w:pPr>
        <w:spacing w:after="60"/>
      </w:pPr>
    </w:p>
    <w:p>
      <w:pPr>
        <w:pStyle w:val="Heading2"/>
        <w:keepNext/>
      </w:pPr>
      <w:r>
        <w:t>5. Erstgespräch als PDF herunterladen</w:t>
      </w:r>
    </w:p>
    <w:tbl>
      <w:tblPr>
        <w:tblStyle w:val="TableGrid"/>
        <w:tblW w:type="dxa" w:w="9360"/>
        <w:jc w:val="center"/>
        <w:tblLayout w:type="fixed"/>
        <w:tblLook w:firstColumn="1" w:firstRow="1" w:lastColumn="0" w:lastRow="0" w:noHBand="0" w:noVBand="1" w:val="04A0"/>
        <w:tblLayout w:type="fixed"/>
        <w:tblInd w:w="120" w:type="dxa"/>
      </w:tblPr>
      <w:tblGrid>
        <w:gridCol w:w="1800"/>
        <w:gridCol w:w="7560"/>
      </w:tblGrid>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Gemeldet</w:t>
            </w:r>
          </w:p>
        </w:tc>
        <w:tc>
          <w:tcPr>
            <w:tcW w:type="dxa" w:w="756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Am Ende des Erstgespräch-Bereichs wurde ein PDF-Download mit den Feldern aus der geöffneten Bearbeitungsansicht benötigt. Leere Felder sollen optional sein; Kommentare und Aufgaben gehören nicht in das PDF.</w:t>
            </w:r>
          </w:p>
        </w:tc>
      </w:tr>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Lösung</w:t>
            </w:r>
          </w:p>
        </w:tc>
        <w:tc>
          <w:tcPr>
            <w:tcW w:type="dxa" w:w="756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Im Erstgespräch-Bereich steht nun die Option „Leere Felder im PDF ausgeben“ sowie der Download bereit. Das PDF enthält Stamm- und Spartengesprächsfelder, die im Erstgespräch bearbeitet werden; Kommentare und Aufgaben werden nicht übernommen. Noch nicht gespeicherte Änderungen werden vor dem Download gespeichert.</w:t>
            </w:r>
          </w:p>
        </w:tc>
      </w:tr>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Prüfung</w:t>
            </w:r>
          </w:p>
        </w:tc>
        <w:tc>
          <w:tcPr>
            <w:tcW w:type="dxa" w:w="756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E2E-029 prüft Bedienung und PDF-Endpunkt; der Produktions-Build rendert die neue PDF-Route erfolgreich.</w:t>
            </w:r>
          </w:p>
        </w:tc>
      </w:tr>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Status</w:t>
            </w:r>
          </w:p>
        </w:tc>
        <w:tc>
          <w:tcPr>
            <w:tcW w:type="dxa" w:w="7560"/>
            <w:tcMar>
              <w:top w:w="80" w:type="dxa"/>
              <w:start w:w="120" w:type="dxa"/>
              <w:bottom w:w="80" w:type="dxa"/>
              <w:end w:w="120" w:type="dxa"/>
            </w:tcMar>
            <w:vAlign w:val="center"/>
            <w:shd w:fill="EAF7F0"/>
          </w:tcPr>
          <w:p>
            <w:pPr>
              <w:spacing w:before="0" w:after="0" w:line="264" w:lineRule="auto"/>
            </w:pPr>
            <w:r>
              <w:rPr>
                <w:rFonts w:ascii="Calibri" w:hAnsi="Calibri"/>
                <w:b w:val="0"/>
                <w:i w:val="0"/>
                <w:color w:val="1F7A4D"/>
                <w:sz w:val="21"/>
              </w:rPr>
              <w:t>Umgesetzt und technisch geprüft</w:t>
            </w:r>
          </w:p>
        </w:tc>
      </w:tr>
    </w:tbl>
    <w:p>
      <w:pPr>
        <w:spacing w:after="60"/>
      </w:pPr>
    </w:p>
    <w:p>
      <w:r>
        <w:br w:type="page"/>
      </w:r>
    </w:p>
    <w:p>
      <w:pPr>
        <w:pStyle w:val="Heading2"/>
        <w:keepNext/>
      </w:pPr>
      <w:r>
        <w:t>6. Direkter Einstieg in das SuperChat-Nachrichtenfeld</w:t>
      </w:r>
    </w:p>
    <w:tbl>
      <w:tblPr>
        <w:tblStyle w:val="TableGrid"/>
        <w:tblW w:type="dxa" w:w="9360"/>
        <w:jc w:val="center"/>
        <w:tblLayout w:type="fixed"/>
        <w:tblLook w:firstColumn="1" w:firstRow="1" w:lastColumn="0" w:lastRow="0" w:noHBand="0" w:noVBand="1" w:val="04A0"/>
        <w:tblLayout w:type="fixed"/>
        <w:tblInd w:w="120" w:type="dxa"/>
      </w:tblPr>
      <w:tblGrid>
        <w:gridCol w:w="1800"/>
        <w:gridCol w:w="7560"/>
      </w:tblGrid>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Gemeldet</w:t>
            </w:r>
          </w:p>
        </w:tc>
        <w:tc>
          <w:tcPr>
            <w:tcW w:type="dxa" w:w="756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Für bereits übertragene Kontakte sollte aus Sentimental Logic direkt das passende SuperChat-Nachrichtenfeld geöffnet werden können.</w:t>
            </w:r>
          </w:p>
        </w:tc>
      </w:tr>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Lösung</w:t>
            </w:r>
          </w:p>
        </w:tc>
        <w:tc>
          <w:tcPr>
            <w:tcW w:type="dxa" w:w="756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Der vorhandene SuperChat-Finder-Link wurde als eindeutige Aktion „Nachrichtenfeld in SuperChat öffnen“ eingebunden. Die Zuordnung nutzt vorrangig WhatsApp-Telefonnummer, danach SMS oder E-Mail.</w:t>
            </w:r>
          </w:p>
        </w:tc>
      </w:tr>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Prüfung</w:t>
            </w:r>
          </w:p>
        </w:tc>
        <w:tc>
          <w:tcPr>
            <w:tcW w:type="dxa" w:w="756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Der bestehende SuperChat-Regressionsfall prüft den Direktlink. Der eigentliche SuperChat-Übertragungstest bleibt wie gewünscht deaktivierbar.</w:t>
            </w:r>
          </w:p>
        </w:tc>
      </w:tr>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Status</w:t>
            </w:r>
          </w:p>
        </w:tc>
        <w:tc>
          <w:tcPr>
            <w:tcW w:type="dxa" w:w="7560"/>
            <w:tcMar>
              <w:top w:w="80" w:type="dxa"/>
              <w:start w:w="120" w:type="dxa"/>
              <w:bottom w:w="80" w:type="dxa"/>
              <w:end w:w="120" w:type="dxa"/>
            </w:tcMar>
            <w:vAlign w:val="center"/>
            <w:shd w:fill="EAF7F0"/>
          </w:tcPr>
          <w:p>
            <w:pPr>
              <w:spacing w:before="0" w:after="0" w:line="264" w:lineRule="auto"/>
            </w:pPr>
            <w:r>
              <w:rPr>
                <w:rFonts w:ascii="Calibri" w:hAnsi="Calibri"/>
                <w:b w:val="0"/>
                <w:i w:val="0"/>
                <w:color w:val="1F7A4D"/>
                <w:sz w:val="21"/>
              </w:rPr>
              <w:t>Umgesetzt und technisch geprüft</w:t>
            </w:r>
          </w:p>
        </w:tc>
      </w:tr>
    </w:tbl>
    <w:p>
      <w:pPr>
        <w:spacing w:after="60"/>
      </w:pPr>
    </w:p>
    <w:p>
      <w:pPr>
        <w:pStyle w:val="Heading2"/>
        <w:keepNext/>
      </w:pPr>
      <w:r>
        <w:t>7. KlickTipp-Tags fachlich korrigieren</w:t>
      </w:r>
    </w:p>
    <w:tbl>
      <w:tblPr>
        <w:tblStyle w:val="TableGrid"/>
        <w:tblW w:type="dxa" w:w="9360"/>
        <w:jc w:val="center"/>
        <w:tblLayout w:type="fixed"/>
        <w:tblLook w:firstColumn="1" w:firstRow="1" w:lastColumn="0" w:lastRow="0" w:noHBand="0" w:noVBand="1" w:val="04A0"/>
        <w:tblLayout w:type="fixed"/>
        <w:tblInd w:w="120" w:type="dxa"/>
      </w:tblPr>
      <w:tblGrid>
        <w:gridCol w:w="1800"/>
        <w:gridCol w:w="7560"/>
      </w:tblGrid>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Gemeldet</w:t>
            </w:r>
          </w:p>
        </w:tc>
        <w:tc>
          <w:tcPr>
            <w:tcW w:type="dxa" w:w="756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Gewerbliche Kontakte sollen „AZ Kunden“ und „AZ Firmen Kunden“ erhalten; Privatkontakte „AZ Kunden“ und „Kinderprofis“.</w:t>
            </w:r>
          </w:p>
        </w:tc>
      </w:tr>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Lösung</w:t>
            </w:r>
          </w:p>
        </w:tc>
        <w:tc>
          <w:tcPr>
            <w:tcW w:type="dxa" w:w="756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Eine geschützte Paketverarbeitung ersetzt ausschließlich die in Sentimental Logic verwalteten Kontakt-Tags und lässt fremde, nur in KlickTipp gepflegte Tags unberührt. Archivierte Kontakte und Testdaten sind ausgeschlossen. Fehlende Ziel-Tags werden mit den bestätigten Namen einmalig angelegt. Kleine Pakete, Bestätigungscode und Zugriffstoken verhindern unbeabsichtigte Massenänderungen.</w:t>
            </w:r>
          </w:p>
        </w:tc>
      </w:tr>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Prüfung</w:t>
            </w:r>
          </w:p>
        </w:tc>
        <w:tc>
          <w:tcPr>
            <w:tcW w:type="dxa" w:w="756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Produktiv abgeschlossen: 218 von 218 Kandidaten aktualisiert, 0 Fehler. Ein zusätzlicher Prüflauf ergab 0 offene Kandidaten und führte keine Änderung aus.</w:t>
            </w:r>
          </w:p>
        </w:tc>
      </w:tr>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Status</w:t>
            </w:r>
          </w:p>
        </w:tc>
        <w:tc>
          <w:tcPr>
            <w:tcW w:type="dxa" w:w="7560"/>
            <w:tcMar>
              <w:top w:w="80" w:type="dxa"/>
              <w:start w:w="120" w:type="dxa"/>
              <w:bottom w:w="80" w:type="dxa"/>
              <w:end w:w="120" w:type="dxa"/>
            </w:tcMar>
            <w:vAlign w:val="center"/>
            <w:shd w:fill="EAF7F0"/>
          </w:tcPr>
          <w:p>
            <w:pPr>
              <w:spacing w:before="0" w:after="0" w:line="264" w:lineRule="auto"/>
            </w:pPr>
            <w:r>
              <w:rPr>
                <w:rFonts w:ascii="Calibri" w:hAnsi="Calibri"/>
                <w:b w:val="0"/>
                <w:i w:val="0"/>
                <w:color w:val="1F7A4D"/>
                <w:sz w:val="21"/>
              </w:rPr>
              <w:t>Umgesetzt und technisch geprüft</w:t>
            </w:r>
          </w:p>
        </w:tc>
      </w:tr>
    </w:tbl>
    <w:p>
      <w:pPr>
        <w:spacing w:after="60"/>
      </w:pPr>
    </w:p>
    <w:p>
      <w:pPr>
        <w:pStyle w:val="Heading2"/>
        <w:keepNext/>
      </w:pPr>
      <w:r>
        <w:t>8. Kontaktdetail aufräumen</w:t>
      </w:r>
    </w:p>
    <w:tbl>
      <w:tblPr>
        <w:tblStyle w:val="TableGrid"/>
        <w:tblW w:type="dxa" w:w="9360"/>
        <w:jc w:val="center"/>
        <w:tblLayout w:type="fixed"/>
        <w:tblLook w:firstColumn="1" w:firstRow="1" w:lastColumn="0" w:lastRow="0" w:noHBand="0" w:noVBand="1" w:val="04A0"/>
        <w:tblLayout w:type="fixed"/>
        <w:tblInd w:w="120" w:type="dxa"/>
      </w:tblPr>
      <w:tblGrid>
        <w:gridCol w:w="1800"/>
        <w:gridCol w:w="7560"/>
      </w:tblGrid>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Gemeldet</w:t>
            </w:r>
          </w:p>
        </w:tc>
        <w:tc>
          <w:tcPr>
            <w:tcW w:type="dxa" w:w="756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Die sichtbaren Kacheln „Prozessbalken“ und „Kommentare“ sollten entfallen und über das Drei-Punkte-Menü erreichbar sein.</w:t>
            </w:r>
          </w:p>
        </w:tc>
      </w:tr>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Lösung</w:t>
            </w:r>
          </w:p>
        </w:tc>
        <w:tc>
          <w:tcPr>
            <w:tcW w:type="dxa" w:w="756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Beide Kacheln wurden aus der dauerhaften Detailansicht entfernt. Im Drei-Punkte-Menü öffnen die Einträge „Prozess“ und „Kommentare“ die jeweiligen Arbeitsbereiche bei Bedarf.</w:t>
            </w:r>
          </w:p>
        </w:tc>
      </w:tr>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Prüfung</w:t>
            </w:r>
          </w:p>
        </w:tc>
        <w:tc>
          <w:tcPr>
            <w:tcW w:type="dxa" w:w="756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E2E-029 prüft die reduzierte Ansicht und beide Menüaktionen.</w:t>
            </w:r>
          </w:p>
        </w:tc>
      </w:tr>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Status</w:t>
            </w:r>
          </w:p>
        </w:tc>
        <w:tc>
          <w:tcPr>
            <w:tcW w:type="dxa" w:w="7560"/>
            <w:tcMar>
              <w:top w:w="80" w:type="dxa"/>
              <w:start w:w="120" w:type="dxa"/>
              <w:bottom w:w="80" w:type="dxa"/>
              <w:end w:w="120" w:type="dxa"/>
            </w:tcMar>
            <w:vAlign w:val="center"/>
            <w:shd w:fill="EAF7F0"/>
          </w:tcPr>
          <w:p>
            <w:pPr>
              <w:spacing w:before="0" w:after="0" w:line="264" w:lineRule="auto"/>
            </w:pPr>
            <w:r>
              <w:rPr>
                <w:rFonts w:ascii="Calibri" w:hAnsi="Calibri"/>
                <w:b w:val="0"/>
                <w:i w:val="0"/>
                <w:color w:val="1F7A4D"/>
                <w:sz w:val="21"/>
              </w:rPr>
              <w:t>Umgesetzt und technisch geprüft</w:t>
            </w:r>
          </w:p>
        </w:tc>
      </w:tr>
    </w:tbl>
    <w:p>
      <w:pPr>
        <w:spacing w:after="60"/>
      </w:pPr>
    </w:p>
    <w:p>
      <w:pPr>
        <w:pStyle w:val="Heading2"/>
        <w:keepNext/>
      </w:pPr>
      <w:r>
        <w:t>9. Neue Regel: Kunde → SuperChat-Label „Kunde AZ“</w:t>
      </w:r>
    </w:p>
    <w:tbl>
      <w:tblPr>
        <w:tblStyle w:val="TableGrid"/>
        <w:tblW w:type="dxa" w:w="9360"/>
        <w:jc w:val="center"/>
        <w:tblLayout w:type="fixed"/>
        <w:tblLook w:firstColumn="1" w:firstRow="1" w:lastColumn="0" w:lastRow="0" w:noHBand="0" w:noVBand="1" w:val="04A0"/>
        <w:tblLayout w:type="fixed"/>
        <w:tblInd w:w="120" w:type="dxa"/>
      </w:tblPr>
      <w:tblGrid>
        <w:gridCol w:w="1800"/>
        <w:gridCol w:w="7560"/>
      </w:tblGrid>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Gemeldet</w:t>
            </w:r>
          </w:p>
        </w:tc>
        <w:tc>
          <w:tcPr>
            <w:tcW w:type="dxa" w:w="756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Wenn ein Kontakt den Status „Kunde“ erhält, soll in SuperChat das Gesprächslabel „Kunde AZ“ gesetzt werden.</w:t>
            </w:r>
          </w:p>
        </w:tc>
      </w:tr>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Lösung</w:t>
            </w:r>
          </w:p>
        </w:tc>
        <w:tc>
          <w:tcPr>
            <w:tcW w:type="dxa" w:w="756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Das Regelmodell unterstützt nun Statusbedingungen und SuperChat-Gesprächslabels. Die aktive Regel wurde in der Produktionsdatenbank angelegt. Sie greift beim Statuswechsel, in der Sammelausführung und beim späteren SuperChat-Abgleich eines bereits als Kunde geführten Kontakts. Ein Label-Fehler macht eine bereits erfolgreiche Kontaktübertragung nicht rückgängig, sondern wird separat protokolliert.</w:t>
            </w:r>
          </w:p>
        </w:tc>
      </w:tr>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Prüfung</w:t>
            </w:r>
          </w:p>
        </w:tc>
        <w:tc>
          <w:tcPr>
            <w:tcW w:type="dxa" w:w="756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Datenbankregel und Anwendung sind technisch geprüft. Die abschließende SuperChat-Dienstprüfung setzt ein vorhandenes Label „Kunde AZ“ und ausreichende API-Rechte voraus.</w:t>
            </w:r>
          </w:p>
        </w:tc>
      </w:tr>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Status</w:t>
            </w:r>
          </w:p>
        </w:tc>
        <w:tc>
          <w:tcPr>
            <w:tcW w:type="dxa" w:w="7560"/>
            <w:tcMar>
              <w:top w:w="80" w:type="dxa"/>
              <w:start w:w="120" w:type="dxa"/>
              <w:bottom w:w="80" w:type="dxa"/>
              <w:end w:w="120" w:type="dxa"/>
            </w:tcMar>
            <w:vAlign w:val="center"/>
            <w:shd w:fill="FFF4D6"/>
          </w:tcPr>
          <w:p>
            <w:pPr>
              <w:spacing w:before="0" w:after="0" w:line="264" w:lineRule="auto"/>
            </w:pPr>
            <w:r>
              <w:rPr>
                <w:rFonts w:ascii="Calibri" w:hAnsi="Calibri"/>
                <w:b w:val="0"/>
                <w:i w:val="0"/>
                <w:color w:val="8A5A00"/>
                <w:sz w:val="21"/>
              </w:rPr>
              <w:t>Umgesetzt; produktive SuperChat-Labelprüfung ausstehend</w:t>
            </w:r>
          </w:p>
        </w:tc>
      </w:tr>
    </w:tbl>
    <w:p>
      <w:pPr>
        <w:spacing w:after="60"/>
      </w:pPr>
    </w:p>
    <w:p>
      <w:pPr>
        <w:pStyle w:val="Heading2"/>
        <w:keepNext/>
      </w:pPr>
      <w:r>
        <w:t>10. Testdaten je Teammitglied ausblenden</w:t>
      </w:r>
    </w:p>
    <w:tbl>
      <w:tblPr>
        <w:tblStyle w:val="TableGrid"/>
        <w:tblW w:type="dxa" w:w="9360"/>
        <w:jc w:val="center"/>
        <w:tblLayout w:type="fixed"/>
        <w:tblLook w:firstColumn="1" w:firstRow="1" w:lastColumn="0" w:lastRow="0" w:noHBand="0" w:noVBand="1" w:val="04A0"/>
        <w:tblLayout w:type="fixed"/>
        <w:tblInd w:w="120" w:type="dxa"/>
      </w:tblPr>
      <w:tblGrid>
        <w:gridCol w:w="1800"/>
        <w:gridCol w:w="7560"/>
      </w:tblGrid>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Gemeldet</w:t>
            </w:r>
          </w:p>
        </w:tc>
        <w:tc>
          <w:tcPr>
            <w:tcW w:type="dxa" w:w="756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Testdaten sollen standardmäßig nicht erscheinen. Nur Teammitglieder mit persönlichem Flag „Testdaten sehen“ dürfen markierte Testkontakte und Aufgaben sehen. Minimallösung: Kontakte und Aufgaben.</w:t>
            </w:r>
          </w:p>
        </w:tc>
      </w:tr>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Lösung</w:t>
            </w:r>
          </w:p>
        </w:tc>
        <w:tc>
          <w:tcPr>
            <w:tcW w:type="dxa" w:w="756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In der Teamverwaltung gibt es das neue persönliche Flag. Kontaktliste, Kontaktdetail, Export und Aufgabenliste filtern serverseitig nach dieser Berechtigung. Dadurch kann die Einschränkung nicht nur über die Oberfläche umgangen werden.</w:t>
            </w:r>
          </w:p>
        </w:tc>
      </w:tr>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Prüfung</w:t>
            </w:r>
          </w:p>
        </w:tc>
        <w:tc>
          <w:tcPr>
            <w:tcW w:type="dxa" w:w="756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Live bereinigt und kontrolliert: 0 explizit markierte Testkontakte und 0 Aufgaben mit [TEST]-Kennzeichnung verbleiben. Unmarkierte example.com-Kontakte wurden bewusst nicht gelöscht.</w:t>
            </w:r>
          </w:p>
        </w:tc>
      </w:tr>
      <w:tr>
        <w:trPr>
          <w:cantSplit/>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Status</w:t>
            </w:r>
          </w:p>
        </w:tc>
        <w:tc>
          <w:tcPr>
            <w:tcW w:type="dxa" w:w="7560"/>
            <w:tcMar>
              <w:top w:w="80" w:type="dxa"/>
              <w:start w:w="120" w:type="dxa"/>
              <w:bottom w:w="80" w:type="dxa"/>
              <w:end w:w="120" w:type="dxa"/>
            </w:tcMar>
            <w:vAlign w:val="center"/>
            <w:shd w:fill="EAF7F0"/>
          </w:tcPr>
          <w:p>
            <w:pPr>
              <w:spacing w:before="0" w:after="0" w:line="264" w:lineRule="auto"/>
            </w:pPr>
            <w:r>
              <w:rPr>
                <w:rFonts w:ascii="Calibri" w:hAnsi="Calibri"/>
                <w:b w:val="0"/>
                <w:i w:val="0"/>
                <w:color w:val="1F7A4D"/>
                <w:sz w:val="21"/>
              </w:rPr>
              <w:t>Umgesetzt und technisch geprüft</w:t>
            </w:r>
          </w:p>
        </w:tc>
      </w:tr>
    </w:tbl>
    <w:p>
      <w:pPr>
        <w:spacing w:after="60"/>
      </w:pPr>
    </w:p>
    <w:p>
      <w:r>
        <w:br w:type="page"/>
      </w:r>
    </w:p>
    <w:p>
      <w:pPr>
        <w:pStyle w:val="Heading1"/>
        <w:keepNext/>
      </w:pPr>
      <w:r>
        <w:t>Prüfung und Nachweise</w:t>
      </w:r>
    </w:p>
    <w:tbl>
      <w:tblPr>
        <w:tblStyle w:val="TableGrid"/>
        <w:tblW w:type="dxa" w:w="9360"/>
        <w:tblLayout w:type="fixed"/>
        <w:tblLook w:firstColumn="1" w:firstRow="1" w:lastColumn="0" w:lastRow="0" w:noHBand="0" w:noVBand="1" w:val="04A0"/>
        <w:tblLayout w:type="fixed"/>
        <w:jc w:val="center"/>
        <w:tblInd w:w="120" w:type="dxa"/>
        <w:tblLayout w:type="fixed"/>
        <w:tblInd w:w="120" w:type="dxa"/>
        <w:tblLayout w:type="fixed"/>
        <w:tblInd w:w="120" w:type="dxa"/>
        <w:tblLayout w:type="fixed"/>
        <w:tblInd w:w="120" w:type="dxa"/>
        <w:tblLayout w:type="fixed"/>
        <w:tblInd w:w="120" w:type="dxa"/>
        <w:tblLayout w:type="fixed"/>
        <w:tblInd w:w="120" w:type="dxa"/>
      </w:tblPr>
      <w:tblGrid>
        <w:gridCol w:w="2800"/>
        <w:gridCol w:w="3760"/>
        <w:gridCol w:w="2800"/>
      </w:tblGrid>
      <w:tr>
        <w:trPr>
          <w:cantSplit/>
          <w:cantSplit/>
          <w:cantSplit/>
          <w:cantSplit/>
          <w:cantSplit/>
          <w:cantSplit/>
        </w:trPr>
        <w:tc>
          <w:tcPr>
            <w:tcW w:type="dxa" w:w="2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Prüfung</w:t>
            </w:r>
          </w:p>
        </w:tc>
        <w:tc>
          <w:tcPr>
            <w:tcW w:type="dxa" w:w="376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Ergebnis</w:t>
            </w:r>
          </w:p>
        </w:tc>
        <w:tc>
          <w:tcPr>
            <w:tcW w:type="dxa" w:w="2800"/>
            <w:tcMar>
              <w:top w:w="80" w:type="dxa"/>
              <w:start w:w="120" w:type="dxa"/>
              <w:bottom w:w="80" w:type="dxa"/>
              <w:end w:w="120" w:type="dxa"/>
            </w:tcMar>
            <w:vAlign w:val="center"/>
            <w:shd w:fill="F2F4F7"/>
          </w:tcPr>
          <w:p>
            <w:pPr>
              <w:spacing w:before="0" w:after="0" w:line="264" w:lineRule="auto"/>
            </w:pPr>
            <w:r>
              <w:rPr>
                <w:rFonts w:ascii="Calibri" w:hAnsi="Calibri"/>
                <w:b/>
                <w:i w:val="0"/>
                <w:color w:val="183B56"/>
                <w:sz w:val="21"/>
              </w:rPr>
              <w:t>Einordnung</w:t>
            </w:r>
          </w:p>
        </w:tc>
      </w:tr>
      <w:tr>
        <w:trPr>
          <w:cantSplit/>
          <w:cantSplit/>
          <w:cantSplit/>
          <w:cantSplit/>
          <w:cantSplit/>
        </w:trPr>
        <w:tc>
          <w:tcPr>
            <w:tcW w:type="dxa" w:w="280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Produktions-Build</w:t>
            </w:r>
          </w:p>
        </w:tc>
        <w:tc>
          <w:tcPr>
            <w:tcW w:type="dxa" w:w="3760"/>
            <w:tcMar>
              <w:top w:w="80" w:type="dxa"/>
              <w:start w:w="120" w:type="dxa"/>
              <w:bottom w:w="80" w:type="dxa"/>
              <w:end w:w="120" w:type="dxa"/>
            </w:tcMar>
            <w:vAlign w:val="center"/>
          </w:tcPr>
          <w:p>
            <w:pPr>
              <w:spacing w:before="0" w:after="0" w:line="264" w:lineRule="auto"/>
            </w:pPr>
            <w:r>
              <w:rPr>
                <w:rFonts w:ascii="Calibri" w:hAnsi="Calibri"/>
                <w:b w:val="0"/>
                <w:i w:val="0"/>
                <w:color w:val="1F7A4D"/>
                <w:sz w:val="21"/>
              </w:rPr>
              <w:t>Erfolgreich</w:t>
            </w:r>
          </w:p>
        </w:tc>
        <w:tc>
          <w:tcPr>
            <w:tcW w:type="dxa" w:w="280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59 Seiten/API-Routen gebaut; keine Build-Fehler</w:t>
            </w:r>
          </w:p>
        </w:tc>
      </w:tr>
      <w:tr>
        <w:trPr>
          <w:cantSplit/>
          <w:cantSplit/>
          <w:cantSplit/>
          <w:cantSplit/>
        </w:trPr>
        <w:tc>
          <w:tcPr>
            <w:tcW w:type="dxa" w:w="280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Regressionstest</w:t>
            </w:r>
          </w:p>
        </w:tc>
        <w:tc>
          <w:tcPr>
            <w:tcW w:type="dxa" w:w="376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31 grün / 2 übersprungen</w:t>
            </w:r>
          </w:p>
        </w:tc>
        <w:tc>
          <w:tcPr>
            <w:tcW w:type="dxa" w:w="280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0 fehlgeschlagen; SuperChat wie vereinbart deaktiviert</w:t>
            </w:r>
          </w:p>
        </w:tc>
      </w:tr>
      <w:tr>
        <w:trPr>
          <w:cantSplit/>
          <w:cantSplit/>
          <w:cantSplit/>
        </w:trPr>
        <w:tc>
          <w:tcPr>
            <w:tcW w:type="dxa" w:w="280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Datenbankmigration</w:t>
            </w:r>
          </w:p>
        </w:tc>
        <w:tc>
          <w:tcPr>
            <w:tcW w:type="dxa" w:w="376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Live erfolgreich</w:t>
            </w:r>
          </w:p>
        </w:tc>
        <w:tc>
          <w:tcPr>
            <w:tcW w:type="dxa" w:w="280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Berechtigungsflag, Statusregel und Indizes vorhanden</w:t>
            </w:r>
          </w:p>
        </w:tc>
      </w:tr>
      <w:tr>
        <w:trPr>
          <w:cantSplit/>
          <w:cantSplit/>
        </w:trPr>
        <w:tc>
          <w:tcPr>
            <w:tcW w:type="dxa" w:w="280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Testdatenbereinigung</w:t>
            </w:r>
          </w:p>
        </w:tc>
        <w:tc>
          <w:tcPr>
            <w:tcW w:type="dxa" w:w="376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Live erfolgreich</w:t>
            </w:r>
          </w:p>
        </w:tc>
        <w:tc>
          <w:tcPr>
            <w:tcW w:type="dxa" w:w="280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16 Kontakte, 23 Aktivitäten, 7 Aufgaben entfernt</w:t>
            </w:r>
          </w:p>
        </w:tc>
      </w:tr>
      <w:tr>
        <w:trPr>
          <w:cantSplit/>
        </w:trPr>
        <w:tc>
          <w:tcPr>
            <w:tcW w:type="dxa" w:w="280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KlickTipp-Tagkorrektur</w:t>
            </w:r>
          </w:p>
        </w:tc>
        <w:tc>
          <w:tcPr>
            <w:tcW w:type="dxa" w:w="376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218 aktualisiert / 0 Fehler</w:t>
            </w:r>
          </w:p>
        </w:tc>
        <w:tc>
          <w:tcPr>
            <w:tcW w:type="dxa" w:w="2800"/>
            <w:tcMar>
              <w:top w:w="80" w:type="dxa"/>
              <w:start w:w="120" w:type="dxa"/>
              <w:bottom w:w="80" w:type="dxa"/>
              <w:end w:w="120" w:type="dxa"/>
            </w:tcMar>
            <w:vAlign w:val="center"/>
          </w:tcPr>
          <w:p>
            <w:pPr>
              <w:spacing w:before="0" w:after="0" w:line="264" w:lineRule="auto"/>
            </w:pPr>
            <w:r>
              <w:rPr>
                <w:rFonts w:ascii="Calibri" w:hAnsi="Calibri"/>
                <w:b w:val="0"/>
                <w:i w:val="0"/>
                <w:color w:val="1D2939"/>
                <w:sz w:val="21"/>
              </w:rPr>
              <w:t>Abschließender Prüflauf: 0 offene Kandidaten</w:t>
            </w:r>
          </w:p>
        </w:tc>
      </w:tr>
    </w:tbl>
    <w:p>
      <w:pPr>
        <w:pStyle w:val="Heading1"/>
        <w:keepNext/>
      </w:pPr>
      <w:r>
        <w:t>Offene produktive Abnahmen</w:t>
      </w:r>
    </w:p>
    <w:p>
      <w:pPr>
        <w:pStyle w:val="ListBullet"/>
        <w:spacing w:before="0" w:after="160" w:line="280" w:lineRule="auto"/>
      </w:pPr>
      <w:r>
        <w:rPr>
          <w:rFonts w:ascii="Calibri" w:hAnsi="Calibri"/>
          <w:b w:val="0"/>
          <w:i w:val="0"/>
          <w:color w:val="1D2939"/>
          <w:sz w:val="22"/>
        </w:rPr>
        <w:t>In SuperChat sicherstellen, dass das Gesprächslabel „Kunde AZ“ existiert und der API-Zugang Labels lesen sowie Gespräche aktualisieren darf; anschließend Pilotkontakt mit Status „Kunde“ prüfen.</w:t>
      </w:r>
    </w:p>
    <w:p>
      <w:pPr>
        <w:pStyle w:val="Heading1"/>
        <w:keepNext/>
      </w:pPr>
      <w:r>
        <w:t>Datenschutz und Sicherheit</w:t>
      </w:r>
    </w:p>
    <w:p>
      <w:pPr>
        <w:keepNext w:val="0"/>
        <w:spacing w:before="0" w:after="120" w:line="264" w:lineRule="auto"/>
      </w:pPr>
      <w:r>
        <w:rPr>
          <w:rFonts w:ascii="Calibri" w:hAnsi="Calibri"/>
          <w:b w:val="0"/>
          <w:i w:val="0"/>
          <w:color w:val="1D2939"/>
          <w:sz w:val="22"/>
        </w:rPr>
        <w:t>Der Bericht enthält keine personenbezogenen Kundendaten. Testdaten wurden ausschließlich über technische Markierungen und eindeutige [TEST]-Kennzeichnungen bereinigt. Die drei verbliebenen Kontakte mit example.com-Adresse wurden nicht gelöscht, weil sie nicht explizit als Testdaten markiert waren. Integrationskorrekturen sind auf aktive, nicht archivierte und nicht als Testdaten markierte Kontakte begrenzt.</w:t>
      </w:r>
    </w:p>
    <w:p>
      <w:pPr>
        <w:pStyle w:val="Heading1"/>
        <w:keepNext/>
      </w:pPr>
      <w:r>
        <w:t>Freigabeempfehlung</w:t>
      </w:r>
    </w:p>
    <w:tbl>
      <w:tblPr>
        <w:tblStyle w:val="TableGrid"/>
        <w:tblW w:type="dxa" w:w="9360"/>
        <w:jc w:val="center"/>
        <w:tblLayout w:type="fixed"/>
        <w:tblLook w:firstColumn="1" w:firstRow="1" w:lastColumn="0" w:lastRow="0" w:noHBand="0" w:noVBand="1" w:val="04A0"/>
        <w:tblLayout w:type="fixed"/>
        <w:tblInd w:w="120" w:type="dxa"/>
      </w:tblPr>
      <w:tblGrid>
        <w:gridCol w:w="2200"/>
        <w:gridCol w:w="7160"/>
      </w:tblGrid>
      <w:tr>
        <w:trPr>
          <w:cantSplit/>
        </w:trPr>
        <w:tc>
          <w:tcPr>
            <w:tcW w:type="dxa" w:w="2200"/>
            <w:tcMar>
              <w:top w:w="80" w:type="dxa"/>
              <w:start w:w="120" w:type="dxa"/>
              <w:bottom w:w="80" w:type="dxa"/>
              <w:end w:w="120" w:type="dxa"/>
            </w:tcMar>
            <w:vAlign w:val="center"/>
            <w:shd w:fill="EAF7F0"/>
          </w:tcPr>
          <w:p>
            <w:pPr>
              <w:spacing w:before="0" w:after="0" w:line="264" w:lineRule="auto"/>
            </w:pPr>
            <w:r>
              <w:rPr>
                <w:rFonts w:ascii="Calibri" w:hAnsi="Calibri"/>
                <w:b/>
                <w:i w:val="0"/>
                <w:color w:val="1F7A4D"/>
                <w:sz w:val="21"/>
              </w:rPr>
              <w:t>Fachliche UI-Punkte</w:t>
            </w:r>
          </w:p>
        </w:tc>
        <w:tc>
          <w:tcPr>
            <w:tcW w:type="dxa" w:w="7160"/>
            <w:tcMar>
              <w:top w:w="80" w:type="dxa"/>
              <w:start w:w="120" w:type="dxa"/>
              <w:bottom w:w="80" w:type="dxa"/>
              <w:end w:w="120" w:type="dxa"/>
            </w:tcMar>
            <w:vAlign w:val="center"/>
            <w:shd w:fill="EAF7F0"/>
          </w:tcPr>
          <w:p>
            <w:pPr>
              <w:spacing w:before="0" w:after="0" w:line="264" w:lineRule="auto"/>
            </w:pPr>
            <w:r>
              <w:rPr>
                <w:rFonts w:ascii="Calibri" w:hAnsi="Calibri"/>
                <w:b w:val="0"/>
                <w:i w:val="0"/>
                <w:color w:val="1F7A4D"/>
                <w:sz w:val="21"/>
              </w:rPr>
              <w:t>Zur Key-User-Abnahme freigeben.</w:t>
            </w:r>
          </w:p>
        </w:tc>
      </w:tr>
    </w:tbl>
    <w:p>
      <w:pPr>
        <w:spacing w:after="40"/>
      </w:pPr>
    </w:p>
    <w:tbl>
      <w:tblPr>
        <w:tblStyle w:val="TableGrid"/>
        <w:tblW w:type="dxa" w:w="9360"/>
        <w:jc w:val="center"/>
        <w:tblLayout w:type="fixed"/>
        <w:tblLook w:firstColumn="1" w:firstRow="1" w:lastColumn="0" w:lastRow="0" w:noHBand="0" w:noVBand="1" w:val="04A0"/>
        <w:tblLayout w:type="fixed"/>
        <w:tblInd w:w="120" w:type="dxa"/>
      </w:tblPr>
      <w:tblGrid>
        <w:gridCol w:w="2200"/>
        <w:gridCol w:w="7160"/>
      </w:tblGrid>
      <w:tr>
        <w:trPr>
          <w:cantSplit/>
        </w:trPr>
        <w:tc>
          <w:tcPr>
            <w:tcW w:type="dxa" w:w="2200"/>
            <w:tcMar>
              <w:top w:w="80" w:type="dxa"/>
              <w:start w:w="120" w:type="dxa"/>
              <w:bottom w:w="80" w:type="dxa"/>
              <w:end w:w="120" w:type="dxa"/>
            </w:tcMar>
            <w:vAlign w:val="center"/>
            <w:shd w:fill="FFF4D6"/>
          </w:tcPr>
          <w:p>
            <w:pPr>
              <w:spacing w:before="0" w:after="0" w:line="264" w:lineRule="auto"/>
            </w:pPr>
            <w:r>
              <w:rPr>
                <w:rFonts w:ascii="Calibri" w:hAnsi="Calibri"/>
                <w:b/>
                <w:i w:val="0"/>
                <w:color w:val="8A5A00"/>
                <w:sz w:val="21"/>
              </w:rPr>
              <w:t>Integrationspunkte</w:t>
            </w:r>
          </w:p>
        </w:tc>
        <w:tc>
          <w:tcPr>
            <w:tcW w:type="dxa" w:w="7160"/>
            <w:tcMar>
              <w:top w:w="80" w:type="dxa"/>
              <w:start w:w="120" w:type="dxa"/>
              <w:bottom w:w="80" w:type="dxa"/>
              <w:end w:w="120" w:type="dxa"/>
            </w:tcMar>
            <w:vAlign w:val="center"/>
            <w:shd w:fill="FFF4D6"/>
          </w:tcPr>
          <w:p>
            <w:pPr>
              <w:spacing w:before="0" w:after="0" w:line="264" w:lineRule="auto"/>
            </w:pPr>
            <w:r>
              <w:rPr>
                <w:rFonts w:ascii="Calibri" w:hAnsi="Calibri"/>
                <w:b w:val="0"/>
                <w:i w:val="0"/>
                <w:color w:val="8A5A00"/>
                <w:sz w:val="21"/>
              </w:rPr>
              <w:t>Nach den oben genannten Pilotprüfungen fachlich abnehmen.</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Stand 11.08.2026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4" w:color="D7DBE2"/>
      </w:pBdr>
    </w:pPr>
    <w:r>
      <w:rPr>
        <w:rFonts w:ascii="Calibri" w:hAnsi="Calibri"/>
        <w:b/>
        <w:i w:val="0"/>
        <w:color w:val="667085"/>
        <w:sz w:val="18"/>
      </w:rPr>
      <w:t>SENTIMENTAL LOGIC  |  KUNDENBERICHT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D293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83B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Sentimental Logic – Fehler- und Umsetzungsbericht</dc:title>
  <dc:subject>Kontaktverwaltung, Integrationen und Testdaten</dc:subject>
  <dc:creator>Online First</dc:creator>
  <cp:keywords>Sentimental Logic, Fehlerbericht, Umsetzung, Regressionstest</cp:keywords>
  <dc:description>Kundenbericht – ohne personenbezogene Kundendaten</dc:description>
  <cp:lastModifiedBy/>
  <cp:revision>1</cp:revision>
  <dcterms:created xsi:type="dcterms:W3CDTF">2013-12-23T23:15:00Z</dcterms:created>
  <dcterms:modified xsi:type="dcterms:W3CDTF">2013-12-23T23:15:00Z</dcterms:modified>
  <cp:category/>
</cp:coreProperties>
</file>