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600"/>
              <w:left w:type="dxa" w:w="400"/>
              <w:bottom w:type="dxa" w:w="600"/>
              <w:right w:type="dxa" w:w="400"/>
            </w:tcMar>
          </w:tcPr>
          <w:p>
            <w:pPr>
              <w:spacing w:before="200" w:after="120"/>
              <w:jc w:val="center"/>
            </w:pPr>
            <w:r>
              <w:rPr>
                <w:rFonts w:ascii="Arial" w:cs="Arial" w:eastAsia="Arial" w:hAnsi="Arial"/>
                <w:b/>
                <w:bCs/>
                <w:color w:val="FFFFFF"/>
                <w:sz w:val="42"/>
                <w:szCs w:val="42"/>
              </w:rPr>
              <w:t xml:space="preserve">FEDRAMP 3PAO AUTOMATED</w:t>
            </w:r>
          </w:p>
          <w:p>
            <w:pPr>
              <w:spacing w:before="0" w:after="200"/>
              <w:jc w:val="center"/>
            </w:pPr>
            <w:r>
              <w:rPr>
                <w:rFonts w:ascii="Arial" w:cs="Arial" w:eastAsia="Arial" w:hAnsi="Arial"/>
                <w:b/>
                <w:bCs/>
                <w:color w:val="FFFFFF"/>
                <w:sz w:val="42"/>
                <w:szCs w:val="42"/>
              </w:rPr>
              <w:t xml:space="preserve">VULNERABILITY SCAN INGESTION TOOL</w:t>
            </w:r>
          </w:p>
          <w:p>
            <w:pPr>
              <w:jc w:val="center"/>
            </w:pPr>
            <w:r>
              <w:rPr>
                <w:rFonts w:ascii="Arial" w:cs="Arial" w:eastAsia="Arial" w:hAnsi="Arial"/>
                <w:color w:val="D6E4F0"/>
                <w:sz w:val="26"/>
                <w:szCs w:val="26"/>
              </w:rPr>
              <w:t xml:space="preserve">Technical Specification for Claude Code Development</w:t>
            </w:r>
          </w:p>
          <w:p>
            <w:pPr>
              <w:spacing w:before="100" w:after="0"/>
              <w:jc w:val="center"/>
            </w:pPr>
            <w:r>
              <w:rPr>
                <w:rFonts w:ascii="Arial" w:cs="Arial" w:eastAsia="Arial" w:hAnsi="Arial"/>
                <w:color w:val="AEC8E0"/>
                <w:sz w:val="22"/>
                <w:szCs w:val="22"/>
              </w:rPr>
              <w:t xml:space="preserve">Version 1.0  |  Risk Exposure Table (RET) Automation</w:t>
            </w:r>
          </w:p>
        </w:tc>
      </w:tr>
    </w:tbl>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Document Property</w:t>
            </w:r>
          </w:p>
        </w:tc>
        <w:tc>
          <w:tcPr>
            <w:tcW w:type="dxa" w:w="504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Value</w:t>
            </w:r>
          </w:p>
        </w:tc>
      </w:tr>
      <w:tr>
        <w:tc>
          <w:tcPr>
            <w:tcW w:type="dxa" w:w="50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Document Title</w:t>
            </w:r>
          </w:p>
        </w:tc>
        <w:tc>
          <w:tcPr>
            <w:tcW w:type="dxa" w:w="50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FedRAMP 3PAO Vuln Scan Ingestion Tool — Technical Spec</w:t>
            </w:r>
          </w:p>
        </w:tc>
      </w:tr>
      <w:tr>
        <w:tc>
          <w:tcPr>
            <w:tcW w:type="dxa" w:w="50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Purpose</w:t>
            </w:r>
          </w:p>
        </w:tc>
        <w:tc>
          <w:tcPr>
            <w:tcW w:type="dxa" w:w="50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Claude Code Development Specification</w:t>
            </w:r>
          </w:p>
        </w:tc>
      </w:tr>
      <w:tr>
        <w:tc>
          <w:tcPr>
            <w:tcW w:type="dxa" w:w="50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Target Users</w:t>
            </w:r>
          </w:p>
        </w:tc>
        <w:tc>
          <w:tcPr>
            <w:tcW w:type="dxa" w:w="50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3PAO Assessors</w:t>
            </w:r>
          </w:p>
        </w:tc>
      </w:tr>
      <w:tr>
        <w:tc>
          <w:tcPr>
            <w:tcW w:type="dxa" w:w="50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Impact Levels</w:t>
            </w:r>
          </w:p>
        </w:tc>
        <w:tc>
          <w:tcPr>
            <w:tcW w:type="dxa" w:w="50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FedRAMP Low, Moderate, High</w:t>
            </w:r>
          </w:p>
        </w:tc>
      </w:tr>
      <w:tr>
        <w:tc>
          <w:tcPr>
            <w:tcW w:type="dxa" w:w="50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Assessment Types</w:t>
            </w:r>
          </w:p>
        </w:tc>
        <w:tc>
          <w:tcPr>
            <w:tcW w:type="dxa" w:w="50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Initial Authorization, Annual Assessment</w:t>
            </w:r>
          </w:p>
        </w:tc>
      </w:tr>
      <w:tr>
        <w:tc>
          <w:tcPr>
            <w:tcW w:type="dxa" w:w="50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Output</w:t>
            </w:r>
          </w:p>
        </w:tc>
        <w:tc>
          <w:tcPr>
            <w:tcW w:type="dxa" w:w="50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FedRAMP RET Workbook v2.5 (XLSX)</w:t>
            </w:r>
          </w:p>
        </w:tc>
      </w:tr>
      <w:tr>
        <w:tc>
          <w:tcPr>
            <w:tcW w:type="dxa" w:w="50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Deployment</w:t>
            </w:r>
          </w:p>
        </w:tc>
        <w:tc>
          <w:tcPr>
            <w:tcW w:type="dxa" w:w="50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Local Desktop Application (Electron)</w:t>
            </w:r>
          </w:p>
        </w:tc>
      </w:tr>
    </w:tbl>
    <w:p>
      <w:pPr>
        <w:pageBreakBefore/>
      </w:pPr>
      <w:r>
        <w:t xml:space="preserve"/>
      </w:r>
    </w:p>
    <w:p>
      <w:pPr>
        <w:pStyle w:val="Heading1"/>
        <w:spacing w:before="360" w:after="120"/>
      </w:pPr>
      <w:r>
        <w:rPr>
          <w:rFonts w:ascii="Arial" w:cs="Arial" w:eastAsia="Arial" w:hAnsi="Arial"/>
          <w:b/>
          <w:bCs/>
          <w:color w:val="1F3864"/>
          <w:sz w:val="28"/>
          <w:szCs w:val="28"/>
        </w:rPr>
        <w:t xml:space="preserve">1. Executive Overview</w:t>
      </w:r>
    </w:p>
    <w:p>
      <w:pPr>
        <w:spacing w:before="60" w:after="60"/>
      </w:pPr>
      <w:r>
        <w:rPr>
          <w:rFonts w:ascii="Arial" w:cs="Arial" w:eastAsia="Arial" w:hAnsi="Arial"/>
          <w:sz w:val="20"/>
          <w:szCs w:val="20"/>
        </w:rPr>
        <w:t xml:space="preserve">This document provides a complete technical specification for building a local desktop application that automates the ingestion of vulnerability scan results and population of the FedRAMP Risk Exposure Table (RET) Workbook (SAR Appendix A, Template v2.5). The tool is designed exclusively for use by Third-Party Assessment Organizations (3PAOs) during FedRAMP initial authorization and annual assessment engagements.</w:t>
      </w:r>
    </w:p>
    <w:p>
      <w:pPr>
        <w:spacing w:before="60" w:after="60"/>
      </w:pPr>
      <w:r>
        <w:t xml:space="preserve"/>
      </w:r>
    </w:p>
    <w:p>
      <w:pPr>
        <w:spacing w:before="60" w:after="60"/>
      </w:pPr>
      <w:r>
        <w:rPr>
          <w:rFonts w:ascii="Arial" w:cs="Arial" w:eastAsia="Arial" w:hAnsi="Arial"/>
          <w:sz w:val="20"/>
          <w:szCs w:val="20"/>
        </w:rPr>
        <w:t xml:space="preserve">The tool removes manual copy-paste effort from the RET population workflow, enforces FedRAMP formatting rules, correlates findings against the Integrated Inventory Workbook (IIW), and flags compliance anomalies — while preserving the 3PAO assessor as the authoritative human reviewer for all risk decisions.</w:t>
      </w:r>
    </w:p>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1.1 Core Design Principles</w:t>
      </w:r>
    </w:p>
    <w:p>
      <w:pPr>
        <w:pStyle w:val="ListParagraph"/>
        <w:numPr>
          <w:ilvl w:val="0"/>
          <w:numId w:val="2"/>
        </w:numPr>
        <w:spacing w:before="40" w:after="40"/>
      </w:pPr>
      <w:r>
        <w:rPr>
          <w:rFonts w:ascii="Arial" w:cs="Arial" w:eastAsia="Arial" w:hAnsi="Arial"/>
          <w:b w:val="false"/>
          <w:bCs w:val="false"/>
          <w:sz w:val="20"/>
          <w:szCs w:val="20"/>
        </w:rPr>
        <w:t xml:space="preserve">Scanner-Agnostic: Must normalize outputs from Tenable Nessus, Qualys, Rapid7, Prisma Cloud, Twistlock, SCAP/STIG tools, and arbitrary CSV exports.</w:t>
      </w:r>
    </w:p>
    <w:p>
      <w:pPr>
        <w:pStyle w:val="ListParagraph"/>
        <w:numPr>
          <w:ilvl w:val="0"/>
          <w:numId w:val="2"/>
        </w:numPr>
        <w:spacing w:before="40" w:after="40"/>
      </w:pPr>
      <w:r>
        <w:rPr>
          <w:rFonts w:ascii="Arial" w:cs="Arial" w:eastAsia="Arial" w:hAnsi="Arial"/>
          <w:b w:val="false"/>
          <w:bCs w:val="false"/>
          <w:sz w:val="20"/>
          <w:szCs w:val="20"/>
        </w:rPr>
        <w:t xml:space="preserve">RET-Faithful: Output XLSX must preserve the exact FedRAMP RET v2.5 structure, column order, and metadata rows — no alterations.</w:t>
      </w:r>
    </w:p>
    <w:p>
      <w:pPr>
        <w:pStyle w:val="ListParagraph"/>
        <w:numPr>
          <w:ilvl w:val="0"/>
          <w:numId w:val="2"/>
        </w:numPr>
        <w:spacing w:before="40" w:after="40"/>
      </w:pPr>
      <w:r>
        <w:rPr>
          <w:rFonts w:ascii="Arial" w:cs="Arial" w:eastAsia="Arial" w:hAnsi="Arial"/>
          <w:b w:val="false"/>
          <w:bCs w:val="false"/>
          <w:sz w:val="20"/>
          <w:szCs w:val="20"/>
        </w:rPr>
        <w:t xml:space="preserve">IIW-Anchored: Every finding's Asset Identifier must resolve to a Unique Asset Identifier in the uploaded IIW. Mismatches are flagged, not silently dropped.</w:t>
      </w:r>
    </w:p>
    <w:p>
      <w:pPr>
        <w:pStyle w:val="ListParagraph"/>
        <w:numPr>
          <w:ilvl w:val="0"/>
          <w:numId w:val="2"/>
        </w:numPr>
        <w:spacing w:before="40" w:after="40"/>
      </w:pPr>
      <w:r>
        <w:rPr>
          <w:rFonts w:ascii="Arial" w:cs="Arial" w:eastAsia="Arial" w:hAnsi="Arial"/>
          <w:b w:val="false"/>
          <w:bCs w:val="false"/>
          <w:sz w:val="20"/>
          <w:szCs w:val="20"/>
        </w:rPr>
        <w:t xml:space="preserve">Human-in-the-Loop: All risk adjustment fields (Adjusted Risk Rating, Risk Adjustment, Operational Requirement, Deviation Rationale) are left blank for human review.</w:t>
      </w:r>
    </w:p>
    <w:p>
      <w:pPr>
        <w:pStyle w:val="ListParagraph"/>
        <w:numPr>
          <w:ilvl w:val="0"/>
          <w:numId w:val="2"/>
        </w:numPr>
        <w:spacing w:before="40" w:after="40"/>
      </w:pPr>
      <w:r>
        <w:rPr>
          <w:rFonts w:ascii="Arial" w:cs="Arial" w:eastAsia="Arial" w:hAnsi="Arial"/>
          <w:b w:val="false"/>
          <w:bCs w:val="false"/>
          <w:sz w:val="20"/>
          <w:szCs w:val="20"/>
        </w:rPr>
        <w:t xml:space="preserve">Air-Gap Compliant: Zero network calls. All processing happens locally on the assessor's laptop.</w:t>
      </w:r>
    </w:p>
    <w:p>
      <w:pPr>
        <w:pStyle w:val="ListParagraph"/>
        <w:numPr>
          <w:ilvl w:val="0"/>
          <w:numId w:val="2"/>
        </w:numPr>
        <w:spacing w:before="40" w:after="40"/>
      </w:pPr>
      <w:r>
        <w:rPr>
          <w:rFonts w:ascii="Arial" w:cs="Arial" w:eastAsia="Arial" w:hAnsi="Arial"/>
          <w:b w:val="false"/>
          <w:bCs w:val="false"/>
          <w:sz w:val="20"/>
          <w:szCs w:val="20"/>
        </w:rPr>
        <w:t xml:space="preserve">Drag-and-Drop First: No CLI. Assessors interact via a native desktop GUI.</w:t>
      </w:r>
    </w:p>
    <w:p>
      <w:pPr>
        <w:pageBreakBefore/>
      </w:pPr>
      <w:r>
        <w:t xml:space="preserve"/>
      </w:r>
    </w:p>
    <w:p>
      <w:pPr>
        <w:pStyle w:val="Heading1"/>
        <w:spacing w:before="360" w:after="120"/>
      </w:pPr>
      <w:r>
        <w:rPr>
          <w:rFonts w:ascii="Arial" w:cs="Arial" w:eastAsia="Arial" w:hAnsi="Arial"/>
          <w:b/>
          <w:bCs/>
          <w:color w:val="1F3864"/>
          <w:sz w:val="28"/>
          <w:szCs w:val="28"/>
        </w:rPr>
        <w:t xml:space="preserve">2. System Architecture</w:t>
      </w:r>
    </w:p>
    <w:p>
      <w:pPr>
        <w:pStyle w:val="Heading2"/>
        <w:pBdr>
          <w:bottom w:val="single" w:color="2E75B6" w:sz="4" w:space="4"/>
        </w:pBdr>
        <w:spacing w:before="280" w:after="80"/>
      </w:pPr>
      <w:r>
        <w:rPr>
          <w:rFonts w:ascii="Arial" w:cs="Arial" w:eastAsia="Arial" w:hAnsi="Arial"/>
          <w:b/>
          <w:bCs/>
          <w:color w:val="2E75B6"/>
          <w:sz w:val="24"/>
          <w:szCs w:val="24"/>
        </w:rPr>
        <w:t xml:space="preserve">2.1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8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Layer</w:t>
            </w:r>
          </w:p>
        </w:tc>
        <w:tc>
          <w:tcPr>
            <w:tcW w:type="dxa" w:w="30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Technology</w:t>
            </w:r>
          </w:p>
        </w:tc>
        <w:tc>
          <w:tcPr>
            <w:tcW w:type="dxa" w:w="458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Rationale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Desktop Shell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Electron (Node.js)</w:t>
            </w:r>
          </w:p>
        </w:tc>
        <w:tc>
          <w:tcPr>
            <w:tcW w:type="dxa" w:w="4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Cross-platform, no install of Python/Java required</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UI Framework</w:t>
            </w:r>
          </w:p>
        </w:tc>
        <w:tc>
          <w:tcPr>
            <w:tcW w:type="dxa" w:w="3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React + Tailwind CSS</w:t>
            </w:r>
          </w:p>
        </w:tc>
        <w:tc>
          <w:tcPr>
            <w:tcW w:type="dxa" w:w="4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Component-based drag-drop UI</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Scan Parsing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Node.js + xml2js + csv-parse</w:t>
            </w:r>
          </w:p>
        </w:tc>
        <w:tc>
          <w:tcPr>
            <w:tcW w:type="dxa" w:w="4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Handles XML, JSON, CSV scan exports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XLSX Output</w:t>
            </w:r>
          </w:p>
        </w:tc>
        <w:tc>
          <w:tcPr>
            <w:tcW w:type="dxa" w:w="3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ExcelJS</w:t>
            </w:r>
          </w:p>
        </w:tc>
        <w:tc>
          <w:tcPr>
            <w:tcW w:type="dxa" w:w="4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Full Excel formatting, preserves FedRAMP styles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IIW Parsing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ExcelJS (read mode)</w:t>
            </w:r>
          </w:p>
        </w:tc>
        <w:tc>
          <w:tcPr>
            <w:tcW w:type="dxa" w:w="4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Reads IIW .xlsx to extract asset identifiers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State Mgmt</w:t>
            </w:r>
          </w:p>
        </w:tc>
        <w:tc>
          <w:tcPr>
            <w:tcW w:type="dxa" w:w="3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React Context / Zustand</w:t>
            </w:r>
          </w:p>
        </w:tc>
        <w:tc>
          <w:tcPr>
            <w:tcW w:type="dxa" w:w="4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Session state across pipeline steps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Build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electron-builder</w:t>
            </w:r>
          </w:p>
        </w:tc>
        <w:tc>
          <w:tcPr>
            <w:tcW w:type="dxa" w:w="4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Packages as .exe (Windows) and .dmg (macOS)</w:t>
            </w:r>
          </w:p>
        </w:tc>
      </w:tr>
    </w:tbl>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2.2 High-Level Data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880"/>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25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Stage</w:t>
            </w:r>
          </w:p>
        </w:tc>
        <w:tc>
          <w:tcPr>
            <w:tcW w:type="dxa" w:w="688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File Ingest</w:t>
            </w:r>
          </w:p>
        </w:tc>
        <w:tc>
          <w:tcPr>
            <w:tcW w:type="dxa" w:w="6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Assessor drags scan files and IIW into the application. Files are read locally — never uploaded.</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2</w:t>
            </w:r>
          </w:p>
        </w:tc>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IIW Parse</w:t>
            </w:r>
          </w:p>
        </w:tc>
        <w:tc>
          <w:tcPr>
            <w:tcW w:type="dxa" w:w="68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Application parses IIW Inventory sheet, builds a lookup map of Unique Asset Identifiers with their Authenticated Scan flag.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Scan Detect</w:t>
            </w:r>
          </w:p>
        </w:tc>
        <w:tc>
          <w:tcPr>
            <w:tcW w:type="dxa" w:w="6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Application detects scanner type per file (Nessus XML, Qualys XML, CSV, JSON, SCAP/STIG XCCDF). Falls back to guided manual field mapping if format is unrecognized.</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4</w:t>
            </w:r>
          </w:p>
        </w:tc>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Parse + Normalize</w:t>
            </w:r>
          </w:p>
        </w:tc>
        <w:tc>
          <w:tcPr>
            <w:tcW w:type="dxa" w:w="68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Findings extracted into Canonical Finding Objects (CFOs). See Section 4.</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Classify</w:t>
            </w:r>
          </w:p>
        </w:tc>
        <w:tc>
          <w:tcPr>
            <w:tcW w:type="dxa" w:w="6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Each CFO classified as: Vulnerability (RET tab), Config Finding (Config Findings tab), or Corrected During Testing (RCDT tab).</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6</w:t>
            </w:r>
          </w:p>
        </w:tc>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Asset Match</w:t>
            </w:r>
          </w:p>
        </w:tc>
        <w:tc>
          <w:tcPr>
            <w:tcW w:type="dxa" w:w="68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CFO Asset Identifier matched against IIW lookup. Unmatched assets flagged in Review Queue.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Auth Flag</w:t>
            </w:r>
          </w:p>
        </w:tc>
        <w:tc>
          <w:tcPr>
            <w:tcW w:type="dxa" w:w="6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If IIW shows Authenticated Scan = No for an asset, all findings for that asset are flagged with a warning banner.</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8</w:t>
            </w:r>
          </w:p>
        </w:tc>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Review UI</w:t>
            </w:r>
          </w:p>
        </w:tc>
        <w:tc>
          <w:tcPr>
            <w:tcW w:type="dxa" w:w="68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Assessor reviews flagged items, resolves mismatches, and may add Comments.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9</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ID Assignment</w:t>
            </w:r>
          </w:p>
        </w:tc>
        <w:tc>
          <w:tcPr>
            <w:tcW w:type="dxa" w:w="6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Tool prompts assessor for ID prefix (e.g., VS, PT, CF). Tool auto-generates sequential IDs (e.g., VS-001, VS-002).</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10</w:t>
            </w:r>
          </w:p>
        </w:tc>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Export</w:t>
            </w:r>
          </w:p>
        </w:tc>
        <w:tc>
          <w:tcPr>
            <w:tcW w:type="dxa" w:w="68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Application writes populated RET XLSX preserving FedRAMP template structure.</w:t>
            </w:r>
          </w:p>
        </w:tc>
      </w:tr>
    </w:tbl>
    <w:p>
      <w:pPr>
        <w:pageBreakBefore/>
      </w:pPr>
      <w:r>
        <w:t xml:space="preserve"/>
      </w:r>
    </w:p>
    <w:p>
      <w:pPr>
        <w:pStyle w:val="Heading1"/>
        <w:spacing w:before="360" w:after="120"/>
      </w:pPr>
      <w:r>
        <w:rPr>
          <w:rFonts w:ascii="Arial" w:cs="Arial" w:eastAsia="Arial" w:hAnsi="Arial"/>
          <w:b/>
          <w:bCs/>
          <w:color w:val="1F3864"/>
          <w:sz w:val="28"/>
          <w:szCs w:val="28"/>
        </w:rPr>
        <w:t xml:space="preserve">3. User Interface Specification</w:t>
      </w:r>
    </w:p>
    <w:p>
      <w:pPr>
        <w:pStyle w:val="Heading2"/>
        <w:pBdr>
          <w:bottom w:val="single" w:color="2E75B6" w:sz="4" w:space="4"/>
        </w:pBdr>
        <w:spacing w:before="280" w:after="80"/>
      </w:pPr>
      <w:r>
        <w:rPr>
          <w:rFonts w:ascii="Arial" w:cs="Arial" w:eastAsia="Arial" w:hAnsi="Arial"/>
          <w:b/>
          <w:bCs/>
          <w:color w:val="2E75B6"/>
          <w:sz w:val="24"/>
          <w:szCs w:val="24"/>
        </w:rPr>
        <w:t xml:space="preserve">3.1 Application Window Layout</w:t>
      </w:r>
    </w:p>
    <w:p>
      <w:pPr>
        <w:spacing w:before="60" w:after="60"/>
      </w:pPr>
      <w:r>
        <w:rPr>
          <w:rFonts w:ascii="Arial" w:cs="Arial" w:eastAsia="Arial" w:hAnsi="Arial"/>
          <w:sz w:val="20"/>
          <w:szCs w:val="20"/>
        </w:rPr>
        <w:t xml:space="preserve">The application is a single-window Electron desktop app organized as a linear multi-step wizard. No step can be skipped. The assessor navigates forward/backward using Next and Back buttons. Progress is shown in a persistent top stepper bar.</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68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Step #</w:t>
            </w:r>
          </w:p>
        </w:tc>
        <w:tc>
          <w:tcPr>
            <w:tcW w:type="dxa" w:w="22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Step Name</w:t>
            </w:r>
          </w:p>
        </w:tc>
        <w:tc>
          <w:tcPr>
            <w:tcW w:type="dxa" w:w="668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Step 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System Info</w:t>
            </w:r>
          </w:p>
        </w:tc>
        <w:tc>
          <w:tcPr>
            <w:tcW w:type="dxa" w:w="6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Assessor enters: CSP Name, System Name, Impact Level (Low/Moderate/High), RET Date, and ID prefix schema.</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Step 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Upload IIW</w:t>
            </w:r>
          </w:p>
        </w:tc>
        <w:tc>
          <w:tcPr>
            <w:tcW w:type="dxa" w:w="6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Drag-and-drop zone for the completed IIW .xlsx. On drop, IIW is parsed and asset count is displayed.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Step 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Upload Scans</w:t>
            </w:r>
          </w:p>
        </w:tc>
        <w:tc>
          <w:tcPr>
            <w:tcW w:type="dxa" w:w="6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Drag-and-drop zone supporting multiple files. Each dropped file shows: filename, detected scanner type, finding count, and auth status indicator.</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Step 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Review &amp; Resolve</w:t>
            </w:r>
          </w:p>
        </w:tc>
        <w:tc>
          <w:tcPr>
            <w:tcW w:type="dxa" w:w="6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Table of all findings with flags highlighted. Assessor can: edit Asset ID, add Comments, mark as RCDT. Unauthenticated and unmatched assets shown in warning rows.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Step 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Export</w:t>
            </w:r>
          </w:p>
        </w:tc>
        <w:tc>
          <w:tcPr>
            <w:tcW w:type="dxa" w:w="6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Preview of RET tab summary (counts per tab, flagged items remaining). Export button writes XLSX to user-chosen local path.</w:t>
            </w:r>
          </w:p>
        </w:tc>
      </w:tr>
    </w:tbl>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3.2 Scan File Drop Zone Behavior</w:t>
      </w:r>
    </w:p>
    <w:p>
      <w:pPr>
        <w:pStyle w:val="ListParagraph"/>
        <w:numPr>
          <w:ilvl w:val="0"/>
          <w:numId w:val="2"/>
        </w:numPr>
        <w:spacing w:before="40" w:after="40"/>
      </w:pPr>
      <w:r>
        <w:rPr>
          <w:rFonts w:ascii="Arial" w:cs="Arial" w:eastAsia="Arial" w:hAnsi="Arial"/>
          <w:b w:val="false"/>
          <w:bCs w:val="false"/>
          <w:sz w:val="20"/>
          <w:szCs w:val="20"/>
        </w:rPr>
        <w:t xml:space="preserve">Accepts: .nessus (XML), .xml (Qualys/SCAP/XCCDF), .csv, .json</w:t>
      </w:r>
    </w:p>
    <w:p>
      <w:pPr>
        <w:pStyle w:val="ListParagraph"/>
        <w:numPr>
          <w:ilvl w:val="0"/>
          <w:numId w:val="2"/>
        </w:numPr>
        <w:spacing w:before="40" w:after="40"/>
      </w:pPr>
      <w:r>
        <w:rPr>
          <w:rFonts w:ascii="Arial" w:cs="Arial" w:eastAsia="Arial" w:hAnsi="Arial"/>
          <w:b w:val="false"/>
          <w:bCs w:val="false"/>
          <w:sz w:val="20"/>
          <w:szCs w:val="20"/>
        </w:rPr>
        <w:t xml:space="preserve">On drop, display: filename, auto-detected scanner type badge, row count, and a warning icon if authentication status cannot be confirmed</w:t>
      </w:r>
    </w:p>
    <w:p>
      <w:pPr>
        <w:pStyle w:val="ListParagraph"/>
        <w:numPr>
          <w:ilvl w:val="0"/>
          <w:numId w:val="2"/>
        </w:numPr>
        <w:spacing w:before="40" w:after="40"/>
      </w:pPr>
      <w:r>
        <w:rPr>
          <w:rFonts w:ascii="Arial" w:cs="Arial" w:eastAsia="Arial" w:hAnsi="Arial"/>
          <w:b w:val="false"/>
          <w:bCs w:val="false"/>
          <w:sz w:val="20"/>
          <w:szCs w:val="20"/>
        </w:rPr>
        <w:t xml:space="preserve">If scanner type cannot be auto-detected, display a 'Map Fields' button that opens a column mapping modal where the assessor maps source columns to RET fields</w:t>
      </w:r>
    </w:p>
    <w:p>
      <w:pPr>
        <w:pStyle w:val="ListParagraph"/>
        <w:numPr>
          <w:ilvl w:val="0"/>
          <w:numId w:val="2"/>
        </w:numPr>
        <w:spacing w:before="40" w:after="40"/>
      </w:pPr>
      <w:r>
        <w:rPr>
          <w:rFonts w:ascii="Arial" w:cs="Arial" w:eastAsia="Arial" w:hAnsi="Arial"/>
          <w:b w:val="false"/>
          <w:bCs w:val="false"/>
          <w:sz w:val="20"/>
          <w:szCs w:val="20"/>
        </w:rPr>
        <w:t xml:space="preserve">Multiple files of different scanner types can coexist in the same session</w:t>
      </w:r>
    </w:p>
    <w:p>
      <w:pPr>
        <w:pStyle w:val="ListParagraph"/>
        <w:numPr>
          <w:ilvl w:val="0"/>
          <w:numId w:val="2"/>
        </w:numPr>
        <w:spacing w:before="40" w:after="40"/>
      </w:pPr>
      <w:r>
        <w:rPr>
          <w:rFonts w:ascii="Arial" w:cs="Arial" w:eastAsia="Arial" w:hAnsi="Arial"/>
          <w:b w:val="false"/>
          <w:bCs w:val="false"/>
          <w:sz w:val="20"/>
          <w:szCs w:val="20"/>
        </w:rPr>
        <w:t xml:space="preserve">Files can be removed from the session before export</w:t>
      </w:r>
    </w:p>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3.3 Unauthenticated Scan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 Note: </w:t>
            </w:r>
            <w:r>
              <w:rPr>
                <w:rFonts w:ascii="Arial" w:cs="Arial" w:eastAsia="Arial" w:hAnsi="Arial"/>
                <w:sz w:val="20"/>
                <w:szCs w:val="20"/>
              </w:rPr>
              <w:t xml:space="preserve">When any asset in the IIW has Authenticated Scan = No, or when the scan file metadata indicates unauthenticated mode, ALL findings associated with that asset must be visually flagged in the Review UI with an orange warning badge reading: UNAUTHENTICATED SCAN — Results May Be Incomplete. The assessor must acknowledge each warning before export is enabled.</w:t>
            </w:r>
          </w:p>
        </w:tc>
      </w:tr>
    </w:tbl>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3.4 Review Queue</w:t>
      </w:r>
    </w:p>
    <w:p>
      <w:pPr>
        <w:spacing w:before="60" w:after="60"/>
      </w:pPr>
      <w:r>
        <w:rPr>
          <w:rFonts w:ascii="Arial" w:cs="Arial" w:eastAsia="Arial" w:hAnsi="Arial"/>
          <w:sz w:val="20"/>
          <w:szCs w:val="20"/>
        </w:rPr>
        <w:t xml:space="preserve">The Review Queue (Step 4) is a filterable, sortable data table with the following columns:</w:t>
      </w:r>
    </w:p>
    <w:p>
      <w:pPr>
        <w:pStyle w:val="ListParagraph"/>
        <w:numPr>
          <w:ilvl w:val="0"/>
          <w:numId w:val="2"/>
        </w:numPr>
        <w:spacing w:before="40" w:after="40"/>
      </w:pPr>
      <w:r>
        <w:rPr>
          <w:rFonts w:ascii="Arial" w:cs="Arial" w:eastAsia="Arial" w:hAnsi="Arial"/>
          <w:b w:val="false"/>
          <w:bCs w:val="false"/>
          <w:sz w:val="20"/>
          <w:szCs w:val="20"/>
        </w:rPr>
        <w:t xml:space="preserve">Flag (icon column): Green = clean, Orange = unauthenticated, Red = asset ID not found in IIW</w:t>
      </w:r>
    </w:p>
    <w:p>
      <w:pPr>
        <w:pStyle w:val="ListParagraph"/>
        <w:numPr>
          <w:ilvl w:val="0"/>
          <w:numId w:val="2"/>
        </w:numPr>
        <w:spacing w:before="40" w:after="40"/>
      </w:pPr>
      <w:r>
        <w:rPr>
          <w:rFonts w:ascii="Arial" w:cs="Arial" w:eastAsia="Arial" w:hAnsi="Arial"/>
          <w:b w:val="false"/>
          <w:bCs w:val="false"/>
          <w:sz w:val="20"/>
          <w:szCs w:val="20"/>
        </w:rPr>
        <w:t xml:space="preserve">Scanner Source: filename and scanner type</w:t>
      </w:r>
    </w:p>
    <w:p>
      <w:pPr>
        <w:pStyle w:val="ListParagraph"/>
        <w:numPr>
          <w:ilvl w:val="0"/>
          <w:numId w:val="2"/>
        </w:numPr>
        <w:spacing w:before="40" w:after="40"/>
      </w:pPr>
      <w:r>
        <w:rPr>
          <w:rFonts w:ascii="Arial" w:cs="Arial" w:eastAsia="Arial" w:hAnsi="Arial"/>
          <w:b w:val="false"/>
          <w:bCs w:val="false"/>
          <w:sz w:val="20"/>
          <w:szCs w:val="20"/>
        </w:rPr>
        <w:t xml:space="preserve">Asset Identifier: editable field, pre-populated from scan, must match IIW</w:t>
      </w:r>
    </w:p>
    <w:p>
      <w:pPr>
        <w:pStyle w:val="ListParagraph"/>
        <w:numPr>
          <w:ilvl w:val="0"/>
          <w:numId w:val="2"/>
        </w:numPr>
        <w:spacing w:before="40" w:after="40"/>
      </w:pPr>
      <w:r>
        <w:rPr>
          <w:rFonts w:ascii="Arial" w:cs="Arial" w:eastAsia="Arial" w:hAnsi="Arial"/>
          <w:b w:val="false"/>
          <w:bCs w:val="false"/>
          <w:sz w:val="20"/>
          <w:szCs w:val="20"/>
        </w:rPr>
        <w:t xml:space="preserve">Weakness Name: read-only</w:t>
      </w:r>
    </w:p>
    <w:p>
      <w:pPr>
        <w:pStyle w:val="ListParagraph"/>
        <w:numPr>
          <w:ilvl w:val="0"/>
          <w:numId w:val="2"/>
        </w:numPr>
        <w:spacing w:before="40" w:after="40"/>
      </w:pPr>
      <w:r>
        <w:rPr>
          <w:rFonts w:ascii="Arial" w:cs="Arial" w:eastAsia="Arial" w:hAnsi="Arial"/>
          <w:b w:val="false"/>
          <w:bCs w:val="false"/>
          <w:sz w:val="20"/>
          <w:szCs w:val="20"/>
        </w:rPr>
        <w:t xml:space="preserve">Original Risk Rating: read-only (Critical / High / Moderate / Low)</w:t>
      </w:r>
    </w:p>
    <w:p>
      <w:pPr>
        <w:pStyle w:val="ListParagraph"/>
        <w:numPr>
          <w:ilvl w:val="0"/>
          <w:numId w:val="2"/>
        </w:numPr>
        <w:spacing w:before="40" w:after="40"/>
      </w:pPr>
      <w:r>
        <w:rPr>
          <w:rFonts w:ascii="Arial" w:cs="Arial" w:eastAsia="Arial" w:hAnsi="Arial"/>
          <w:b w:val="false"/>
          <w:bCs w:val="false"/>
          <w:sz w:val="20"/>
          <w:szCs w:val="20"/>
        </w:rPr>
        <w:t xml:space="preserve">Scan Type: Vulnerability / Config Finding</w:t>
      </w:r>
    </w:p>
    <w:p>
      <w:pPr>
        <w:pStyle w:val="ListParagraph"/>
        <w:numPr>
          <w:ilvl w:val="0"/>
          <w:numId w:val="2"/>
        </w:numPr>
        <w:spacing w:before="40" w:after="40"/>
      </w:pPr>
      <w:r>
        <w:rPr>
          <w:rFonts w:ascii="Arial" w:cs="Arial" w:eastAsia="Arial" w:hAnsi="Arial"/>
          <w:b w:val="false"/>
          <w:bCs w:val="false"/>
          <w:sz w:val="20"/>
          <w:szCs w:val="20"/>
        </w:rPr>
        <w:t xml:space="preserve">Mark as RCDT: checkbox — moves finding to RCDT tab on export</w:t>
      </w:r>
    </w:p>
    <w:p>
      <w:pPr>
        <w:pStyle w:val="ListParagraph"/>
        <w:numPr>
          <w:ilvl w:val="0"/>
          <w:numId w:val="2"/>
        </w:numPr>
        <w:spacing w:before="40" w:after="40"/>
      </w:pPr>
      <w:r>
        <w:rPr>
          <w:rFonts w:ascii="Arial" w:cs="Arial" w:eastAsia="Arial" w:hAnsi="Arial"/>
          <w:b w:val="false"/>
          <w:bCs w:val="false"/>
          <w:sz w:val="20"/>
          <w:szCs w:val="20"/>
        </w:rPr>
        <w:t xml:space="preserve">Comments: free-text field for assessor notes</w:t>
      </w:r>
    </w:p>
    <w:p>
      <w:pPr>
        <w:spacing w:before="60" w:after="60"/>
      </w:pPr>
      <w:r>
        <w:t xml:space="preserve"/>
      </w:r>
    </w:p>
    <w:p>
      <w:pPr>
        <w:spacing w:before="60" w:after="60"/>
      </w:pPr>
      <w:r>
        <w:rPr>
          <w:rFonts w:ascii="Arial" w:cs="Arial" w:eastAsia="Arial" w:hAnsi="Arial"/>
          <w:sz w:val="20"/>
          <w:szCs w:val="20"/>
        </w:rPr>
        <w:t xml:space="preserve">Filter controls: by scanner, by flag status, by risk rating, by scan type. Bulk actions: mark all selected as RCDT, clear all flags for a scanner file.</w:t>
      </w:r>
    </w:p>
    <w:p>
      <w:pPr>
        <w:pageBreakBefore/>
      </w:pPr>
      <w:r>
        <w:t xml:space="preserve"/>
      </w:r>
    </w:p>
    <w:p>
      <w:pPr>
        <w:pStyle w:val="Heading1"/>
        <w:spacing w:before="360" w:after="120"/>
      </w:pPr>
      <w:r>
        <w:rPr>
          <w:rFonts w:ascii="Arial" w:cs="Arial" w:eastAsia="Arial" w:hAnsi="Arial"/>
          <w:b/>
          <w:bCs/>
          <w:color w:val="1F3864"/>
          <w:sz w:val="28"/>
          <w:szCs w:val="28"/>
        </w:rPr>
        <w:t xml:space="preserve">4. Canonical Finding Object (CFO)</w:t>
      </w:r>
    </w:p>
    <w:p>
      <w:pPr>
        <w:pStyle w:val="Heading2"/>
        <w:pBdr>
          <w:bottom w:val="single" w:color="2E75B6" w:sz="4" w:space="4"/>
        </w:pBdr>
        <w:spacing w:before="280" w:after="80"/>
      </w:pPr>
      <w:r>
        <w:rPr>
          <w:rFonts w:ascii="Arial" w:cs="Arial" w:eastAsia="Arial" w:hAnsi="Arial"/>
          <w:b/>
          <w:bCs/>
          <w:color w:val="2E75B6"/>
          <w:sz w:val="24"/>
          <w:szCs w:val="24"/>
        </w:rPr>
        <w:t xml:space="preserve">4.1 Data Model</w:t>
      </w:r>
    </w:p>
    <w:p>
      <w:pPr>
        <w:spacing w:before="60" w:after="60"/>
      </w:pPr>
      <w:r>
        <w:rPr>
          <w:rFonts w:ascii="Arial" w:cs="Arial" w:eastAsia="Arial" w:hAnsi="Arial"/>
          <w:sz w:val="20"/>
          <w:szCs w:val="20"/>
        </w:rPr>
        <w:t xml:space="preserve">Every parsed finding — regardless of source scanner — is normalized into a Canonical Finding Object (CFO) before any RET mapping occurs. The CFO is the internal lingua franca of the tool.</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8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CFO Field</w:t>
            </w:r>
          </w:p>
        </w:tc>
        <w:tc>
          <w:tcPr>
            <w:tcW w:type="dxa" w:w="16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628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Description / Mapping Source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cfo_id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UUID</w:t>
            </w:r>
          </w:p>
        </w:tc>
        <w:tc>
          <w:tcPr>
            <w:tcW w:type="dxa" w:w="62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Internal UUID generated at parse time. Not written to RET.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scanner_source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String</w:t>
            </w:r>
          </w:p>
        </w:tc>
        <w:tc>
          <w:tcPr>
            <w:tcW w:type="dxa" w:w="62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Filename and detected scanner type (e.g., 'nessus_scan_20241101.nessus | Tenable Nessus')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weakness_name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String</w:t>
            </w:r>
          </w:p>
        </w:tc>
        <w:tc>
          <w:tcPr>
            <w:tcW w:type="dxa" w:w="62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Short vuln name from scanner. Maps to RET: Weakness Name.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weakness_description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String</w:t>
            </w:r>
          </w:p>
        </w:tc>
        <w:tc>
          <w:tcPr>
            <w:tcW w:type="dxa" w:w="62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Full description from scanner. Maps to RET: Weakness Description.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weakness_source_identifier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String</w:t>
            </w:r>
          </w:p>
        </w:tc>
        <w:tc>
          <w:tcPr>
            <w:tcW w:type="dxa" w:w="62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Plugin ID, CVE, STIG rule ID, or check ID. Maps to RET: Weakness Source Identifier.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asset_identifier</w:t>
            </w:r>
          </w:p>
        </w:tc>
        <w:tc>
          <w:tcPr>
            <w:tcW w:type="dxa" w:w="16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String</w:t>
            </w:r>
          </w:p>
        </w:tc>
        <w:tc>
          <w:tcPr>
            <w:tcW w:type="dxa" w:w="62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IP, hostname, or asset label from scan. Must be validated against IIW.</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original_detection_date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Date</w:t>
            </w:r>
          </w:p>
        </w:tc>
        <w:tc>
          <w:tcPr>
            <w:tcW w:type="dxa" w:w="62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Scan date or first-seen date. Maps to RET: Original Detection Date.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original_risk_rating</w:t>
            </w:r>
          </w:p>
        </w:tc>
        <w:tc>
          <w:tcPr>
            <w:tcW w:type="dxa" w:w="16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Enum</w:t>
            </w:r>
          </w:p>
        </w:tc>
        <w:tc>
          <w:tcPr>
            <w:tcW w:type="dxa" w:w="62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Critical, High, Moderate, Low, Informational. Derived from CVSS or scanner severity.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scan_type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Enum</w:t>
            </w:r>
          </w:p>
        </w:tc>
        <w:tc>
          <w:tcPr>
            <w:tcW w:type="dxa" w:w="62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VULNERABILITY | CONFIG_FINDING | CORRECTED_DURING_TESTING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is_authenticated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Boolean</w:t>
            </w:r>
          </w:p>
        </w:tc>
        <w:tc>
          <w:tcPr>
            <w:tcW w:type="dxa" w:w="62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Derived from IIW Authenticated Scan field for matched asset.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ifw_match_status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Enum</w:t>
            </w:r>
          </w:p>
        </w:tc>
        <w:tc>
          <w:tcPr>
            <w:tcW w:type="dxa" w:w="62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MATCHED | UNMATCHED | AMBIGUOUS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vendor_dependency</w:t>
            </w:r>
          </w:p>
        </w:tc>
        <w:tc>
          <w:tcPr>
            <w:tcW w:type="dxa" w:w="16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Boolean</w:t>
            </w:r>
          </w:p>
        </w:tc>
        <w:tc>
          <w:tcPr>
            <w:tcW w:type="dxa" w:w="62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Default: false. Assessor can override in Review UI.</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vendor_name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String</w:t>
            </w:r>
          </w:p>
        </w:tc>
        <w:tc>
          <w:tcPr>
            <w:tcW w:type="dxa" w:w="62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Populated only if vendor_dependency = true. Human-entered.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hardening_benchmark</w:t>
            </w:r>
          </w:p>
        </w:tc>
        <w:tc>
          <w:tcPr>
            <w:tcW w:type="dxa" w:w="16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String</w:t>
            </w:r>
          </w:p>
        </w:tc>
        <w:tc>
          <w:tcPr>
            <w:tcW w:type="dxa" w:w="62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For CONFIG_FINDING only: STIG/CIS benchmark name.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assessor_comments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String</w:t>
            </w:r>
          </w:p>
        </w:tc>
        <w:tc>
          <w:tcPr>
            <w:tcW w:type="dxa" w:w="62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Free text from Review UI. Maps to RET: Comments.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ret_id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String</w:t>
            </w:r>
          </w:p>
        </w:tc>
        <w:tc>
          <w:tcPr>
            <w:tcW w:type="dxa" w:w="62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Assigned in Step 4. Format: [PREFIX]-[NNN]-[CONTROL]. E.g., VS-001.</w:t>
            </w:r>
          </w:p>
        </w:tc>
      </w:tr>
    </w:tbl>
    <w:p>
      <w:pPr>
        <w:pageBreakBefore/>
      </w:pPr>
      <w:r>
        <w:t xml:space="preserve"/>
      </w:r>
    </w:p>
    <w:p>
      <w:pPr>
        <w:pStyle w:val="Heading1"/>
        <w:spacing w:before="360" w:after="120"/>
      </w:pPr>
      <w:r>
        <w:rPr>
          <w:rFonts w:ascii="Arial" w:cs="Arial" w:eastAsia="Arial" w:hAnsi="Arial"/>
          <w:b/>
          <w:bCs/>
          <w:color w:val="1F3864"/>
          <w:sz w:val="28"/>
          <w:szCs w:val="28"/>
        </w:rPr>
        <w:t xml:space="preserve">5. Scanner Parsing Module</w:t>
      </w:r>
    </w:p>
    <w:p>
      <w:pPr>
        <w:pStyle w:val="Heading2"/>
        <w:pBdr>
          <w:bottom w:val="single" w:color="2E75B6" w:sz="4" w:space="4"/>
        </w:pBdr>
        <w:spacing w:before="280" w:after="80"/>
      </w:pPr>
      <w:r>
        <w:rPr>
          <w:rFonts w:ascii="Arial" w:cs="Arial" w:eastAsia="Arial" w:hAnsi="Arial"/>
          <w:b/>
          <w:bCs/>
          <w:color w:val="2E75B6"/>
          <w:sz w:val="24"/>
          <w:szCs w:val="24"/>
        </w:rPr>
        <w:t xml:space="preserve">5.1 Supported Scanner Formats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448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Scanner</w:t>
            </w:r>
          </w:p>
        </w:tc>
        <w:tc>
          <w:tcPr>
            <w:tcW w:type="dxa" w:w="18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Format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Extension</w:t>
            </w:r>
          </w:p>
        </w:tc>
        <w:tc>
          <w:tcPr>
            <w:tcW w:type="dxa" w:w="448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Detection Logic</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Tenable Nessus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XML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.nessus</w:t>
            </w:r>
          </w:p>
        </w:tc>
        <w:tc>
          <w:tcPr>
            <w:tcW w:type="dxa" w:w="44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Root element &lt;NessusClientData_v2&gt;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Qualys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XML</w:t>
            </w:r>
          </w:p>
        </w:tc>
        <w:tc>
          <w:tcPr>
            <w:tcW w:type="dxa" w:w="1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.xml</w:t>
            </w:r>
          </w:p>
        </w:tc>
        <w:tc>
          <w:tcPr>
            <w:tcW w:type="dxa" w:w="44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Root element &lt;SCAN&gt; or &lt;QualysGuardEnterpriseQualityReport&gt;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Rapid7 InsightVM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CSV / XML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.csv, .xml</w:t>
            </w:r>
          </w:p>
        </w:tc>
        <w:tc>
          <w:tcPr>
            <w:tcW w:type="dxa" w:w="44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CSV header contains 'Asset IP Address', 'Vulnerability Title'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Prisma Cloud / Twistlock</w:t>
            </w:r>
          </w:p>
        </w:tc>
        <w:tc>
          <w:tcPr>
            <w:tcW w:type="dxa" w:w="1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JSON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.json</w:t>
            </w:r>
          </w:p>
        </w:tc>
        <w:tc>
          <w:tcPr>
            <w:tcW w:type="dxa" w:w="44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JSON root key 'results' or 'vulnerabilities' with 'cveID' field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SCAP / XCCDF STIG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XML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.xml</w:t>
            </w:r>
          </w:p>
        </w:tc>
        <w:tc>
          <w:tcPr>
            <w:tcW w:type="dxa" w:w="44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Root element &lt;Benchmark&gt; or &lt;TestResult&gt; with XCCDF namespace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Generic CSV</w:t>
            </w:r>
          </w:p>
        </w:tc>
        <w:tc>
          <w:tcPr>
            <w:tcW w:type="dxa" w:w="1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CSV</w:t>
            </w:r>
          </w:p>
        </w:tc>
        <w:tc>
          <w:tcPr>
            <w:tcW w:type="dxa" w:w="1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.csv</w:t>
            </w:r>
          </w:p>
        </w:tc>
        <w:tc>
          <w:tcPr>
            <w:tcW w:type="dxa" w:w="44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Fallback: opens field mapper modal if no known header pattern matches</w:t>
            </w:r>
          </w:p>
        </w:tc>
      </w:tr>
    </w:tbl>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5.2 Nessus Parser — Field Extraction</w:t>
      </w:r>
    </w:p>
    <w:p>
      <w:pPr>
        <w:spacing w:before="60" w:after="60"/>
      </w:pPr>
      <w:r>
        <w:rPr>
          <w:rFonts w:ascii="Arial" w:cs="Arial" w:eastAsia="Arial" w:hAnsi="Arial"/>
          <w:sz w:val="20"/>
          <w:szCs w:val="20"/>
        </w:rPr>
        <w:t xml:space="preserve">Parse the .nessus XML structure. Each &lt;ReportItem&gt; under &lt;ReportHost&gt; maps as follows: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080"/>
      </w:tblGrid>
      <w:tr>
        <w:trPr>
          <w:tblHeader/>
        </w:trPr>
        <w:tc>
          <w:tcPr>
            <w:tcW w:type="dxa" w:w="35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Nessus XML Path</w:t>
            </w:r>
          </w:p>
        </w:tc>
        <w:tc>
          <w:tcPr>
            <w:tcW w:type="dxa" w:w="35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CFO Field</w:t>
            </w:r>
          </w:p>
        </w:tc>
        <w:tc>
          <w:tcPr>
            <w:tcW w:type="dxa" w:w="308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ReportHost @name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asset_identifier</w:t>
            </w:r>
          </w:p>
        </w:tc>
        <w:tc>
          <w:tcPr>
            <w:tcW w:type="dxa" w:w="30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IP or hostname</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ReportItem/plugin_name</w:t>
            </w:r>
          </w:p>
        </w:tc>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weakness_name</w:t>
            </w:r>
          </w:p>
        </w:tc>
        <w:tc>
          <w:tcPr>
            <w:tcW w:type="dxa" w:w="30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ReportItem/description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weakness_description</w:t>
            </w:r>
          </w:p>
        </w:tc>
        <w:tc>
          <w:tcPr>
            <w:tcW w:type="dxa" w:w="30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ReportItem @pluginID</w:t>
            </w:r>
          </w:p>
        </w:tc>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weakness_source_identifier</w:t>
            </w:r>
          </w:p>
        </w:tc>
        <w:tc>
          <w:tcPr>
            <w:tcW w:type="dxa" w:w="30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Numeric plugin ID</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ReportItem @severity</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original_risk_rating</w:t>
            </w:r>
          </w:p>
        </w:tc>
        <w:tc>
          <w:tcPr>
            <w:tcW w:type="dxa" w:w="30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0=Info, 1=Low, 2=Med, 3=High, 4=Critical</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Preference/ServerPreferences/scan_start_time</w:t>
            </w:r>
          </w:p>
        </w:tc>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original_detection_date</w:t>
            </w:r>
          </w:p>
        </w:tc>
        <w:tc>
          <w:tcPr>
            <w:tcW w:type="dxa" w:w="30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ISO date string</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ReportItem/compliance tag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scan_type</w:t>
            </w:r>
          </w:p>
        </w:tc>
        <w:tc>
          <w:tcPr>
            <w:tcW w:type="dxa" w:w="30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If present: CONFIG_FINDING; else: VULNERABILITY</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ReportItem/cm:compliance-check-name</w:t>
            </w:r>
          </w:p>
        </w:tc>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hardening_benchmark</w:t>
            </w:r>
          </w:p>
        </w:tc>
        <w:tc>
          <w:tcPr>
            <w:tcW w:type="dxa" w:w="30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Config findings only</w:t>
            </w:r>
          </w:p>
        </w:tc>
      </w:tr>
    </w:tbl>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5.3 Severity Normalization</w:t>
      </w:r>
    </w:p>
    <w:p>
      <w:pPr>
        <w:spacing w:before="60" w:after="60"/>
      </w:pPr>
      <w:r>
        <w:rPr>
          <w:rFonts w:ascii="Arial" w:cs="Arial" w:eastAsia="Arial" w:hAnsi="Arial"/>
          <w:sz w:val="20"/>
          <w:szCs w:val="20"/>
        </w:rPr>
        <w:t xml:space="preserve">All scanner-specific severity scales must be normalized to the FedRAMP risk rating vocabulary: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8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FedRAMP Rating</w:t>
            </w:r>
          </w:p>
        </w:tc>
        <w:tc>
          <w:tcPr>
            <w:tcW w:type="dxa" w:w="25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CVSS v3 Range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Nessus Severity Int</w:t>
            </w:r>
          </w:p>
        </w:tc>
        <w:tc>
          <w:tcPr>
            <w:tcW w:type="dxa" w:w="258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Qualys Severity Level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Critical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9.0–10.0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4</w:t>
            </w:r>
          </w:p>
        </w:tc>
        <w:tc>
          <w:tcPr>
            <w:tcW w:type="dxa" w:w="2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5</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High</w:t>
            </w:r>
          </w:p>
        </w:tc>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7.0–8.9</w:t>
            </w:r>
          </w:p>
        </w:tc>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3</w:t>
            </w:r>
          </w:p>
        </w:tc>
        <w:tc>
          <w:tcPr>
            <w:tcW w:type="dxa" w:w="2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4</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Moderate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4.0–6.9</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2</w:t>
            </w:r>
          </w:p>
        </w:tc>
        <w:tc>
          <w:tcPr>
            <w:tcW w:type="dxa" w:w="2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3</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Low</w:t>
            </w:r>
          </w:p>
        </w:tc>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0.1–3.9</w:t>
            </w:r>
          </w:p>
        </w:tc>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1</w:t>
            </w:r>
          </w:p>
        </w:tc>
        <w:tc>
          <w:tcPr>
            <w:tcW w:type="dxa" w:w="2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1–2</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Informational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0</w:t>
            </w:r>
          </w:p>
        </w:tc>
        <w:tc>
          <w:tcPr>
            <w:tcW w:type="dxa" w:w="2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 Note: </w:t>
            </w:r>
            <w:r>
              <w:rPr>
                <w:rFonts w:ascii="Arial" w:cs="Arial" w:eastAsia="Arial" w:hAnsi="Arial"/>
                <w:sz w:val="20"/>
                <w:szCs w:val="20"/>
              </w:rPr>
              <w:t xml:space="preserve">Informational findings (CVSS 0.0 / Nessus severity 0) should NOT be written to the RET. They must be silently excluded during normalization. The summary screen in Step 5 should display the count of excluded informational findings for transparency.</w:t>
            </w:r>
          </w:p>
        </w:tc>
      </w:tr>
    </w:tbl>
    <w:p>
      <w:pPr>
        <w:pageBreakBefore/>
      </w:pPr>
      <w:r>
        <w:t xml:space="preserve"/>
      </w:r>
    </w:p>
    <w:p>
      <w:pPr>
        <w:pStyle w:val="Heading1"/>
        <w:spacing w:before="360" w:after="120"/>
      </w:pPr>
      <w:r>
        <w:rPr>
          <w:rFonts w:ascii="Arial" w:cs="Arial" w:eastAsia="Arial" w:hAnsi="Arial"/>
          <w:b/>
          <w:bCs/>
          <w:color w:val="1F3864"/>
          <w:sz w:val="28"/>
          <w:szCs w:val="28"/>
        </w:rPr>
        <w:t xml:space="preserve">6. Integrated Inventory Workbook (IIW) Integration</w:t>
      </w:r>
    </w:p>
    <w:p>
      <w:pPr>
        <w:pStyle w:val="Heading2"/>
        <w:pBdr>
          <w:bottom w:val="single" w:color="2E75B6" w:sz="4" w:space="4"/>
        </w:pBdr>
        <w:spacing w:before="280" w:after="80"/>
      </w:pPr>
      <w:r>
        <w:rPr>
          <w:rFonts w:ascii="Arial" w:cs="Arial" w:eastAsia="Arial" w:hAnsi="Arial"/>
          <w:b/>
          <w:bCs/>
          <w:color w:val="2E75B6"/>
          <w:sz w:val="24"/>
          <w:szCs w:val="24"/>
        </w:rPr>
        <w:t xml:space="preserve">6.1 IIW Parse Behavior</w:t>
      </w:r>
    </w:p>
    <w:p>
      <w:pPr>
        <w:spacing w:before="60" w:after="60"/>
      </w:pPr>
      <w:r>
        <w:rPr>
          <w:rFonts w:ascii="Arial" w:cs="Arial" w:eastAsia="Arial" w:hAnsi="Arial"/>
          <w:sz w:val="20"/>
          <w:szCs w:val="20"/>
        </w:rPr>
        <w:t xml:space="preserve">The IIW (SSP Appendix M) uses a single sheet named 'Inventory'. Rows 1–5 are header/guidance rows. Data rows begin at Row 6. The tool must skip all non-data rows when parsing.</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480"/>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IIW 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Field Name</w:t>
            </w:r>
          </w:p>
        </w:tc>
        <w:tc>
          <w:tcPr>
            <w:tcW w:type="dxa" w:w="648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Usage in Tool</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Column B</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UNIQUE ASSET IDENTIFIER</w:t>
            </w:r>
          </w:p>
        </w:tc>
        <w:tc>
          <w:tcPr>
            <w:tcW w:type="dxa" w:w="64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Primary key for asset lookup. Must exactly match Asset Identifier in scan output or CFO.</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Column C</w:t>
            </w:r>
          </w:p>
        </w:tc>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IPv4 or IPv6 Address</w:t>
            </w:r>
          </w:p>
        </w:tc>
        <w:tc>
          <w:tcPr>
            <w:tcW w:type="dxa" w:w="64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Secondary match fallback if Column B is blank or mismatch.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Column 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DNS Name or URL</w:t>
            </w:r>
          </w:p>
        </w:tc>
        <w:tc>
          <w:tcPr>
            <w:tcW w:type="dxa" w:w="64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Tertiary match fallback.</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Column I</w:t>
            </w:r>
          </w:p>
        </w:tc>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Authenticated Scan</w:t>
            </w:r>
          </w:p>
        </w:tc>
        <w:tc>
          <w:tcPr>
            <w:tcW w:type="dxa" w:w="64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YES/NO — if NO, all findings for asset are flagged as unauthenticated.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Column M</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Asset Type</w:t>
            </w:r>
          </w:p>
        </w:tc>
        <w:tc>
          <w:tcPr>
            <w:tcW w:type="dxa" w:w="64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Displayed in Review UI for context (e.g., Web Server, Container, Database).</w:t>
            </w:r>
          </w:p>
        </w:tc>
      </w:tr>
    </w:tbl>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6.2 Asset Matching Algorithm</w:t>
      </w:r>
    </w:p>
    <w:p>
      <w:pPr>
        <w:spacing w:before="60" w:after="60"/>
      </w:pPr>
      <w:r>
        <w:rPr>
          <w:rFonts w:ascii="Arial" w:cs="Arial" w:eastAsia="Arial" w:hAnsi="Arial"/>
          <w:sz w:val="20"/>
          <w:szCs w:val="20"/>
        </w:rPr>
        <w:t xml:space="preserve">The tool performs a three-tier lookup to match a scan finding's asset identifier to the IIW:</w:t>
      </w:r>
    </w:p>
    <w:p>
      <w:pPr>
        <w:pStyle w:val="ListParagraph"/>
        <w:numPr>
          <w:ilvl w:val="0"/>
          <w:numId w:val="2"/>
        </w:numPr>
        <w:spacing w:before="40" w:after="40"/>
      </w:pPr>
      <w:r>
        <w:rPr>
          <w:rFonts w:ascii="Arial" w:cs="Arial" w:eastAsia="Arial" w:hAnsi="Arial"/>
          <w:b w:val="false"/>
          <w:bCs w:val="false"/>
          <w:sz w:val="20"/>
          <w:szCs w:val="20"/>
        </w:rPr>
        <w:t xml:space="preserve">Tier 1 — Exact Match: CFO asset_identifier == IIW Column B (case-insensitive, trimmed).</w:t>
      </w:r>
    </w:p>
    <w:p>
      <w:pPr>
        <w:pStyle w:val="ListParagraph"/>
        <w:numPr>
          <w:ilvl w:val="0"/>
          <w:numId w:val="2"/>
        </w:numPr>
        <w:spacing w:before="40" w:after="40"/>
      </w:pPr>
      <w:r>
        <w:rPr>
          <w:rFonts w:ascii="Arial" w:cs="Arial" w:eastAsia="Arial" w:hAnsi="Arial"/>
          <w:b w:val="false"/>
          <w:bCs w:val="false"/>
          <w:sz w:val="20"/>
          <w:szCs w:val="20"/>
        </w:rPr>
        <w:t xml:space="preserve">Tier 2 — IP Match: CFO asset_identifier matches IIW Column C (IPv4/IPv6).</w:t>
      </w:r>
    </w:p>
    <w:p>
      <w:pPr>
        <w:pStyle w:val="ListParagraph"/>
        <w:numPr>
          <w:ilvl w:val="0"/>
          <w:numId w:val="2"/>
        </w:numPr>
        <w:spacing w:before="40" w:after="40"/>
      </w:pPr>
      <w:r>
        <w:rPr>
          <w:rFonts w:ascii="Arial" w:cs="Arial" w:eastAsia="Arial" w:hAnsi="Arial"/>
          <w:b w:val="false"/>
          <w:bCs w:val="false"/>
          <w:sz w:val="20"/>
          <w:szCs w:val="20"/>
        </w:rPr>
        <w:t xml:space="preserve">Tier 3 — DNS Match: CFO asset_identifier matches IIW Column F (hostname/URL, strip http/https prefix).</w:t>
      </w:r>
    </w:p>
    <w:p>
      <w:pPr>
        <w:spacing w:before="60" w:after="60"/>
      </w:pPr>
      <w:r>
        <w:t xml:space="preserve"/>
      </w:r>
    </w:p>
    <w:p>
      <w:pPr>
        <w:spacing w:before="60" w:after="60"/>
      </w:pPr>
      <w:r>
        <w:rPr>
          <w:rFonts w:ascii="Arial" w:cs="Arial" w:eastAsia="Arial" w:hAnsi="Arial"/>
          <w:sz w:val="20"/>
          <w:szCs w:val="20"/>
        </w:rPr>
        <w:t xml:space="preserve">If all three tiers fail: ifw_match_status = UNMATCHED. Finding is placed in the Review Queue with a red flag. Assessor must manually correct the Asset Identifier before export is permitted. Assessor can also indicate that the asset is out-of-scope, which excludes the finding.</w:t>
      </w:r>
    </w:p>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6.3 Authentication Validation</w:t>
      </w:r>
    </w:p>
    <w:p>
      <w:pPr>
        <w:pStyle w:val="ListParagraph"/>
        <w:numPr>
          <w:ilvl w:val="0"/>
          <w:numId w:val="2"/>
        </w:numPr>
        <w:spacing w:before="40" w:after="40"/>
      </w:pPr>
      <w:r>
        <w:rPr>
          <w:rFonts w:ascii="Arial" w:cs="Arial" w:eastAsia="Arial" w:hAnsi="Arial"/>
          <w:b w:val="false"/>
          <w:bCs w:val="false"/>
          <w:sz w:val="20"/>
          <w:szCs w:val="20"/>
        </w:rPr>
        <w:t xml:space="preserve">For each matched asset, check IIW Column I (Authenticated Scan).</w:t>
      </w:r>
    </w:p>
    <w:p>
      <w:pPr>
        <w:pStyle w:val="ListParagraph"/>
        <w:numPr>
          <w:ilvl w:val="0"/>
          <w:numId w:val="2"/>
        </w:numPr>
        <w:spacing w:before="40" w:after="40"/>
      </w:pPr>
      <w:r>
        <w:rPr>
          <w:rFonts w:ascii="Arial" w:cs="Arial" w:eastAsia="Arial" w:hAnsi="Arial"/>
          <w:b w:val="false"/>
          <w:bCs w:val="false"/>
          <w:sz w:val="20"/>
          <w:szCs w:val="20"/>
        </w:rPr>
        <w:t xml:space="preserve">If value = 'No' (case-insensitive): set CFO is_authenticated = false.</w:t>
      </w:r>
    </w:p>
    <w:p>
      <w:pPr>
        <w:pStyle w:val="ListParagraph"/>
        <w:numPr>
          <w:ilvl w:val="0"/>
          <w:numId w:val="2"/>
        </w:numPr>
        <w:spacing w:before="40" w:after="40"/>
      </w:pPr>
      <w:r>
        <w:rPr>
          <w:rFonts w:ascii="Arial" w:cs="Arial" w:eastAsia="Arial" w:hAnsi="Arial"/>
          <w:b w:val="false"/>
          <w:bCs w:val="false"/>
          <w:sz w:val="20"/>
          <w:szCs w:val="20"/>
        </w:rPr>
        <w:t xml:space="preserve">If value = 'Yes': set CFO is_authenticated = true.</w:t>
      </w:r>
    </w:p>
    <w:p>
      <w:pPr>
        <w:pStyle w:val="ListParagraph"/>
        <w:numPr>
          <w:ilvl w:val="0"/>
          <w:numId w:val="2"/>
        </w:numPr>
        <w:spacing w:before="40" w:after="40"/>
      </w:pPr>
      <w:r>
        <w:rPr>
          <w:rFonts w:ascii="Arial" w:cs="Arial" w:eastAsia="Arial" w:hAnsi="Arial"/>
          <w:b w:val="false"/>
          <w:bCs w:val="false"/>
          <w:sz w:val="20"/>
          <w:szCs w:val="20"/>
        </w:rPr>
        <w:t xml:space="preserve">If IIW field is blank or unreadable: set is_authenticated = null and flag as UNKNOWN with a yellow warning.</w:t>
      </w:r>
    </w:p>
    <w:p>
      <w:pPr>
        <w:pStyle w:val="ListParagraph"/>
        <w:numPr>
          <w:ilvl w:val="1"/>
          <w:numId w:val="2"/>
        </w:numPr>
        <w:spacing w:before="30" w:after="30"/>
      </w:pPr>
      <w:r>
        <w:rPr>
          <w:rFonts w:ascii="Arial" w:cs="Arial" w:eastAsia="Arial" w:hAnsi="Arial"/>
          <w:sz w:val="20"/>
          <w:szCs w:val="20"/>
        </w:rPr>
        <w:t xml:space="preserve">UNKNOWN authentication status must also be acknowledged by assessor before export.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 Note: </w:t>
            </w:r>
            <w:r>
              <w:rPr>
                <w:rFonts w:ascii="Arial" w:cs="Arial" w:eastAsia="Arial" w:hAnsi="Arial"/>
                <w:sz w:val="20"/>
                <w:szCs w:val="20"/>
              </w:rPr>
              <w:t xml:space="preserve">Per FedRAMP guidance, unauthenticated scans may miss vulnerabilities that would only be visible with valid credentials. The RET must reflect this limitation. The tool should prepend the following text to the Comments field of all unauthenticated findings: '[UNAUTHENTICATED SCAN — findings may be incomplete for this asset]'. The assessor can edit or remove this note.</w:t>
            </w:r>
          </w:p>
        </w:tc>
      </w:tr>
    </w:tbl>
    <w:p>
      <w:pPr>
        <w:pageBreakBefore/>
      </w:pPr>
      <w:r>
        <w:t xml:space="preserve"/>
      </w:r>
    </w:p>
    <w:p>
      <w:pPr>
        <w:pStyle w:val="Heading1"/>
        <w:spacing w:before="360" w:after="120"/>
      </w:pPr>
      <w:r>
        <w:rPr>
          <w:rFonts w:ascii="Arial" w:cs="Arial" w:eastAsia="Arial" w:hAnsi="Arial"/>
          <w:b/>
          <w:bCs/>
          <w:color w:val="1F3864"/>
          <w:sz w:val="28"/>
          <w:szCs w:val="28"/>
        </w:rPr>
        <w:t xml:space="preserve">7. RET Column Population Logic</w:t>
      </w:r>
    </w:p>
    <w:p>
      <w:pPr>
        <w:pStyle w:val="Heading2"/>
        <w:pBdr>
          <w:bottom w:val="single" w:color="2E75B6" w:sz="4" w:space="4"/>
        </w:pBdr>
        <w:spacing w:before="280" w:after="80"/>
      </w:pPr>
      <w:r>
        <w:rPr>
          <w:rFonts w:ascii="Arial" w:cs="Arial" w:eastAsia="Arial" w:hAnsi="Arial"/>
          <w:b/>
          <w:bCs/>
          <w:color w:val="2E75B6"/>
          <w:sz w:val="24"/>
          <w:szCs w:val="24"/>
        </w:rPr>
        <w:t xml:space="preserve">7.1 Risk Exposure Table Tab</w:t>
      </w:r>
    </w:p>
    <w:p>
      <w:pPr>
        <w:spacing w:before="60" w:after="60"/>
      </w:pPr>
      <w:r>
        <w:rPr>
          <w:rFonts w:ascii="Arial" w:cs="Arial" w:eastAsia="Arial" w:hAnsi="Arial"/>
          <w:sz w:val="20"/>
          <w:szCs w:val="20"/>
        </w:rPr>
        <w:t xml:space="preserve">Tab name: 'Risk Exposure Table'. Rows 1–3 are the header block. Row 4 is the column header row. Row 5 is Guidance. Row 6 is Examples. Row 7 is Mandatory/Situational. Data rows begin at Row 8. The tool must preserve rows 1–7 exactly and append findings starting at Row 8.</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880"/>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RET Column</w:t>
            </w:r>
          </w:p>
        </w:tc>
        <w:tc>
          <w:tcPr>
            <w:tcW w:type="dxa" w:w="28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Column Name</w:t>
            </w:r>
          </w:p>
        </w:tc>
        <w:tc>
          <w:tcPr>
            <w:tcW w:type="dxa" w:w="588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Tool Population Logic</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Row 1 Col 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CSP Name</w:t>
            </w:r>
          </w:p>
        </w:tc>
        <w:tc>
          <w:tcPr>
            <w:tcW w:type="dxa" w:w="5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From Step 1 user input.</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Row 1 Col B</w:t>
            </w:r>
          </w:p>
        </w:tc>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System Name</w:t>
            </w:r>
          </w:p>
        </w:tc>
        <w:tc>
          <w:tcPr>
            <w:tcW w:type="dxa" w:w="58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From Step 1 user input.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Row 1 Col C</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Impact Level</w:t>
            </w:r>
          </w:p>
        </w:tc>
        <w:tc>
          <w:tcPr>
            <w:tcW w:type="dxa" w:w="5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From Step 1 dropdown: Low | Moderate | High.</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Row 1 Col D</w:t>
            </w:r>
          </w:p>
        </w:tc>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RET Date</w:t>
            </w:r>
          </w:p>
        </w:tc>
        <w:tc>
          <w:tcPr>
            <w:tcW w:type="dxa" w:w="58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From Step 1 date picker. Written as MM/DD/YYYY.</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Col B (data)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RET / POA&amp;M ID</w:t>
            </w:r>
          </w:p>
        </w:tc>
        <w:tc>
          <w:tcPr>
            <w:tcW w:type="dxa" w:w="5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Auto-assigned sequential ID using assessor prefix. Format: [PREFIX]-[NNN]. E.g., VS-001.</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Col C (data)</w:t>
            </w:r>
          </w:p>
        </w:tc>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Controls</w:t>
            </w:r>
          </w:p>
        </w:tc>
        <w:tc>
          <w:tcPr>
            <w:tcW w:type="dxa" w:w="58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Hardcoded: RA-5 for all scan-derived vulnerabilities.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Col D (data)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Weakness Name</w:t>
            </w:r>
          </w:p>
        </w:tc>
        <w:tc>
          <w:tcPr>
            <w:tcW w:type="dxa" w:w="5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CFO weakness_name. Truncate to 255 chars if needed.</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Col E (data)</w:t>
            </w:r>
          </w:p>
        </w:tc>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Weakness Description</w:t>
            </w:r>
          </w:p>
        </w:tc>
        <w:tc>
          <w:tcPr>
            <w:tcW w:type="dxa" w:w="58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CFO weakness_description. Full text, no truncation.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Col F (data)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Weakness Detector Source</w:t>
            </w:r>
          </w:p>
        </w:tc>
        <w:tc>
          <w:tcPr>
            <w:tcW w:type="dxa" w:w="5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CFO scanner_source (scanner product name only, e.g., 'Tenable Nessus').</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Col G (data)</w:t>
            </w:r>
          </w:p>
        </w:tc>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Weakness Source Identifier</w:t>
            </w:r>
          </w:p>
        </w:tc>
        <w:tc>
          <w:tcPr>
            <w:tcW w:type="dxa" w:w="58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CFO weakness_source_identifier. Blank if none — do NOT write N/A.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Col H (data)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Asset Identifier</w:t>
            </w:r>
          </w:p>
        </w:tc>
        <w:tc>
          <w:tcPr>
            <w:tcW w:type="dxa" w:w="5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CFO asset_identifier after IIW match resolution. Must match IIW Col B exactly.</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Col I (data)</w:t>
            </w:r>
          </w:p>
        </w:tc>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Original Detection Date</w:t>
            </w:r>
          </w:p>
        </w:tc>
        <w:tc>
          <w:tcPr>
            <w:tcW w:type="dxa" w:w="58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CFO original_detection_date. Written as MM/DD/YYYY.</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Col J (data)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Vendor Dependency</w:t>
            </w:r>
          </w:p>
        </w:tc>
        <w:tc>
          <w:tcPr>
            <w:tcW w:type="dxa" w:w="5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Yes or No. Default: No. Assessor can change in Review UI.</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Col K (data)</w:t>
            </w:r>
          </w:p>
        </w:tc>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Vendor Dependent Product Name</w:t>
            </w:r>
          </w:p>
        </w:tc>
        <w:tc>
          <w:tcPr>
            <w:tcW w:type="dxa" w:w="58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Blank unless Col J = Yes. Do NOT write N/A.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Col L (data)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Original Risk Rating</w:t>
            </w:r>
          </w:p>
        </w:tc>
        <w:tc>
          <w:tcPr>
            <w:tcW w:type="dxa" w:w="5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CFO original_risk_rating (Critical | High | Moderate | Low).</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Col M (data)</w:t>
            </w:r>
          </w:p>
        </w:tc>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Adjusted Risk Rating</w:t>
            </w:r>
          </w:p>
        </w:tc>
        <w:tc>
          <w:tcPr>
            <w:tcW w:type="dxa" w:w="58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LEAVE BLANK — human review only. Do NOT write N/A.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Col N (data)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Risk Adjustment</w:t>
            </w:r>
          </w:p>
        </w:tc>
        <w:tc>
          <w:tcPr>
            <w:tcW w:type="dxa" w:w="5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LEAVE BLANK — human review only. Do NOT write N/A.</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Col O (data)</w:t>
            </w:r>
          </w:p>
        </w:tc>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False Positive</w:t>
            </w:r>
          </w:p>
        </w:tc>
        <w:tc>
          <w:tcPr>
            <w:tcW w:type="dxa" w:w="58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NOT APPLICABLE per FedRAMP RET rules. Column is greyed out on RET tab. Leave blank.</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Col P (data)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Operational Requirement</w:t>
            </w:r>
          </w:p>
        </w:tc>
        <w:tc>
          <w:tcPr>
            <w:tcW w:type="dxa" w:w="5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LEAVE BLANK — human review only. Do NOT write N/A.</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Col Q (data)</w:t>
            </w:r>
          </w:p>
        </w:tc>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Deviation Rationale</w:t>
            </w:r>
          </w:p>
        </w:tc>
        <w:tc>
          <w:tcPr>
            <w:tcW w:type="dxa" w:w="58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LEAVE BLANK — human review only. Do NOT write N/A.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Col R (data)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Comments</w:t>
            </w:r>
          </w:p>
        </w:tc>
        <w:tc>
          <w:tcPr>
            <w:tcW w:type="dxa" w:w="58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CFO assessor_comments. Blank if none. Do NOT write N/A.</w:t>
            </w:r>
          </w:p>
        </w:tc>
      </w:tr>
    </w:tbl>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7.2 Configuration Findings Tab</w:t>
      </w:r>
    </w:p>
    <w:p>
      <w:pPr>
        <w:spacing w:before="60" w:after="60"/>
      </w:pPr>
      <w:r>
        <w:rPr>
          <w:rFonts w:ascii="Arial" w:cs="Arial" w:eastAsia="Arial" w:hAnsi="Arial"/>
          <w:sz w:val="20"/>
          <w:szCs w:val="20"/>
        </w:rPr>
        <w:t xml:space="preserve">Tab name: 'Configuration Findings'. Same column structure as RET tab but adds Column S: Hardening Benchmark Name. This tab receives CFOs where scan_type = CONFIG_FINDING. The tool populates Column S from CFO hardening_benchmark (STIG/CIS benchmark name).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 Note: </w:t>
            </w:r>
            <w:r>
              <w:rPr>
                <w:rFonts w:ascii="Arial" w:cs="Arial" w:eastAsia="Arial" w:hAnsi="Arial"/>
                <w:sz w:val="20"/>
                <w:szCs w:val="20"/>
              </w:rPr>
              <w:t xml:space="preserve">Per FedRAMP instructions, if there are any configuration findings, the tool must ALSO create one CM-6 finding on the Risk Exposure Table tab. This CM-6 row should have: Controls = CM-6, Weakness Name = 'Configuration Findings — See Configuration Findings Tab', Weakness Description = 'One or more configuration findings were identified during assessment. Refer to the Configuration Findings tab for individual items.', and Asset Identifier = 'Multiple — See Configuration Findings Tab'.</w:t>
            </w:r>
          </w:p>
        </w:tc>
      </w:tr>
    </w:tbl>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7.3 Risks Corrected During Testing (RCDT) Tab</w:t>
      </w:r>
    </w:p>
    <w:p>
      <w:pPr>
        <w:spacing w:before="60" w:after="60"/>
      </w:pPr>
      <w:r>
        <w:rPr>
          <w:rFonts w:ascii="Arial" w:cs="Arial" w:eastAsia="Arial" w:hAnsi="Arial"/>
          <w:sz w:val="20"/>
          <w:szCs w:val="20"/>
        </w:rPr>
        <w:t xml:space="preserve">Tab name: 'Risks Corrected During Testing'. CFOs where the assessor checked 'Mark as RCDT' in the Review UI are written here. Column differences from RET tab: Vendor Dependency = Not Applicable, Adjusted Risk Rating = Not Applicable, Risk Adjustment = Not Applicable, Operational Requirement = Not Applicable, Deviation Rationale = Not Applicable. False Positive column IS active on this tab (write Yes if assessor flagged as FP).</w:t>
      </w:r>
    </w:p>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7.4 PL-2 Findings Tab</w:t>
      </w:r>
    </w:p>
    <w:p>
      <w:pPr>
        <w:spacing w:before="60" w:after="60"/>
      </w:pPr>
      <w:r>
        <w:rPr>
          <w:rFonts w:ascii="Arial" w:cs="Arial" w:eastAsia="Arial" w:hAnsi="Arial"/>
          <w:sz w:val="20"/>
          <w:szCs w:val="20"/>
        </w:rPr>
        <w:t xml:space="preserve">Tab name: 'PL-2 Findings'. This tab is NOT auto-populated by vulnerability scans. The tool preserves this tab blank (with its header rows intact) in all exports. Assessors populate PL-2 manually based on SSP documentation review — outside the scope of this tool.</w:t>
      </w:r>
    </w:p>
    <w:p>
      <w:pPr>
        <w:pageBreakBefore/>
      </w:pPr>
      <w:r>
        <w:t xml:space="preserve"/>
      </w:r>
    </w:p>
    <w:p>
      <w:pPr>
        <w:pStyle w:val="Heading1"/>
        <w:spacing w:before="360" w:after="120"/>
      </w:pPr>
      <w:r>
        <w:rPr>
          <w:rFonts w:ascii="Arial" w:cs="Arial" w:eastAsia="Arial" w:hAnsi="Arial"/>
          <w:b/>
          <w:bCs/>
          <w:color w:val="1F3864"/>
          <w:sz w:val="28"/>
          <w:szCs w:val="28"/>
        </w:rPr>
        <w:t xml:space="preserve">8. RET ID Generation</w:t>
      </w:r>
    </w:p>
    <w:p>
      <w:pPr>
        <w:pStyle w:val="Heading2"/>
        <w:pBdr>
          <w:bottom w:val="single" w:color="2E75B6" w:sz="4" w:space="4"/>
        </w:pBdr>
        <w:spacing w:before="280" w:after="80"/>
      </w:pPr>
      <w:r>
        <w:rPr>
          <w:rFonts w:ascii="Arial" w:cs="Arial" w:eastAsia="Arial" w:hAnsi="Arial"/>
          <w:b/>
          <w:bCs/>
          <w:color w:val="2E75B6"/>
          <w:sz w:val="24"/>
          <w:szCs w:val="24"/>
        </w:rPr>
        <w:t xml:space="preserve">8.1 ID Schema</w:t>
      </w:r>
    </w:p>
    <w:p>
      <w:pPr>
        <w:spacing w:before="60" w:after="60"/>
      </w:pPr>
      <w:r>
        <w:rPr>
          <w:rFonts w:ascii="Arial" w:cs="Arial" w:eastAsia="Arial" w:hAnsi="Arial"/>
          <w:sz w:val="20"/>
          <w:szCs w:val="20"/>
        </w:rPr>
        <w:t xml:space="preserve">In Step 1, the assessor enters a two-to-four character prefix (e.g., VS for vulnerability scan, PT for penetration test, CF for configuration finding). The tool appends a zero-padded three-digit sequence number.</w:t>
      </w:r>
    </w:p>
    <w:p>
      <w:pPr>
        <w:spacing w:before="60" w:after="6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Vulnerability findings: [PREFIX]-[NNN] e.g., VS-001, VS-002</w:t>
      </w:r>
    </w:p>
    <w:p>
      <w:pPr>
        <w:pStyle w:val="ListParagraph"/>
        <w:numPr>
          <w:ilvl w:val="0"/>
          <w:numId w:val="2"/>
        </w:numPr>
        <w:spacing w:before="40" w:after="40"/>
      </w:pPr>
      <w:r>
        <w:rPr>
          <w:rFonts w:ascii="Arial" w:cs="Arial" w:eastAsia="Arial" w:hAnsi="Arial"/>
          <w:b w:val="false"/>
          <w:bCs w:val="false"/>
          <w:sz w:val="20"/>
          <w:szCs w:val="20"/>
        </w:rPr>
        <w:t xml:space="preserve">Configuration findings: [CF_PREFIX]-[NNN] e.g., CF-001, CF-002</w:t>
      </w:r>
    </w:p>
    <w:p>
      <w:pPr>
        <w:pStyle w:val="ListParagraph"/>
        <w:numPr>
          <w:ilvl w:val="0"/>
          <w:numId w:val="2"/>
        </w:numPr>
        <w:spacing w:before="40" w:after="40"/>
      </w:pPr>
      <w:r>
        <w:rPr>
          <w:rFonts w:ascii="Arial" w:cs="Arial" w:eastAsia="Arial" w:hAnsi="Arial"/>
          <w:b w:val="false"/>
          <w:bCs w:val="false"/>
          <w:sz w:val="20"/>
          <w:szCs w:val="20"/>
        </w:rPr>
        <w:t xml:space="preserve">RCDT items: [RCDT_PREFIX]-[NNN] e.g., RC-001, RC-002</w:t>
      </w:r>
    </w:p>
    <w:p>
      <w:pPr>
        <w:spacing w:before="60" w:after="60"/>
      </w:pPr>
      <w:r>
        <w:t xml:space="preserve"/>
      </w:r>
    </w:p>
    <w:p>
      <w:pPr>
        <w:spacing w:before="60" w:after="60"/>
      </w:pPr>
      <w:r>
        <w:rPr>
          <w:rFonts w:ascii="Arial" w:cs="Arial" w:eastAsia="Arial" w:hAnsi="Arial"/>
          <w:sz w:val="20"/>
          <w:szCs w:val="20"/>
        </w:rPr>
        <w:t xml:space="preserve">Sequence numbering resets per tab. Numbers are assigned in order of: descending risk rating (Critical first, then High, Moderate, Low), then alphabetically by weakness name within the same rating tier.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 Note: </w:t>
            </w:r>
            <w:r>
              <w:rPr>
                <w:rFonts w:ascii="Arial" w:cs="Arial" w:eastAsia="Arial" w:hAnsi="Arial"/>
                <w:sz w:val="20"/>
                <w:szCs w:val="20"/>
              </w:rPr>
              <w:t xml:space="preserve">ID assignment is the last step before export. The assessor is shown the full ordered list and can drag-to-reorder if needed before final export. IDs are written to the RET XLSX in the order they appear in the list.</w:t>
            </w:r>
          </w:p>
        </w:tc>
      </w:tr>
    </w:tbl>
    <w:p>
      <w:pPr>
        <w:pageBreakBefore/>
      </w:pPr>
      <w:r>
        <w:t xml:space="preserve"/>
      </w:r>
    </w:p>
    <w:p>
      <w:pPr>
        <w:pStyle w:val="Heading1"/>
        <w:spacing w:before="360" w:after="120"/>
      </w:pPr>
      <w:r>
        <w:rPr>
          <w:rFonts w:ascii="Arial" w:cs="Arial" w:eastAsia="Arial" w:hAnsi="Arial"/>
          <w:b/>
          <w:bCs/>
          <w:color w:val="1F3864"/>
          <w:sz w:val="28"/>
          <w:szCs w:val="28"/>
        </w:rPr>
        <w:t xml:space="preserve">9. Validation &amp; Export Rules</w:t>
      </w:r>
    </w:p>
    <w:p>
      <w:pPr>
        <w:pStyle w:val="Heading2"/>
        <w:pBdr>
          <w:bottom w:val="single" w:color="2E75B6" w:sz="4" w:space="4"/>
        </w:pBdr>
        <w:spacing w:before="280" w:after="80"/>
      </w:pPr>
      <w:r>
        <w:rPr>
          <w:rFonts w:ascii="Arial" w:cs="Arial" w:eastAsia="Arial" w:hAnsi="Arial"/>
          <w:b/>
          <w:bCs/>
          <w:color w:val="2E75B6"/>
          <w:sz w:val="24"/>
          <w:szCs w:val="24"/>
        </w:rPr>
        <w:t xml:space="preserve">9.1 Pre-Export Validation Checklist</w:t>
      </w:r>
    </w:p>
    <w:p>
      <w:pPr>
        <w:spacing w:before="60" w:after="60"/>
      </w:pPr>
      <w:r>
        <w:rPr>
          <w:rFonts w:ascii="Arial" w:cs="Arial" w:eastAsia="Arial" w:hAnsi="Arial"/>
          <w:sz w:val="20"/>
          <w:szCs w:val="20"/>
        </w:rPr>
        <w:t xml:space="preserve">The tool must enforce the following rules before enabling the Export button. Each failing check is listed as a blocking error: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408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48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Validation Rule</w:t>
            </w:r>
          </w:p>
        </w:tc>
        <w:tc>
          <w:tcPr>
            <w:tcW w:type="dxa" w:w="408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Error Message if Fails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V-01</w:t>
            </w:r>
          </w:p>
        </w:tc>
        <w:tc>
          <w:tcPr>
            <w:tcW w:type="dxa" w:w="4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CSP Name, System Name, Impact Level, RET Date all populated.</w:t>
            </w:r>
          </w:p>
        </w:tc>
        <w:tc>
          <w:tcPr>
            <w:tcW w:type="dxa" w:w="40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System information is incomplete. Return to Step 1.</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V-02</w:t>
            </w:r>
          </w:p>
        </w:tc>
        <w:tc>
          <w:tcPr>
            <w:tcW w:type="dxa" w:w="4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IIW has been uploaded and parsed with at least 1 asset.</w:t>
            </w:r>
          </w:p>
        </w:tc>
        <w:tc>
          <w:tcPr>
            <w:tcW w:type="dxa" w:w="40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No valid IIW found. Upload a completed IIW in Step 2.</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V-03</w:t>
            </w:r>
          </w:p>
        </w:tc>
        <w:tc>
          <w:tcPr>
            <w:tcW w:type="dxa" w:w="4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At least one scan file has been uploaded.</w:t>
            </w:r>
          </w:p>
        </w:tc>
        <w:tc>
          <w:tcPr>
            <w:tcW w:type="dxa" w:w="40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No scan files found. Upload at least one scan in Step 3.</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V-04</w:t>
            </w:r>
          </w:p>
        </w:tc>
        <w:tc>
          <w:tcPr>
            <w:tcW w:type="dxa" w:w="4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Zero UNMATCHED asset identifiers remain unresolved.</w:t>
            </w:r>
          </w:p>
        </w:tc>
        <w:tc>
          <w:tcPr>
            <w:tcW w:type="dxa" w:w="40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[N] findings have unresolved asset IDs. Resolve in Step 4 before export.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V-05</w:t>
            </w:r>
          </w:p>
        </w:tc>
        <w:tc>
          <w:tcPr>
            <w:tcW w:type="dxa" w:w="4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All UNAUTHENTICATED warnings acknowledged by assessor.</w:t>
            </w:r>
          </w:p>
        </w:tc>
        <w:tc>
          <w:tcPr>
            <w:tcW w:type="dxa" w:w="40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[N] unauthenticated scan warnings have not been acknowledged.</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V-06</w:t>
            </w:r>
          </w:p>
        </w:tc>
        <w:tc>
          <w:tcPr>
            <w:tcW w:type="dxa" w:w="4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No RET ID is duplicated across all three tabs.</w:t>
            </w:r>
          </w:p>
        </w:tc>
        <w:tc>
          <w:tcPr>
            <w:tcW w:type="dxa" w:w="40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Duplicate RET IDs detected. Review and correct ID assignments.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V-07</w:t>
            </w:r>
          </w:p>
        </w:tc>
        <w:tc>
          <w:tcPr>
            <w:tcW w:type="dxa" w:w="4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Config findings tab has data only if CM-6 row exists on RET tab.</w:t>
            </w:r>
          </w:p>
        </w:tc>
        <w:tc>
          <w:tcPr>
            <w:tcW w:type="dxa" w:w="40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Config findings present but CM-6 row is missing from RET tab. Tool should auto-create.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V-08</w:t>
            </w:r>
          </w:p>
        </w:tc>
        <w:tc>
          <w:tcPr>
            <w:tcW w:type="dxa" w:w="4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Vendor Dependency = Yes rows have a non-blank Vendor Name.</w:t>
            </w:r>
          </w:p>
        </w:tc>
        <w:tc>
          <w:tcPr>
            <w:tcW w:type="dxa" w:w="40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[N] findings marked as Vendor Dependent have no vendor name.</w:t>
            </w:r>
          </w:p>
        </w:tc>
      </w:tr>
    </w:tbl>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9.2 Excel Output Requirements</w:t>
      </w:r>
    </w:p>
    <w:p>
      <w:pPr>
        <w:pStyle w:val="ListParagraph"/>
        <w:numPr>
          <w:ilvl w:val="0"/>
          <w:numId w:val="2"/>
        </w:numPr>
        <w:spacing w:before="40" w:after="40"/>
      </w:pPr>
      <w:r>
        <w:rPr>
          <w:rFonts w:ascii="Arial" w:cs="Arial" w:eastAsia="Arial" w:hAnsi="Arial"/>
          <w:b w:val="false"/>
          <w:bCs w:val="false"/>
          <w:sz w:val="20"/>
          <w:szCs w:val="20"/>
        </w:rPr>
        <w:t xml:space="preserve">Output file must use the FedRAMP RET workbook as a template base — do not create a blank workbook.</w:t>
      </w:r>
    </w:p>
    <w:p>
      <w:pPr>
        <w:pStyle w:val="ListParagraph"/>
        <w:numPr>
          <w:ilvl w:val="0"/>
          <w:numId w:val="2"/>
        </w:numPr>
        <w:spacing w:before="40" w:after="40"/>
      </w:pPr>
      <w:r>
        <w:rPr>
          <w:rFonts w:ascii="Arial" w:cs="Arial" w:eastAsia="Arial" w:hAnsi="Arial"/>
          <w:b w:val="false"/>
          <w:bCs w:val="false"/>
          <w:sz w:val="20"/>
          <w:szCs w:val="20"/>
        </w:rPr>
        <w:t xml:space="preserve">All guidance rows (Guidance, Examples, Mandatory/Situational) must be preserved in the output.</w:t>
      </w:r>
    </w:p>
    <w:p>
      <w:pPr>
        <w:pStyle w:val="ListParagraph"/>
        <w:numPr>
          <w:ilvl w:val="0"/>
          <w:numId w:val="2"/>
        </w:numPr>
        <w:spacing w:before="40" w:after="40"/>
      </w:pPr>
      <w:r>
        <w:rPr>
          <w:rFonts w:ascii="Arial" w:cs="Arial" w:eastAsia="Arial" w:hAnsi="Arial"/>
          <w:b w:val="false"/>
          <w:bCs w:val="false"/>
          <w:sz w:val="20"/>
          <w:szCs w:val="20"/>
        </w:rPr>
        <w:t xml:space="preserve">Column formatting (widths, font, cell colors) from the template must be preserved.</w:t>
      </w:r>
    </w:p>
    <w:p>
      <w:pPr>
        <w:pStyle w:val="ListParagraph"/>
        <w:numPr>
          <w:ilvl w:val="0"/>
          <w:numId w:val="2"/>
        </w:numPr>
        <w:spacing w:before="40" w:after="40"/>
      </w:pPr>
      <w:r>
        <w:rPr>
          <w:rFonts w:ascii="Arial" w:cs="Arial" w:eastAsia="Arial" w:hAnsi="Arial"/>
          <w:b w:val="false"/>
          <w:bCs w:val="false"/>
          <w:sz w:val="20"/>
          <w:szCs w:val="20"/>
        </w:rPr>
        <w:t xml:space="preserve">False Positive column on the RET tab must remain greyed out / locked in output.</w:t>
      </w:r>
    </w:p>
    <w:p>
      <w:pPr>
        <w:pStyle w:val="ListParagraph"/>
        <w:numPr>
          <w:ilvl w:val="0"/>
          <w:numId w:val="2"/>
        </w:numPr>
        <w:spacing w:before="40" w:after="40"/>
      </w:pPr>
      <w:r>
        <w:rPr>
          <w:rFonts w:ascii="Arial" w:cs="Arial" w:eastAsia="Arial" w:hAnsi="Arial"/>
          <w:b w:val="false"/>
          <w:bCs w:val="false"/>
          <w:sz w:val="20"/>
          <w:szCs w:val="20"/>
        </w:rPr>
        <w:t xml:space="preserve">Date fields must be formatted as Excel date cells (MM/DD/YYYY display format), not plain text strings.</w:t>
      </w:r>
    </w:p>
    <w:p>
      <w:pPr>
        <w:pStyle w:val="ListParagraph"/>
        <w:numPr>
          <w:ilvl w:val="0"/>
          <w:numId w:val="2"/>
        </w:numPr>
        <w:spacing w:before="40" w:after="40"/>
      </w:pPr>
      <w:r>
        <w:rPr>
          <w:rFonts w:ascii="Arial" w:cs="Arial" w:eastAsia="Arial" w:hAnsi="Arial"/>
          <w:b w:val="false"/>
          <w:bCs w:val="false"/>
          <w:sz w:val="20"/>
          <w:szCs w:val="20"/>
        </w:rPr>
        <w:t xml:space="preserve">Asset Identifier cells containing multiple assets (if ever applicable) use Alt+Enter line breaks (char code 10) within the cell with wrap-text enabled.</w:t>
      </w:r>
    </w:p>
    <w:p>
      <w:pPr>
        <w:pStyle w:val="ListParagraph"/>
        <w:numPr>
          <w:ilvl w:val="0"/>
          <w:numId w:val="2"/>
        </w:numPr>
        <w:spacing w:before="40" w:after="40"/>
      </w:pPr>
      <w:r>
        <w:rPr>
          <w:rFonts w:ascii="Arial" w:cs="Arial" w:eastAsia="Arial" w:hAnsi="Arial"/>
          <w:b w:val="false"/>
          <w:bCs w:val="false"/>
          <w:sz w:val="20"/>
          <w:szCs w:val="20"/>
        </w:rPr>
        <w:t xml:space="preserve">Output filename convention: [CSP_Name]_[System_Name]_RET_[YYYY-MM-DD].xlsx (spaces replaced with underscores).</w:t>
      </w:r>
    </w:p>
    <w:p>
      <w:pPr>
        <w:pageBreakBefore/>
      </w:pPr>
      <w:r>
        <w:t xml:space="preserve"/>
      </w:r>
    </w:p>
    <w:p>
      <w:pPr>
        <w:pStyle w:val="Heading1"/>
        <w:spacing w:before="360" w:after="120"/>
      </w:pPr>
      <w:r>
        <w:rPr>
          <w:rFonts w:ascii="Arial" w:cs="Arial" w:eastAsia="Arial" w:hAnsi="Arial"/>
          <w:b/>
          <w:bCs/>
          <w:color w:val="1F3864"/>
          <w:sz w:val="28"/>
          <w:szCs w:val="28"/>
        </w:rPr>
        <w:t xml:space="preserve">10. Error Handling &amp; Edge Cases</w:t>
      </w:r>
    </w:p>
    <w:p>
      <w:pPr>
        <w:pStyle w:val="Heading2"/>
        <w:pBdr>
          <w:bottom w:val="single" w:color="2E75B6" w:sz="4" w:space="4"/>
        </w:pBdr>
        <w:spacing w:before="280" w:after="80"/>
      </w:pPr>
      <w:r>
        <w:rPr>
          <w:rFonts w:ascii="Arial" w:cs="Arial" w:eastAsia="Arial" w:hAnsi="Arial"/>
          <w:b/>
          <w:bCs/>
          <w:color w:val="2E75B6"/>
          <w:sz w:val="24"/>
          <w:szCs w:val="24"/>
        </w:rPr>
        <w:t xml:space="preserve">10.1 Scanner Parsing Errors</w:t>
      </w:r>
    </w:p>
    <w:p>
      <w:pPr>
        <w:pStyle w:val="ListParagraph"/>
        <w:numPr>
          <w:ilvl w:val="0"/>
          <w:numId w:val="2"/>
        </w:numPr>
        <w:spacing w:before="40" w:after="40"/>
      </w:pPr>
      <w:r>
        <w:rPr>
          <w:rFonts w:ascii="Arial" w:cs="Arial" w:eastAsia="Arial" w:hAnsi="Arial"/>
          <w:b w:val="false"/>
          <w:bCs w:val="false"/>
          <w:sz w:val="20"/>
          <w:szCs w:val="20"/>
        </w:rPr>
        <w:t xml:space="preserve">Malformed XML: Display file-level error: 'Could not parse [filename] — file may be corrupt or truncated.' Exclude file from session.</w:t>
      </w:r>
    </w:p>
    <w:p>
      <w:pPr>
        <w:pStyle w:val="ListParagraph"/>
        <w:numPr>
          <w:ilvl w:val="0"/>
          <w:numId w:val="2"/>
        </w:numPr>
        <w:spacing w:before="40" w:after="40"/>
      </w:pPr>
      <w:r>
        <w:rPr>
          <w:rFonts w:ascii="Arial" w:cs="Arial" w:eastAsia="Arial" w:hAnsi="Arial"/>
          <w:b w:val="false"/>
          <w:bCs w:val="false"/>
          <w:sz w:val="20"/>
          <w:szCs w:val="20"/>
        </w:rPr>
        <w:t xml:space="preserve">Unknown CSV format: Open field mapper modal automatically. Do not silently skip.</w:t>
      </w:r>
    </w:p>
    <w:p>
      <w:pPr>
        <w:pStyle w:val="ListParagraph"/>
        <w:numPr>
          <w:ilvl w:val="0"/>
          <w:numId w:val="2"/>
        </w:numPr>
        <w:spacing w:before="40" w:after="40"/>
      </w:pPr>
      <w:r>
        <w:rPr>
          <w:rFonts w:ascii="Arial" w:cs="Arial" w:eastAsia="Arial" w:hAnsi="Arial"/>
          <w:b w:val="false"/>
          <w:bCs w:val="false"/>
          <w:sz w:val="20"/>
          <w:szCs w:val="20"/>
        </w:rPr>
        <w:t xml:space="preserve">Empty scan file (0 findings): Display warning: 'No findings detected in [filename]. Verify this is a complete scan output.' Allow assessor to keep or remove.</w:t>
      </w:r>
    </w:p>
    <w:p>
      <w:pPr>
        <w:pStyle w:val="ListParagraph"/>
        <w:numPr>
          <w:ilvl w:val="0"/>
          <w:numId w:val="2"/>
        </w:numPr>
        <w:spacing w:before="40" w:after="40"/>
      </w:pPr>
      <w:r>
        <w:rPr>
          <w:rFonts w:ascii="Arial" w:cs="Arial" w:eastAsia="Arial" w:hAnsi="Arial"/>
          <w:b w:val="false"/>
          <w:bCs w:val="false"/>
          <w:sz w:val="20"/>
          <w:szCs w:val="20"/>
        </w:rPr>
        <w:t xml:space="preserve">Duplicate findings across files: Deduplicate by (asset_identifier + weakness_source_identifier). Show dedup count in Step 5 summary.</w:t>
      </w:r>
    </w:p>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10.2 IIW Parsing Errors</w:t>
      </w:r>
    </w:p>
    <w:p>
      <w:pPr>
        <w:pStyle w:val="ListParagraph"/>
        <w:numPr>
          <w:ilvl w:val="0"/>
          <w:numId w:val="2"/>
        </w:numPr>
        <w:spacing w:before="40" w:after="40"/>
      </w:pPr>
      <w:r>
        <w:rPr>
          <w:rFonts w:ascii="Arial" w:cs="Arial" w:eastAsia="Arial" w:hAnsi="Arial"/>
          <w:b w:val="false"/>
          <w:bCs w:val="false"/>
          <w:sz w:val="20"/>
          <w:szCs w:val="20"/>
        </w:rPr>
        <w:t xml:space="preserve">IIW has no data rows (all rows are header/guidance): Display error: 'IIW appears empty or unpopulated. Please upload a completed IIW.'</w:t>
      </w:r>
    </w:p>
    <w:p>
      <w:pPr>
        <w:pStyle w:val="ListParagraph"/>
        <w:numPr>
          <w:ilvl w:val="0"/>
          <w:numId w:val="2"/>
        </w:numPr>
        <w:spacing w:before="40" w:after="40"/>
      </w:pPr>
      <w:r>
        <w:rPr>
          <w:rFonts w:ascii="Arial" w:cs="Arial" w:eastAsia="Arial" w:hAnsi="Arial"/>
          <w:b w:val="false"/>
          <w:bCs w:val="false"/>
          <w:sz w:val="20"/>
          <w:szCs w:val="20"/>
        </w:rPr>
        <w:t xml:space="preserve">Unique Asset Identifier column (Col B) is blank for a row: Skip that row with a logged warning.</w:t>
      </w:r>
    </w:p>
    <w:p>
      <w:pPr>
        <w:pStyle w:val="ListParagraph"/>
        <w:numPr>
          <w:ilvl w:val="0"/>
          <w:numId w:val="2"/>
        </w:numPr>
        <w:spacing w:before="40" w:after="40"/>
      </w:pPr>
      <w:r>
        <w:rPr>
          <w:rFonts w:ascii="Arial" w:cs="Arial" w:eastAsia="Arial" w:hAnsi="Arial"/>
          <w:b w:val="false"/>
          <w:bCs w:val="false"/>
          <w:sz w:val="20"/>
          <w:szCs w:val="20"/>
        </w:rPr>
        <w:t xml:space="preserve">Duplicate Unique Asset Identifiers in IIW: Flag in IIW parse summary. Use first occurrence for matching.</w:t>
      </w:r>
    </w:p>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10.3 High Volume Handling</w:t>
      </w:r>
    </w:p>
    <w:p>
      <w:pPr>
        <w:spacing w:before="60" w:after="60"/>
      </w:pPr>
      <w:r>
        <w:rPr>
          <w:rFonts w:ascii="Arial" w:cs="Arial" w:eastAsia="Arial" w:hAnsi="Arial"/>
          <w:sz w:val="20"/>
          <w:szCs w:val="20"/>
        </w:rPr>
        <w:t xml:space="preserve">The tool must handle scan sessions with up to 10,000 findings without UI freezing. Implement the following:</w:t>
      </w:r>
    </w:p>
    <w:p>
      <w:pPr>
        <w:pStyle w:val="ListParagraph"/>
        <w:numPr>
          <w:ilvl w:val="0"/>
          <w:numId w:val="2"/>
        </w:numPr>
        <w:spacing w:before="40" w:after="40"/>
      </w:pPr>
      <w:r>
        <w:rPr>
          <w:rFonts w:ascii="Arial" w:cs="Arial" w:eastAsia="Arial" w:hAnsi="Arial"/>
          <w:b w:val="false"/>
          <w:bCs w:val="false"/>
          <w:sz w:val="20"/>
          <w:szCs w:val="20"/>
        </w:rPr>
        <w:t xml:space="preserve">Parse scan files in a background Node.js worker thread (not the Electron main/renderer thread).</w:t>
      </w:r>
    </w:p>
    <w:p>
      <w:pPr>
        <w:pStyle w:val="ListParagraph"/>
        <w:numPr>
          <w:ilvl w:val="0"/>
          <w:numId w:val="2"/>
        </w:numPr>
        <w:spacing w:before="40" w:after="40"/>
      </w:pPr>
      <w:r>
        <w:rPr>
          <w:rFonts w:ascii="Arial" w:cs="Arial" w:eastAsia="Arial" w:hAnsi="Arial"/>
          <w:b w:val="false"/>
          <w:bCs w:val="false"/>
          <w:sz w:val="20"/>
          <w:szCs w:val="20"/>
        </w:rPr>
        <w:t xml:space="preserve">Review UI table uses virtual scrolling (render only visible rows). Recommended library: react-window or TanStack Virtual.</w:t>
      </w:r>
    </w:p>
    <w:p>
      <w:pPr>
        <w:pStyle w:val="ListParagraph"/>
        <w:numPr>
          <w:ilvl w:val="0"/>
          <w:numId w:val="2"/>
        </w:numPr>
        <w:spacing w:before="40" w:after="40"/>
      </w:pPr>
      <w:r>
        <w:rPr>
          <w:rFonts w:ascii="Arial" w:cs="Arial" w:eastAsia="Arial" w:hAnsi="Arial"/>
          <w:b w:val="false"/>
          <w:bCs w:val="false"/>
          <w:sz w:val="20"/>
          <w:szCs w:val="20"/>
        </w:rPr>
        <w:t xml:space="preserve">Export writes the XLSX in a streaming fashion using ExcelJS streaming API to avoid memory overflow.</w:t>
      </w:r>
    </w:p>
    <w:p>
      <w:pPr>
        <w:pStyle w:val="ListParagraph"/>
        <w:numPr>
          <w:ilvl w:val="0"/>
          <w:numId w:val="2"/>
        </w:numPr>
        <w:spacing w:before="40" w:after="40"/>
      </w:pPr>
      <w:r>
        <w:rPr>
          <w:rFonts w:ascii="Arial" w:cs="Arial" w:eastAsia="Arial" w:hAnsi="Arial"/>
          <w:b w:val="false"/>
          <w:bCs w:val="false"/>
          <w:sz w:val="20"/>
          <w:szCs w:val="20"/>
        </w:rPr>
        <w:t xml:space="preserve">Progress bar shown during parsing and export operations.</w:t>
      </w:r>
    </w:p>
    <w:p>
      <w:pPr>
        <w:pageBreakBefore/>
      </w:pPr>
      <w:r>
        <w:t xml:space="preserve"/>
      </w:r>
    </w:p>
    <w:p>
      <w:pPr>
        <w:pStyle w:val="Heading1"/>
        <w:spacing w:before="360" w:after="120"/>
      </w:pPr>
      <w:r>
        <w:rPr>
          <w:rFonts w:ascii="Arial" w:cs="Arial" w:eastAsia="Arial" w:hAnsi="Arial"/>
          <w:b/>
          <w:bCs/>
          <w:color w:val="1F3864"/>
          <w:sz w:val="28"/>
          <w:szCs w:val="28"/>
        </w:rPr>
        <w:t xml:space="preserve">11. Recommended Project File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Path</w:t>
            </w:r>
          </w:p>
        </w:tc>
        <w:tc>
          <w:tcPr>
            <w:tcW w:type="dxa" w:w="658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/src/main/main.js</w:t>
            </w:r>
          </w:p>
        </w:tc>
        <w:tc>
          <w:tcPr>
            <w:tcW w:type="dxa" w:w="6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Electron main process entry point</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/src/main/ipc-handlers.js</w:t>
            </w:r>
          </w:p>
        </w:tc>
        <w:tc>
          <w:tcPr>
            <w:tcW w:type="dxa" w:w="6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IPC channels between main and renderer</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/src/renderer/App.jsx</w:t>
            </w:r>
          </w:p>
        </w:tc>
        <w:tc>
          <w:tcPr>
            <w:tcW w:type="dxa" w:w="6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React root, step wizard router</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/src/renderer/steps/</w:t>
            </w:r>
          </w:p>
        </w:tc>
        <w:tc>
          <w:tcPr>
            <w:tcW w:type="dxa" w:w="6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One component per wizard step (Step1 through Step5)</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/src/renderer/components/</w:t>
            </w:r>
          </w:p>
        </w:tc>
        <w:tc>
          <w:tcPr>
            <w:tcW w:type="dxa" w:w="6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Shared UI components (DropZone, ReviewTable, etc.)</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/src/parsers/index.js</w:t>
            </w:r>
          </w:p>
        </w:tc>
        <w:tc>
          <w:tcPr>
            <w:tcW w:type="dxa" w:w="6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Scanner detection and dispatch to correct parser</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/src/parsers/nessus.js</w:t>
            </w:r>
          </w:p>
        </w:tc>
        <w:tc>
          <w:tcPr>
            <w:tcW w:type="dxa" w:w="6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Tenable Nessus .nessus XML parser</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/src/parsers/qualys.js</w:t>
            </w:r>
          </w:p>
        </w:tc>
        <w:tc>
          <w:tcPr>
            <w:tcW w:type="dxa" w:w="6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Qualys XML parser</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/src/parsers/rapid7.js</w:t>
            </w:r>
          </w:p>
        </w:tc>
        <w:tc>
          <w:tcPr>
            <w:tcW w:type="dxa" w:w="6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Rapid7 CSV/XML parser</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/src/parsers/prisma.js</w:t>
            </w:r>
          </w:p>
        </w:tc>
        <w:tc>
          <w:tcPr>
            <w:tcW w:type="dxa" w:w="6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Prisma Cloud / Twistlock JSON parser</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/src/parsers/scap.js</w:t>
            </w:r>
          </w:p>
        </w:tc>
        <w:tc>
          <w:tcPr>
            <w:tcW w:type="dxa" w:w="6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SCAP / XCCDF / STIG XML parser</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/src/parsers/generic-csv.js</w:t>
            </w:r>
          </w:p>
        </w:tc>
        <w:tc>
          <w:tcPr>
            <w:tcW w:type="dxa" w:w="6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Generic CSV field mapper fallback</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/src/parsers/iiw.js</w:t>
            </w:r>
          </w:p>
        </w:tc>
        <w:tc>
          <w:tcPr>
            <w:tcW w:type="dxa" w:w="6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IIW XLSX parser and asset lookup map builder</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/src/engine/normalizer.js</w:t>
            </w:r>
          </w:p>
        </w:tc>
        <w:tc>
          <w:tcPr>
            <w:tcW w:type="dxa" w:w="6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Converts all parser outputs to CFO schema</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/src/engine/matcher.js</w:t>
            </w:r>
          </w:p>
        </w:tc>
        <w:tc>
          <w:tcPr>
            <w:tcW w:type="dxa" w:w="6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Three-tier IIW asset matching algorithm</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/src/engine/classifier.js</w:t>
            </w:r>
          </w:p>
        </w:tc>
        <w:tc>
          <w:tcPr>
            <w:tcW w:type="dxa" w:w="6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Classifies CFOs as VULNERABILITY / CONFIG / RCDT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/src/engine/id-generator.js</w:t>
            </w:r>
          </w:p>
        </w:tc>
        <w:tc>
          <w:tcPr>
            <w:tcW w:type="dxa" w:w="6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RET ID sequential assignment logic</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/src/engine/validator.js</w:t>
            </w:r>
          </w:p>
        </w:tc>
        <w:tc>
          <w:tcPr>
            <w:tcW w:type="dxa" w:w="6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Pre-export V-01 through V-08 validation checks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/src/export/ret-writer.js</w:t>
            </w:r>
          </w:p>
        </w:tc>
        <w:tc>
          <w:tcPr>
            <w:tcW w:type="dxa" w:w="6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Writes populated CFOs to RET XLSX using ExcelJS</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/assets/RET_template.xlsx</w:t>
            </w:r>
          </w:p>
        </w:tc>
        <w:tc>
          <w:tcPr>
            <w:tcW w:type="dxa" w:w="6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Bundled FedRAMP RET v2.5 template (read-only reference)</w:t>
            </w:r>
          </w:p>
        </w:tc>
      </w:tr>
    </w:tbl>
    <w:p>
      <w:pPr>
        <w:pageBreakBefore/>
      </w:pPr>
      <w:r>
        <w:t xml:space="preserve"/>
      </w:r>
    </w:p>
    <w:p>
      <w:pPr>
        <w:pStyle w:val="Heading1"/>
        <w:spacing w:before="360" w:after="120"/>
      </w:pPr>
      <w:r>
        <w:rPr>
          <w:rFonts w:ascii="Arial" w:cs="Arial" w:eastAsia="Arial" w:hAnsi="Arial"/>
          <w:b/>
          <w:bCs/>
          <w:color w:val="1F3864"/>
          <w:sz w:val="28"/>
          <w:szCs w:val="28"/>
        </w:rPr>
        <w:t xml:space="preserve">12. Security &amp; Compliance Constraints</w:t>
      </w:r>
    </w:p>
    <w:p>
      <w:pPr>
        <w:pStyle w:val="Heading2"/>
        <w:pBdr>
          <w:bottom w:val="single" w:color="2E75B6" w:sz="4" w:space="4"/>
        </w:pBdr>
        <w:spacing w:before="280" w:after="80"/>
      </w:pPr>
      <w:r>
        <w:rPr>
          <w:rFonts w:ascii="Arial" w:cs="Arial" w:eastAsia="Arial" w:hAnsi="Arial"/>
          <w:b/>
          <w:bCs/>
          <w:color w:val="2E75B6"/>
          <w:sz w:val="24"/>
          <w:szCs w:val="24"/>
        </w:rPr>
        <w:t xml:space="preserve">12.1 Data Residency</w:t>
      </w:r>
    </w:p>
    <w:p>
      <w:pPr>
        <w:pStyle w:val="ListParagraph"/>
        <w:numPr>
          <w:ilvl w:val="0"/>
          <w:numId w:val="2"/>
        </w:numPr>
        <w:spacing w:before="40" w:after="40"/>
      </w:pPr>
      <w:r>
        <w:rPr>
          <w:rFonts w:ascii="Arial" w:cs="Arial" w:eastAsia="Arial" w:hAnsi="Arial"/>
          <w:b w:val="false"/>
          <w:bCs w:val="false"/>
          <w:sz w:val="20"/>
          <w:szCs w:val="20"/>
        </w:rPr>
        <w:t xml:space="preserve">Zero network calls. The application must not make any HTTP/HTTPS requests at any point during operation.</w:t>
      </w:r>
    </w:p>
    <w:p>
      <w:pPr>
        <w:pStyle w:val="ListParagraph"/>
        <w:numPr>
          <w:ilvl w:val="0"/>
          <w:numId w:val="2"/>
        </w:numPr>
        <w:spacing w:before="40" w:after="40"/>
      </w:pPr>
      <w:r>
        <w:rPr>
          <w:rFonts w:ascii="Arial" w:cs="Arial" w:eastAsia="Arial" w:hAnsi="Arial"/>
          <w:b w:val="false"/>
          <w:bCs w:val="false"/>
          <w:sz w:val="20"/>
          <w:szCs w:val="20"/>
        </w:rPr>
        <w:t xml:space="preserve">Electron's contextIsolation must be set to true and nodeIntegration must be set to false in renderer processes.</w:t>
      </w:r>
    </w:p>
    <w:p>
      <w:pPr>
        <w:pStyle w:val="ListParagraph"/>
        <w:numPr>
          <w:ilvl w:val="0"/>
          <w:numId w:val="2"/>
        </w:numPr>
        <w:spacing w:before="40" w:after="40"/>
      </w:pPr>
      <w:r>
        <w:rPr>
          <w:rFonts w:ascii="Arial" w:cs="Arial" w:eastAsia="Arial" w:hAnsi="Arial"/>
          <w:b w:val="false"/>
          <w:bCs w:val="false"/>
          <w:sz w:val="20"/>
          <w:szCs w:val="20"/>
        </w:rPr>
        <w:t xml:space="preserve">All file I/O happens via IPC from renderer to main process. The renderer has no direct filesystem access.</w:t>
      </w:r>
    </w:p>
    <w:p>
      <w:pPr>
        <w:pStyle w:val="ListParagraph"/>
        <w:numPr>
          <w:ilvl w:val="0"/>
          <w:numId w:val="2"/>
        </w:numPr>
        <w:spacing w:before="40" w:after="40"/>
      </w:pPr>
      <w:r>
        <w:rPr>
          <w:rFonts w:ascii="Arial" w:cs="Arial" w:eastAsia="Arial" w:hAnsi="Arial"/>
          <w:b w:val="false"/>
          <w:bCs w:val="false"/>
          <w:sz w:val="20"/>
          <w:szCs w:val="20"/>
        </w:rPr>
        <w:t xml:space="preserve">No telemetry, crash reporting, or auto-update mechanisms. Disable Electron's built-in update service.</w:t>
      </w:r>
    </w:p>
    <w:p>
      <w:pPr>
        <w:pStyle w:val="ListParagraph"/>
        <w:numPr>
          <w:ilvl w:val="0"/>
          <w:numId w:val="2"/>
        </w:numPr>
        <w:spacing w:before="40" w:after="40"/>
      </w:pPr>
      <w:r>
        <w:rPr>
          <w:rFonts w:ascii="Arial" w:cs="Arial" w:eastAsia="Arial" w:hAnsi="Arial"/>
          <w:b w:val="false"/>
          <w:bCs w:val="false"/>
          <w:sz w:val="20"/>
          <w:szCs w:val="20"/>
        </w:rPr>
        <w:t xml:space="preserve">Temporary files written during session are cleared on application close.</w:t>
      </w:r>
    </w:p>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12.2 Sensitive Data Handling</w:t>
      </w:r>
    </w:p>
    <w:p>
      <w:pPr>
        <w:pStyle w:val="ListParagraph"/>
        <w:numPr>
          <w:ilvl w:val="0"/>
          <w:numId w:val="2"/>
        </w:numPr>
        <w:spacing w:before="40" w:after="40"/>
      </w:pPr>
      <w:r>
        <w:rPr>
          <w:rFonts w:ascii="Arial" w:cs="Arial" w:eastAsia="Arial" w:hAnsi="Arial"/>
          <w:b w:val="false"/>
          <w:bCs w:val="false"/>
          <w:sz w:val="20"/>
          <w:szCs w:val="20"/>
        </w:rPr>
        <w:t xml:space="preserve">No session data is persisted to disk between app launches. All state is in-memory only.</w:t>
      </w:r>
    </w:p>
    <w:p>
      <w:pPr>
        <w:pStyle w:val="ListParagraph"/>
        <w:numPr>
          <w:ilvl w:val="0"/>
          <w:numId w:val="2"/>
        </w:numPr>
        <w:spacing w:before="40" w:after="40"/>
      </w:pPr>
      <w:r>
        <w:rPr>
          <w:rFonts w:ascii="Arial" w:cs="Arial" w:eastAsia="Arial" w:hAnsi="Arial"/>
          <w:b w:val="false"/>
          <w:bCs w:val="false"/>
          <w:sz w:val="20"/>
          <w:szCs w:val="20"/>
        </w:rPr>
        <w:t xml:space="preserve">The RET XLSX output is written only to the file path explicitly chosen by the assessor via the OS save dialog.</w:t>
      </w:r>
    </w:p>
    <w:p>
      <w:pPr>
        <w:pStyle w:val="ListParagraph"/>
        <w:numPr>
          <w:ilvl w:val="0"/>
          <w:numId w:val="2"/>
        </w:numPr>
        <w:spacing w:before="40" w:after="40"/>
      </w:pPr>
      <w:r>
        <w:rPr>
          <w:rFonts w:ascii="Arial" w:cs="Arial" w:eastAsia="Arial" w:hAnsi="Arial"/>
          <w:b w:val="false"/>
          <w:bCs w:val="false"/>
          <w:sz w:val="20"/>
          <w:szCs w:val="20"/>
        </w:rPr>
        <w:t xml:space="preserve">Log files, if implemented, must never contain vulnerability descriptions, CVE IDs, or asset identifiers.</w:t>
      </w:r>
    </w:p>
    <w:p>
      <w:pPr>
        <w:spacing w:before="60" w:after="60"/>
      </w:pPr>
      <w:r>
        <w:t xml:space="preserve"/>
      </w:r>
    </w:p>
    <w:p>
      <w:pPr>
        <w:pStyle w:val="Heading2"/>
        <w:pBdr>
          <w:bottom w:val="single" w:color="2E75B6" w:sz="4" w:space="4"/>
        </w:pBdr>
        <w:spacing w:before="280" w:after="80"/>
      </w:pPr>
      <w:r>
        <w:rPr>
          <w:rFonts w:ascii="Arial" w:cs="Arial" w:eastAsia="Arial" w:hAnsi="Arial"/>
          <w:b/>
          <w:bCs/>
          <w:color w:val="2E75B6"/>
          <w:sz w:val="24"/>
          <w:szCs w:val="24"/>
        </w:rPr>
        <w:t xml:space="preserve">12.3 Distribution</w:t>
      </w:r>
    </w:p>
    <w:p>
      <w:pPr>
        <w:pStyle w:val="ListParagraph"/>
        <w:numPr>
          <w:ilvl w:val="0"/>
          <w:numId w:val="2"/>
        </w:numPr>
        <w:spacing w:before="40" w:after="40"/>
      </w:pPr>
      <w:r>
        <w:rPr>
          <w:rFonts w:ascii="Arial" w:cs="Arial" w:eastAsia="Arial" w:hAnsi="Arial"/>
          <w:b w:val="false"/>
          <w:bCs w:val="false"/>
          <w:sz w:val="20"/>
          <w:szCs w:val="20"/>
        </w:rPr>
        <w:t xml:space="preserve">Package as a code-signed Electron app for both Windows (.exe installer) and macOS (.dmg).</w:t>
      </w:r>
    </w:p>
    <w:p>
      <w:pPr>
        <w:pStyle w:val="ListParagraph"/>
        <w:numPr>
          <w:ilvl w:val="0"/>
          <w:numId w:val="2"/>
        </w:numPr>
        <w:spacing w:before="40" w:after="40"/>
      </w:pPr>
      <w:r>
        <w:rPr>
          <w:rFonts w:ascii="Arial" w:cs="Arial" w:eastAsia="Arial" w:hAnsi="Arial"/>
          <w:b w:val="false"/>
          <w:bCs w:val="false"/>
          <w:sz w:val="20"/>
          <w:szCs w:val="20"/>
        </w:rPr>
        <w:t xml:space="preserve">Include a SHA-256 hash file alongside each release binary for integrity verification.</w:t>
      </w:r>
    </w:p>
    <w:p>
      <w:pPr>
        <w:pStyle w:val="ListParagraph"/>
        <w:numPr>
          <w:ilvl w:val="0"/>
          <w:numId w:val="2"/>
        </w:numPr>
        <w:spacing w:before="40" w:after="40"/>
      </w:pPr>
      <w:r>
        <w:rPr>
          <w:rFonts w:ascii="Arial" w:cs="Arial" w:eastAsia="Arial" w:hAnsi="Arial"/>
          <w:b w:val="false"/>
          <w:bCs w:val="false"/>
          <w:sz w:val="20"/>
          <w:szCs w:val="20"/>
        </w:rPr>
        <w:t xml:space="preserve">Do not require internet access for installation or operation.</w:t>
      </w:r>
    </w:p>
    <w:p>
      <w:pPr>
        <w:pageBreakBefore/>
      </w:pPr>
      <w:r>
        <w:t xml:space="preserve"/>
      </w:r>
    </w:p>
    <w:p>
      <w:pPr>
        <w:pStyle w:val="Heading1"/>
        <w:spacing w:before="360" w:after="120"/>
      </w:pPr>
      <w:r>
        <w:rPr>
          <w:rFonts w:ascii="Arial" w:cs="Arial" w:eastAsia="Arial" w:hAnsi="Arial"/>
          <w:b/>
          <w:bCs/>
          <w:color w:val="1F3864"/>
          <w:sz w:val="28"/>
          <w:szCs w:val="28"/>
        </w:rPr>
        <w:t xml:space="preserve">13. Out of Scope (V1.0)</w:t>
      </w:r>
    </w:p>
    <w:p>
      <w:pPr>
        <w:spacing w:before="60" w:after="60"/>
      </w:pPr>
      <w:r>
        <w:rPr>
          <w:rFonts w:ascii="Arial" w:cs="Arial" w:eastAsia="Arial" w:hAnsi="Arial"/>
          <w:sz w:val="20"/>
          <w:szCs w:val="20"/>
        </w:rPr>
        <w:t xml:space="preserve">The following items are explicitly excluded from this version to keep scope manageable. They may be addressed in future versions:</w:t>
      </w:r>
    </w:p>
    <w:p>
      <w:pPr>
        <w:spacing w:before="60" w:after="6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POA&amp;M integration — no ticket creation or export to POA&amp;M format</w:t>
      </w:r>
    </w:p>
    <w:p>
      <w:pPr>
        <w:pStyle w:val="ListParagraph"/>
        <w:numPr>
          <w:ilvl w:val="0"/>
          <w:numId w:val="2"/>
        </w:numPr>
        <w:spacing w:before="40" w:after="40"/>
      </w:pPr>
      <w:r>
        <w:rPr>
          <w:rFonts w:ascii="Arial" w:cs="Arial" w:eastAsia="Arial" w:hAnsi="Arial"/>
          <w:b w:val="false"/>
          <w:bCs w:val="false"/>
          <w:sz w:val="20"/>
          <w:szCs w:val="20"/>
        </w:rPr>
        <w:t xml:space="preserve">PL-2 tab auto-population — requires SRTM document parsing (out of scope)</w:t>
      </w:r>
    </w:p>
    <w:p>
      <w:pPr>
        <w:pStyle w:val="ListParagraph"/>
        <w:numPr>
          <w:ilvl w:val="0"/>
          <w:numId w:val="2"/>
        </w:numPr>
        <w:spacing w:before="40" w:after="40"/>
      </w:pPr>
      <w:r>
        <w:rPr>
          <w:rFonts w:ascii="Arial" w:cs="Arial" w:eastAsia="Arial" w:hAnsi="Arial"/>
          <w:b w:val="false"/>
          <w:bCs w:val="false"/>
          <w:sz w:val="20"/>
          <w:szCs w:val="20"/>
        </w:rPr>
        <w:t xml:space="preserve">Risk adjustment workflows — all deviation fields are intentionally left for human review</w:t>
      </w:r>
    </w:p>
    <w:p>
      <w:pPr>
        <w:pStyle w:val="ListParagraph"/>
        <w:numPr>
          <w:ilvl w:val="0"/>
          <w:numId w:val="2"/>
        </w:numPr>
        <w:spacing w:before="40" w:after="40"/>
      </w:pPr>
      <w:r>
        <w:rPr>
          <w:rFonts w:ascii="Arial" w:cs="Arial" w:eastAsia="Arial" w:hAnsi="Arial"/>
          <w:b w:val="false"/>
          <w:bCs w:val="false"/>
          <w:sz w:val="20"/>
          <w:szCs w:val="20"/>
        </w:rPr>
        <w:t xml:space="preserve">Multi-CSP / multi-engagement session management</w:t>
      </w:r>
    </w:p>
    <w:p>
      <w:pPr>
        <w:pStyle w:val="ListParagraph"/>
        <w:numPr>
          <w:ilvl w:val="0"/>
          <w:numId w:val="2"/>
        </w:numPr>
        <w:spacing w:before="40" w:after="40"/>
      </w:pPr>
      <w:r>
        <w:rPr>
          <w:rFonts w:ascii="Arial" w:cs="Arial" w:eastAsia="Arial" w:hAnsi="Arial"/>
          <w:b w:val="false"/>
          <w:bCs w:val="false"/>
          <w:sz w:val="20"/>
          <w:szCs w:val="20"/>
        </w:rPr>
        <w:t xml:space="preserve">Cloud-hosted or multi-user collaboration mode</w:t>
      </w:r>
    </w:p>
    <w:p>
      <w:pPr>
        <w:pStyle w:val="ListParagraph"/>
        <w:numPr>
          <w:ilvl w:val="0"/>
          <w:numId w:val="2"/>
        </w:numPr>
        <w:spacing w:before="40" w:after="40"/>
      </w:pPr>
      <w:r>
        <w:rPr>
          <w:rFonts w:ascii="Arial" w:cs="Arial" w:eastAsia="Arial" w:hAnsi="Arial"/>
          <w:b w:val="false"/>
          <w:bCs w:val="false"/>
          <w:sz w:val="20"/>
          <w:szCs w:val="20"/>
        </w:rPr>
        <w:t xml:space="preserve">Penetration test finding ingestion (manual findings without a scan source)</w:t>
      </w:r>
    </w:p>
    <w:p>
      <w:pPr>
        <w:pStyle w:val="ListParagraph"/>
        <w:numPr>
          <w:ilvl w:val="0"/>
          <w:numId w:val="2"/>
        </w:numPr>
        <w:spacing w:before="40" w:after="40"/>
      </w:pPr>
      <w:r>
        <w:rPr>
          <w:rFonts w:ascii="Arial" w:cs="Arial" w:eastAsia="Arial" w:hAnsi="Arial"/>
          <w:b w:val="false"/>
          <w:bCs w:val="false"/>
          <w:sz w:val="20"/>
          <w:szCs w:val="20"/>
        </w:rPr>
        <w:t xml:space="preserve">Automated CVSS recalculation or risk scoring overrides</w:t>
      </w:r>
    </w:p>
    <w:p>
      <w:pPr>
        <w:pStyle w:val="ListParagraph"/>
        <w:numPr>
          <w:ilvl w:val="0"/>
          <w:numId w:val="2"/>
        </w:numPr>
        <w:spacing w:before="40" w:after="40"/>
      </w:pPr>
      <w:r>
        <w:rPr>
          <w:rFonts w:ascii="Arial" w:cs="Arial" w:eastAsia="Arial" w:hAnsi="Arial"/>
          <w:b w:val="false"/>
          <w:bCs w:val="false"/>
          <w:sz w:val="20"/>
          <w:szCs w:val="20"/>
        </w:rPr>
        <w:t xml:space="preserve">ConMon / continuous monitoring delta tracking</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14. Acceptance Criteria</w:t>
      </w:r>
    </w:p>
    <w:p>
      <w:pPr>
        <w:spacing w:before="60" w:after="60"/>
      </w:pPr>
      <w:r>
        <w:rPr>
          <w:rFonts w:ascii="Arial" w:cs="Arial" w:eastAsia="Arial" w:hAnsi="Arial"/>
          <w:sz w:val="20"/>
          <w:szCs w:val="20"/>
        </w:rPr>
        <w:t xml:space="preserve">The tool is considered complete when all of the following conditions are met:</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5080"/>
      </w:tblGrid>
      <w:tr>
        <w:trPr>
          <w:tblHeader/>
        </w:trPr>
        <w:tc>
          <w:tcPr>
            <w:tcW w:type="dxa" w:w="10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40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Test Scenario</w:t>
            </w:r>
          </w:p>
        </w:tc>
        <w:tc>
          <w:tcPr>
            <w:tcW w:type="dxa" w:w="508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Pass Condition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AC-01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Ingest Nessus .nessus file with 500 findings</w:t>
            </w:r>
          </w:p>
        </w:tc>
        <w:tc>
          <w:tcPr>
            <w:tcW w:type="dxa" w:w="50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All findings parsed, normalized, and displayed in Review UI within 30 seconds.</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AC-02</w:t>
            </w:r>
          </w:p>
        </w:tc>
        <w:tc>
          <w:tcPr>
            <w:tcW w:type="dxa" w:w="4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Ingest Qualys XML + SCAP STIG XML simultaneously</w:t>
            </w:r>
          </w:p>
        </w:tc>
        <w:tc>
          <w:tcPr>
            <w:tcW w:type="dxa" w:w="50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Both files detected correctly, findings classified and merged without duplicates.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AC-03</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Asset identifier in scan does not exist in IIW</w:t>
            </w:r>
          </w:p>
        </w:tc>
        <w:tc>
          <w:tcPr>
            <w:tcW w:type="dxa" w:w="50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Finding flagged red in Review UI. Export blocked until resolved.</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AC-04</w:t>
            </w:r>
          </w:p>
        </w:tc>
        <w:tc>
          <w:tcPr>
            <w:tcW w:type="dxa" w:w="4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IIW has Authenticated Scan = No for one asset</w:t>
            </w:r>
          </w:p>
        </w:tc>
        <w:tc>
          <w:tcPr>
            <w:tcW w:type="dxa" w:w="50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All findings for that asset show orange UNAUTHENTICATED badge. Comments prepended.</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AC-05</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Assessor marks 3 findings as RCDT</w:t>
            </w:r>
          </w:p>
        </w:tc>
        <w:tc>
          <w:tcPr>
            <w:tcW w:type="dxa" w:w="50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Those findings appear only on RCDT tab in exported XLSX, not on RET tab.</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AC-06</w:t>
            </w:r>
          </w:p>
        </w:tc>
        <w:tc>
          <w:tcPr>
            <w:tcW w:type="dxa" w:w="4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Config findings present in SCAP scan</w:t>
            </w:r>
          </w:p>
        </w:tc>
        <w:tc>
          <w:tcPr>
            <w:tcW w:type="dxa" w:w="50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Config Findings tab populated, and exactly one CM-6 row auto-created on RET tab.</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AC-07</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Export XLSX opened in Excel</w:t>
            </w:r>
          </w:p>
        </w:tc>
        <w:tc>
          <w:tcPr>
            <w:tcW w:type="dxa" w:w="50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Workbook matches FedRAMP RET v2.5 template structure. Rows 1-7 preserved. Data in rows 8+.</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AC-08</w:t>
            </w:r>
          </w:p>
        </w:tc>
        <w:tc>
          <w:tcPr>
            <w:tcW w:type="dxa" w:w="4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1,000 finding session</w:t>
            </w:r>
          </w:p>
        </w:tc>
        <w:tc>
          <w:tcPr>
            <w:tcW w:type="dxa" w:w="50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Application remains responsive. Export completes within 2 minutes.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AC-09</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Unknown CSV format dropped</w:t>
            </w:r>
          </w:p>
        </w:tc>
        <w:tc>
          <w:tcPr>
            <w:tcW w:type="dxa" w:w="50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Field mapper modal opens automatically. No silent skip.</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AC-10</w:t>
            </w:r>
          </w:p>
        </w:tc>
        <w:tc>
          <w:tcPr>
            <w:tcW w:type="dxa" w:w="4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No network call made during entire session</w:t>
            </w:r>
          </w:p>
        </w:tc>
        <w:tc>
          <w:tcPr>
            <w:tcW w:type="dxa" w:w="50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18"/>
                <w:szCs w:val="18"/>
              </w:rPr>
              <w:t xml:space="preserve">Electron network monitor shows zero outbound requests.</w:t>
            </w:r>
          </w:p>
        </w:tc>
      </w:tr>
    </w:tbl>
    <w:p>
      <w:pPr>
        <w:spacing w:before="60" w:after="60"/>
      </w:pPr>
      <w:r>
        <w:t xml:space="preserve"/>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1F3864" w:val="clear"/>
            <w:tcMar>
              <w:top w:type="dxa" w:w="200"/>
              <w:left w:type="dxa" w:w="400"/>
              <w:bottom w:type="dxa" w:w="200"/>
              <w:right w:type="dxa" w:w="400"/>
            </w:tcMar>
          </w:tcPr>
          <w:p>
            <w:pPr>
              <w:jc w:val="center"/>
            </w:pPr>
            <w:r>
              <w:rPr>
                <w:rFonts w:ascii="Arial" w:cs="Arial" w:eastAsia="Arial" w:hAnsi="Arial"/>
                <w:b/>
                <w:bCs/>
                <w:color w:val="FFFFFF"/>
                <w:sz w:val="24"/>
                <w:szCs w:val="24"/>
              </w:rPr>
              <w:t xml:space="preserve">END OF TECHNICAL SPECIFICATION</w:t>
            </w:r>
          </w:p>
          <w:p>
            <w:pPr>
              <w:jc w:val="center"/>
            </w:pPr>
            <w:r>
              <w:rPr>
                <w:rFonts w:ascii="Arial" w:cs="Arial" w:eastAsia="Arial" w:hAnsi="Arial"/>
                <w:color w:val="D6E4F0"/>
                <w:sz w:val="20"/>
                <w:szCs w:val="20"/>
              </w:rPr>
              <w:t xml:space="preserve">Provide this document to Claude Code as your development prompt.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2026-02-24T15:39:26.941Z</dcterms:created>
  <dcterms:modified xsi:type="dcterms:W3CDTF">2026-02-24T15:39:26.941Z</dcterms:modified>
</cp:coreProperties>
</file>

<file path=docProps/custom.xml><?xml version="1.0" encoding="utf-8"?>
<Properties xmlns="http://schemas.openxmlformats.org/officeDocument/2006/custom-properties" xmlns:vt="http://schemas.openxmlformats.org/officeDocument/2006/docPropsVTypes"/>
</file>