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6336000" cy="1418057"/>
            <wp:docPr id="1" name="Picture 1"/>
            <wp:cNvGraphicFramePr>
              <a:graphicFrameLocks noChangeAspect="1"/>
            </wp:cNvGraphicFramePr>
            <a:graphic>
              <a:graphicData uri="http://schemas.openxmlformats.org/drawingml/2006/picture">
                <pic:pic>
                  <pic:nvPicPr>
                    <pic:cNvPr id="0" name="hero.png"/>
                    <pic:cNvPicPr/>
                  </pic:nvPicPr>
                  <pic:blipFill>
                    <a:blip r:embed="rId9"/>
                    <a:stretch>
                      <a:fillRect/>
                    </a:stretch>
                  </pic:blipFill>
                  <pic:spPr>
                    <a:xfrm>
                      <a:off x="0" y="0"/>
                      <a:ext cx="6336000" cy="1418057"/>
                    </a:xfrm>
                    <a:prstGeom prst="rect"/>
                  </pic:spPr>
                </pic:pic>
              </a:graphicData>
            </a:graphic>
          </wp:inline>
        </w:drawing>
      </w:r>
    </w:p>
    <w:p>
      <w:pPr>
        <w:spacing w:after="40" w:before="0"/>
        <w:jc w:val="left"/>
      </w:pPr>
      <w:r>
        <w:rPr>
          <w:rFonts w:ascii="Arial" w:hAnsi="Arial"/>
          <w:b/>
          <w:i w:val="0"/>
          <w:caps w:val="0"/>
          <w:color w:val="1D2A57"/>
          <w:sz w:val="38"/>
        </w:rPr>
        <w:t>Ecosystem Plus Membership Agreement</w:t>
      </w:r>
    </w:p>
    <w:p>
      <w:pPr>
        <w:spacing w:after="180" w:before="0"/>
        <w:jc w:val="left"/>
      </w:pPr>
      <w:r>
        <w:rPr>
          <w:rFonts w:ascii="Arial" w:hAnsi="Arial"/>
          <w:b w:val="0"/>
          <w:i w:val="0"/>
          <w:caps w:val="0"/>
          <w:color w:val="5A6781"/>
          <w:sz w:val="20"/>
        </w:rPr>
        <w:t>This Ecosystem Plus Membership Agreement (“Agreement”) is made effective as of {{DT_StartDate}} (the “Effective Date”), by and between {{AccountName}}, whose principal office is located at {{DT_BillingStreet}}, {{DT_BillingPostalCode}} {{DT_BillingCity}} ({{DT_BillingCountry}}) (hereinafter “Client”), and Plug &amp; Play, LLC (also doing business as “Plug and Play Tech Center”), a California limited liability company, whose principal office is located at 440 North Wolfe Road, Sunnyvale, CA 94085, United States (“Plug and Play”). The Parties record this Agreement in Salesforce as contract {{ContractNumber}}.</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2494"/>
        <w:gridCol w:w="2494"/>
        <w:gridCol w:w="2494"/>
        <w:gridCol w:w="2494"/>
      </w:tblGrid>
      <w:tr>
        <w:tc>
          <w:tcPr>
            <w:tcW w:type="dxa" w:w="2494"/>
            <w:shd w:val="clear" w:color="auto" w:fill="F4F7FB"/>
            <w:tcMar>
              <w:top w:w="110" w:type="dxa"/>
              <w:left w:w="150" w:type="dxa"/>
              <w:bottom w:w="110" w:type="dxa"/>
              <w:right w:w="120" w:type="dxa"/>
            </w:tcMar>
            <w:tcBorders>
              <w:top w:val="single" w:sz="18" w:space="0" w:color="02F4E4"/>
            </w:tcBorders>
          </w:tcPr>
          <w:p>
            <w:pPr>
              <w:spacing w:after="60" w:before="0"/>
              <w:jc w:val="left"/>
            </w:pPr>
            <w:r>
              <w:rPr>
                <w:rFonts w:ascii="Arial" w:hAnsi="Arial"/>
                <w:b/>
                <w:i w:val="0"/>
                <w:caps w:val="0"/>
                <w:color w:val="5A6781"/>
                <w:sz w:val="15"/>
              </w:rPr>
              <w:t>PLUG AND PLAY</w:t>
            </w:r>
          </w:p>
          <w:p>
            <w:pPr>
              <w:spacing w:after="0" w:before="0"/>
              <w:jc w:val="left"/>
            </w:pPr>
            <w:r>
              <w:rPr>
                <w:rFonts w:ascii="Arial" w:hAnsi="Arial"/>
                <w:b/>
                <w:i w:val="0"/>
                <w:caps w:val="0"/>
                <w:color w:val="1D2A57"/>
                <w:sz w:val="21"/>
              </w:rPr>
              <w:t>Plug &amp; Play, LLC</w:t>
            </w:r>
          </w:p>
          <w:p>
            <w:pPr>
              <w:spacing w:after="0" w:before="0"/>
              <w:jc w:val="left"/>
            </w:pPr>
            <w:r>
              <w:rPr>
                <w:rFonts w:ascii="Arial" w:hAnsi="Arial"/>
                <w:b/>
                <w:i w:val="0"/>
                <w:caps w:val="0"/>
                <w:color w:val="1D2A57"/>
                <w:sz w:val="21"/>
              </w:rPr>
              <w:t>440 North Wolfe Road</w:t>
            </w:r>
          </w:p>
          <w:p>
            <w:pPr>
              <w:spacing w:after="0" w:before="0"/>
              <w:jc w:val="left"/>
            </w:pPr>
            <w:r>
              <w:rPr>
                <w:rFonts w:ascii="Arial" w:hAnsi="Arial"/>
                <w:b/>
                <w:i w:val="0"/>
                <w:caps w:val="0"/>
                <w:color w:val="1D2A57"/>
                <w:sz w:val="21"/>
              </w:rPr>
              <w:t>94085 Sunnyvale, CA (United States)</w:t>
            </w:r>
          </w:p>
        </w:tc>
        <w:tc>
          <w:tcPr>
            <w:tcW w:type="dxa" w:w="2494"/>
            <w:shd w:val="clear" w:color="auto" w:fill="F4F7FB"/>
            <w:tcMar>
              <w:top w:w="110" w:type="dxa"/>
              <w:left w:w="150" w:type="dxa"/>
              <w:bottom w:w="110" w:type="dxa"/>
              <w:right w:w="120" w:type="dxa"/>
            </w:tcMar>
            <w:tcBorders>
              <w:top w:val="single" w:sz="18" w:space="0" w:color="02F4E4"/>
            </w:tcBorders>
          </w:tcPr>
          <w:p>
            <w:pPr>
              <w:spacing w:after="60" w:before="0"/>
              <w:jc w:val="left"/>
            </w:pPr>
            <w:r>
              <w:rPr>
                <w:rFonts w:ascii="Arial" w:hAnsi="Arial"/>
                <w:b/>
                <w:i w:val="0"/>
                <w:caps w:val="0"/>
                <w:color w:val="5A6781"/>
                <w:sz w:val="15"/>
              </w:rPr>
              <w:t>CLIENT</w:t>
            </w:r>
          </w:p>
          <w:p>
            <w:pPr>
              <w:spacing w:after="0" w:before="0"/>
              <w:jc w:val="left"/>
            </w:pPr>
            <w:r>
              <w:rPr>
                <w:rFonts w:ascii="Arial" w:hAnsi="Arial"/>
                <w:b/>
                <w:i w:val="0"/>
                <w:caps w:val="0"/>
                <w:color w:val="1D2A57"/>
                <w:sz w:val="21"/>
              </w:rPr>
              <w:t>{{AccountName}}</w:t>
            </w:r>
          </w:p>
          <w:p>
            <w:pPr>
              <w:spacing w:after="0" w:before="0"/>
              <w:jc w:val="left"/>
            </w:pPr>
            <w:r>
              <w:rPr>
                <w:rFonts w:ascii="Arial" w:hAnsi="Arial"/>
                <w:b/>
                <w:i w:val="0"/>
                <w:caps w:val="0"/>
                <w:color w:val="1D2A57"/>
                <w:sz w:val="21"/>
              </w:rPr>
              <w:t>{{AccountBillingStreet}}</w:t>
            </w:r>
          </w:p>
          <w:p>
            <w:pPr>
              <w:spacing w:after="0" w:before="0"/>
              <w:jc w:val="left"/>
            </w:pPr>
            <w:r>
              <w:rPr>
                <w:rFonts w:ascii="Arial" w:hAnsi="Arial"/>
                <w:b/>
                <w:i w:val="0"/>
                <w:caps w:val="0"/>
                <w:color w:val="1D2A57"/>
                <w:sz w:val="21"/>
              </w:rPr>
              <w:t>{{AccountBillingPostalCode}} {{AccountBillingCity}} ({{AccountBillingCountry}})</w:t>
            </w:r>
          </w:p>
          <w:p>
            <w:pPr>
              <w:spacing w:after="0" w:before="0"/>
              <w:jc w:val="left"/>
            </w:pPr>
            <w:r>
              <w:rPr>
                <w:rFonts w:ascii="Arial" w:hAnsi="Arial"/>
                <w:b/>
                <w:i w:val="0"/>
                <w:caps w:val="0"/>
                <w:color w:val="1D2A57"/>
                <w:sz w:val="21"/>
              </w:rPr>
              <w:t>{{AccountPhone}}</w:t>
            </w:r>
          </w:p>
        </w:tc>
        <w:tc>
          <w:tcPr>
            <w:tcW w:type="dxa" w:w="2494"/>
            <w:shd w:val="clear" w:color="auto" w:fill="F4F7FB"/>
            <w:tcMar>
              <w:top w:w="110" w:type="dxa"/>
              <w:left w:w="150" w:type="dxa"/>
              <w:bottom w:w="110" w:type="dxa"/>
              <w:right w:w="120" w:type="dxa"/>
            </w:tcMar>
            <w:tcBorders>
              <w:top w:val="single" w:sz="18" w:space="0" w:color="02F4E4"/>
            </w:tcBorders>
          </w:tcPr>
          <w:p>
            <w:pPr>
              <w:spacing w:after="60" w:before="0"/>
              <w:jc w:val="left"/>
            </w:pPr>
            <w:r>
              <w:rPr>
                <w:rFonts w:ascii="Arial" w:hAnsi="Arial"/>
                <w:b/>
                <w:i w:val="0"/>
                <w:caps w:val="0"/>
                <w:color w:val="5A6781"/>
                <w:sz w:val="15"/>
              </w:rPr>
              <w:t>TERM</w:t>
            </w:r>
          </w:p>
          <w:p>
            <w:pPr>
              <w:spacing w:after="0" w:before="0"/>
              <w:jc w:val="left"/>
            </w:pPr>
            <w:r>
              <w:rPr>
                <w:rFonts w:ascii="Arial" w:hAnsi="Arial"/>
                <w:b/>
                <w:i w:val="0"/>
                <w:caps w:val="0"/>
                <w:color w:val="1D2A57"/>
                <w:sz w:val="21"/>
              </w:rPr>
              <w:t>Effective Date - {{ContractEndDate}}</w:t>
            </w:r>
          </w:p>
          <w:p>
            <w:pPr>
              <w:spacing w:after="0" w:before="0"/>
              <w:jc w:val="left"/>
            </w:pPr>
            <w:r>
              <w:rPr>
                <w:rFonts w:ascii="Arial" w:hAnsi="Arial"/>
                <w:b/>
                <w:i w:val="0"/>
                <w:caps w:val="0"/>
                <w:color w:val="1D2A57"/>
                <w:sz w:val="21"/>
              </w:rPr>
              <w:t>Status: {{ContractStatus}}</w:t>
            </w:r>
          </w:p>
        </w:tc>
        <w:tc>
          <w:tcPr>
            <w:tcW w:type="dxa" w:w="2494"/>
            <w:shd w:val="clear" w:color="auto" w:fill="F4F7FB"/>
            <w:tcMar>
              <w:top w:w="110" w:type="dxa"/>
              <w:left w:w="150" w:type="dxa"/>
              <w:bottom w:w="110" w:type="dxa"/>
              <w:right w:w="120" w:type="dxa"/>
            </w:tcMar>
            <w:tcBorders>
              <w:top w:val="single" w:sz="18" w:space="0" w:color="02F4E4"/>
            </w:tcBorders>
          </w:tcPr>
          <w:p>
            <w:pPr>
              <w:spacing w:after="60" w:before="0"/>
              <w:jc w:val="left"/>
            </w:pPr>
            <w:r>
              <w:rPr>
                <w:rFonts w:ascii="Arial" w:hAnsi="Arial"/>
                <w:b/>
                <w:i w:val="0"/>
                <w:caps w:val="0"/>
                <w:color w:val="5A6781"/>
                <w:sz w:val="15"/>
              </w:rPr>
              <w:t>AGREEMENT</w:t>
            </w:r>
          </w:p>
          <w:p>
            <w:pPr>
              <w:spacing w:after="0" w:before="0"/>
              <w:jc w:val="left"/>
            </w:pPr>
            <w:r>
              <w:rPr>
                <w:rFonts w:ascii="Arial" w:hAnsi="Arial"/>
                <w:b/>
                <w:i w:val="0"/>
                <w:caps w:val="0"/>
                <w:color w:val="1D2A57"/>
                <w:sz w:val="21"/>
              </w:rPr>
              <w:t>No. {{ContractNumber}}</w:t>
            </w:r>
          </w:p>
        </w:tc>
      </w:tr>
    </w:tbl>
    <w:p>
      <w:pPr>
        <w:pageBreakBefore w:val="0"/>
        <w:spacing w:after="100" w:before="280"/>
        <w:jc w:val="left"/>
        <w:pBdr>
          <w:bottom w:val="single" w:sz="18" w:space="4" w:color="02F4E4"/>
        </w:pBdr>
      </w:pPr>
      <w:r>
        <w:rPr>
          <w:rFonts w:ascii="Arial" w:hAnsi="Arial"/>
          <w:b/>
          <w:i w:val="0"/>
          <w:caps/>
          <w:color w:val="1D2A57"/>
          <w:sz w:val="24"/>
        </w:rPr>
        <w:t>Exhibit A: Fee Schedule</w:t>
      </w:r>
    </w:p>
    <w:p>
      <w:pPr>
        <w:spacing w:after="180" w:before="0"/>
        <w:jc w:val="left"/>
      </w:pPr>
      <w:r>
        <w:rPr>
          <w:rFonts w:ascii="Arial" w:hAnsi="Arial"/>
          <w:b w:val="0"/>
          <w:i w:val="0"/>
          <w:caps w:val="0"/>
          <w:color w:val="5A6781"/>
          <w:sz w:val="20"/>
        </w:rPr>
        <w:t>{{#Quote}}Proposal {{QuoteNumber}} · {{QuoteName}} · Status: {{QuoteStatus}} · Issued on {{QuoteCreatedDate}} · Valid until {{QuoteExpirationDate}}</w:t>
      </w:r>
    </w:p>
    <w:p>
      <w:pPr>
        <w:spacing w:after="180" w:before="0"/>
        <w:jc w:val="left"/>
      </w:pPr>
      <w:r>
        <w:rPr>
          <w:rFonts w:ascii="Arial" w:hAnsi="Arial"/>
          <w:b w:val="0"/>
          <w:i w:val="0"/>
          <w:caps w:val="0"/>
          <w:color w:val="5A6781"/>
          <w:sz w:val="20"/>
        </w:rPr>
        <w:t>Opportunity: {{OpportunityName}} · Stage: {{OpportunityStage}} · Type: {{OpportunityType}}</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1663"/>
        <w:gridCol w:w="1663"/>
        <w:gridCol w:w="1663"/>
        <w:gridCol w:w="1663"/>
        <w:gridCol w:w="1663"/>
        <w:gridCol w:w="1663"/>
      </w:tblGrid>
      <w:tr>
        <w:trPr>
          <w:tblHeader w:val="true"/>
        </w:trPr>
        <w:tc>
          <w:tcPr>
            <w:tcW w:type="dxa" w:w="850"/>
            <w:shd w:val="clear" w:color="auto" w:fill="1D2A57"/>
            <w:tcMar>
              <w:top w:w="90" w:type="dxa"/>
              <w:left w:w="110" w:type="dxa"/>
              <w:bottom w:w="90" w:type="dxa"/>
              <w:right w:w="110" w:type="dxa"/>
            </w:tcMar>
          </w:tcPr>
          <w:p/>
        </w:tc>
        <w:tc>
          <w:tcPr>
            <w:tcW w:type="dxa" w:w="3515"/>
            <w:shd w:val="clear" w:color="auto" w:fill="1D2A57"/>
            <w:tcMar>
              <w:top w:w="90" w:type="dxa"/>
              <w:left w:w="110" w:type="dxa"/>
              <w:bottom w:w="90" w:type="dxa"/>
              <w:right w:w="110" w:type="dxa"/>
            </w:tcMar>
          </w:tcPr>
          <w:p>
            <w:pPr>
              <w:spacing w:after="0" w:before="0"/>
              <w:jc w:val="left"/>
            </w:pPr>
            <w:r>
              <w:rPr>
                <w:rFonts w:ascii="Arial" w:hAnsi="Arial"/>
                <w:b/>
                <w:i w:val="0"/>
                <w:caps w:val="0"/>
                <w:color w:val="FFFFFF"/>
                <w:sz w:val="16"/>
              </w:rPr>
              <w:t>DESCRIPTION OF WORK</w:t>
            </w:r>
          </w:p>
        </w:tc>
        <w:tc>
          <w:tcPr>
            <w:tcW w:type="dxa" w:w="794"/>
            <w:shd w:val="clear" w:color="auto" w:fill="1D2A57"/>
            <w:tcMar>
              <w:top w:w="90" w:type="dxa"/>
              <w:left w:w="50" w:type="dxa"/>
              <w:bottom w:w="90" w:type="dxa"/>
              <w:right w:w="90" w:type="dxa"/>
            </w:tcMar>
          </w:tcPr>
          <w:p>
            <w:pPr>
              <w:spacing w:after="0" w:before="0"/>
              <w:jc w:val="right"/>
            </w:pPr>
            <w:r>
              <w:rPr>
                <w:rFonts w:ascii="Arial" w:hAnsi="Arial"/>
                <w:b/>
                <w:i w:val="0"/>
                <w:caps w:val="0"/>
                <w:color w:val="FFFFFF"/>
                <w:sz w:val="16"/>
              </w:rPr>
              <w:t>QTY</w:t>
            </w:r>
          </w:p>
        </w:tc>
        <w:tc>
          <w:tcPr>
            <w:tcW w:type="dxa" w:w="1701"/>
            <w:shd w:val="clear" w:color="auto" w:fill="1D2A57"/>
            <w:tcMar>
              <w:top w:w="90" w:type="dxa"/>
              <w:left w:w="50" w:type="dxa"/>
              <w:bottom w:w="90" w:type="dxa"/>
              <w:right w:w="90" w:type="dxa"/>
            </w:tcMar>
          </w:tcPr>
          <w:p>
            <w:pPr>
              <w:spacing w:after="0" w:before="0"/>
              <w:jc w:val="right"/>
            </w:pPr>
            <w:r>
              <w:rPr>
                <w:rFonts w:ascii="Arial" w:hAnsi="Arial"/>
                <w:b/>
                <w:i w:val="0"/>
                <w:caps w:val="0"/>
                <w:color w:val="FFFFFF"/>
                <w:sz w:val="16"/>
              </w:rPr>
              <w:t>LIST PRICE (USD)</w:t>
            </w:r>
          </w:p>
        </w:tc>
        <w:tc>
          <w:tcPr>
            <w:tcW w:type="dxa" w:w="1020"/>
            <w:shd w:val="clear" w:color="auto" w:fill="1D2A57"/>
            <w:tcMar>
              <w:top w:w="90" w:type="dxa"/>
              <w:left w:w="50" w:type="dxa"/>
              <w:bottom w:w="90" w:type="dxa"/>
              <w:right w:w="90" w:type="dxa"/>
            </w:tcMar>
          </w:tcPr>
          <w:p>
            <w:pPr>
              <w:spacing w:after="0" w:before="0"/>
              <w:jc w:val="right"/>
            </w:pPr>
            <w:r>
              <w:rPr>
                <w:rFonts w:ascii="Arial" w:hAnsi="Arial"/>
                <w:b/>
                <w:i w:val="0"/>
                <w:caps w:val="0"/>
                <w:color w:val="FFFFFF"/>
                <w:sz w:val="16"/>
              </w:rPr>
              <w:t>DISC. %</w:t>
            </w:r>
          </w:p>
        </w:tc>
        <w:tc>
          <w:tcPr>
            <w:tcW w:type="dxa" w:w="2098"/>
            <w:shd w:val="clear" w:color="auto" w:fill="1D2A57"/>
            <w:tcMar>
              <w:top w:w="90" w:type="dxa"/>
              <w:left w:w="50" w:type="dxa"/>
              <w:bottom w:w="90" w:type="dxa"/>
              <w:right w:w="90" w:type="dxa"/>
            </w:tcMar>
          </w:tcPr>
          <w:p>
            <w:pPr>
              <w:spacing w:after="0" w:before="0"/>
              <w:jc w:val="right"/>
            </w:pPr>
            <w:r>
              <w:rPr>
                <w:rFonts w:ascii="Arial" w:hAnsi="Arial"/>
                <w:b/>
                <w:i w:val="0"/>
                <w:caps w:val="0"/>
                <w:color w:val="FFFFFF"/>
                <w:sz w:val="16"/>
              </w:rPr>
              <w:t>AMOUNT (USD)</w:t>
            </w:r>
          </w:p>
        </w:tc>
      </w:tr>
      <w:tr>
        <w:tc>
          <w:tcPr>
            <w:tcW w:type="dxa" w:w="850"/>
            <w:vAlign w:val="center"/>
            <w:tcMar>
              <w:top w:w="70" w:type="dxa"/>
              <w:left w:w="110" w:type="dxa"/>
              <w:bottom w:w="70" w:type="dxa"/>
              <w:right w:w="110" w:type="dxa"/>
            </w:tcMar>
            <w:tcBorders>
              <w:bottom w:val="single" w:sz="6" w:space="0" w:color="DCE3ED"/>
            </w:tcBorders>
            <w:shd w:val="clear" w:color="auto" w:fill="F4F7FB"/>
          </w:tcPr>
          <w:p>
            <w:pPr>
              <w:spacing w:after="0"/>
              <w:jc w:val="center"/>
            </w:pPr>
            <w:r>
              <w:t>{{#LineItems}}</w:t>
            </w:r>
          </w:p>
        </w:tc>
        <w:tc>
          <w:tcPr>
            <w:tcW w:type="dxa" w:w="3515"/>
            <w:tcMar>
              <w:top w:w="70" w:type="dxa"/>
              <w:left w:w="110" w:type="dxa"/>
              <w:bottom w:w="70" w:type="dxa"/>
              <w:right w:w="110" w:type="dxa"/>
            </w:tcMar>
            <w:tcBorders>
              <w:bottom w:val="single" w:sz="6" w:space="0" w:color="DCE3ED"/>
            </w:tcBorders>
            <w:shd w:val="clear" w:color="auto" w:fill="F4F7FB"/>
          </w:tcPr>
          <w:p>
            <w:pPr>
              <w:spacing w:after="40" w:before="0"/>
              <w:jc w:val="left"/>
            </w:pPr>
            <w:r>
              <w:rPr>
                <w:rFonts w:ascii="Arial" w:hAnsi="Arial"/>
                <w:b/>
                <w:i w:val="0"/>
                <w:caps w:val="0"/>
                <w:color w:val="1D2A57"/>
                <w:sz w:val="19"/>
              </w:rPr>
              <w:t>{{ProductName}}</w:t>
            </w:r>
          </w:p>
          <w:p>
            <w:pPr>
              <w:spacing w:after="40" w:before="0"/>
              <w:jc w:val="left"/>
            </w:pPr>
            <w:r>
              <w:rPr>
                <w:rFonts w:ascii="Arial" w:hAnsi="Arial"/>
                <w:b w:val="0"/>
                <w:i w:val="0"/>
                <w:caps w:val="0"/>
                <w:color w:val="5A6781"/>
                <w:sz w:val="15"/>
              </w:rPr>
              <w:t>SKU {{ProductCode}}</w:t>
            </w:r>
          </w:p>
          <w:p>
            <w:pPr>
              <w:spacing w:after="0" w:before="0"/>
              <w:jc w:val="left"/>
            </w:pPr>
            <w:r>
              <w:rPr>
                <w:rFonts w:ascii="Arial" w:hAnsi="Arial"/>
                <w:b w:val="0"/>
                <w:i w:val="0"/>
                <w:caps w:val="0"/>
                <w:color w:val="5A6781"/>
                <w:sz w:val="15"/>
              </w:rPr>
              <w:t>{{ProductDescription}}</w:t>
            </w:r>
          </w:p>
        </w:tc>
        <w:tc>
          <w:tcPr>
            <w:tcW w:type="dxa" w:w="794"/>
            <w:tcMar>
              <w:top w:w="70" w:type="dxa"/>
              <w:left w:w="50" w:type="dxa"/>
              <w:bottom w:w="70" w:type="dxa"/>
              <w:right w:w="90" w:type="dxa"/>
            </w:tcMar>
            <w:tcBorders>
              <w:bottom w:val="single" w:sz="6" w:space="0" w:color="DCE3ED"/>
            </w:tcBorders>
            <w:shd w:val="clear" w:color="auto" w:fill="F4F7FB"/>
          </w:tcPr>
          <w:p>
            <w:pPr>
              <w:spacing w:after="0" w:before="0"/>
              <w:jc w:val="right"/>
            </w:pPr>
            <w:r>
              <w:rPr>
                <w:rFonts w:ascii="Arial" w:hAnsi="Arial"/>
                <w:b w:val="0"/>
                <w:i w:val="0"/>
                <w:caps w:val="0"/>
                <w:color w:val="1D2A57"/>
                <w:sz w:val="19"/>
              </w:rPr>
              <w:t>{{Quantity}}</w:t>
            </w:r>
          </w:p>
        </w:tc>
        <w:tc>
          <w:tcPr>
            <w:tcW w:type="dxa" w:w="1701"/>
            <w:tcMar>
              <w:top w:w="70" w:type="dxa"/>
              <w:left w:w="50" w:type="dxa"/>
              <w:bottom w:w="70" w:type="dxa"/>
              <w:right w:w="90" w:type="dxa"/>
            </w:tcMar>
            <w:tcBorders>
              <w:bottom w:val="single" w:sz="6" w:space="0" w:color="DCE3ED"/>
            </w:tcBorders>
            <w:shd w:val="clear" w:color="auto" w:fill="F4F7FB"/>
          </w:tcPr>
          <w:p>
            <w:pPr>
              <w:spacing w:after="0" w:before="0"/>
              <w:jc w:val="right"/>
            </w:pPr>
            <w:r>
              <w:rPr>
                <w:rFonts w:ascii="Arial" w:hAnsi="Arial"/>
                <w:b w:val="0"/>
                <w:i w:val="0"/>
                <w:caps w:val="0"/>
                <w:color w:val="1D2A57"/>
                <w:sz w:val="19"/>
              </w:rPr>
              <w:t>{{ListPrice}}</w:t>
            </w:r>
          </w:p>
        </w:tc>
        <w:tc>
          <w:tcPr>
            <w:tcW w:type="dxa" w:w="1020"/>
            <w:tcMar>
              <w:top w:w="70" w:type="dxa"/>
              <w:left w:w="50" w:type="dxa"/>
              <w:bottom w:w="70" w:type="dxa"/>
              <w:right w:w="90" w:type="dxa"/>
            </w:tcMar>
            <w:tcBorders>
              <w:bottom w:val="single" w:sz="6" w:space="0" w:color="DCE3ED"/>
            </w:tcBorders>
            <w:shd w:val="clear" w:color="auto" w:fill="F4F7FB"/>
          </w:tcPr>
          <w:p>
            <w:pPr>
              <w:spacing w:after="0" w:before="0"/>
              <w:jc w:val="right"/>
            </w:pPr>
            <w:r>
              <w:rPr>
                <w:rFonts w:ascii="Arial" w:hAnsi="Arial"/>
                <w:b/>
                <w:i w:val="0"/>
                <w:caps w:val="0"/>
                <w:color w:val="30A2CD"/>
                <w:sz w:val="19"/>
              </w:rPr>
              <w:t>{{LineDiscount}}</w:t>
            </w:r>
          </w:p>
        </w:tc>
        <w:tc>
          <w:tcPr>
            <w:tcW w:type="dxa" w:w="2098"/>
            <w:tcMar>
              <w:top w:w="70" w:type="dxa"/>
              <w:left w:w="50" w:type="dxa"/>
              <w:bottom w:w="70" w:type="dxa"/>
              <w:right w:w="90" w:type="dxa"/>
            </w:tcMar>
            <w:tcBorders>
              <w:bottom w:val="single" w:sz="6" w:space="0" w:color="DCE3ED"/>
            </w:tcBorders>
            <w:shd w:val="clear" w:color="auto" w:fill="F4F7FB"/>
          </w:tcPr>
          <w:p>
            <w:pPr>
              <w:spacing w:after="0" w:before="0"/>
              <w:jc w:val="right"/>
            </w:pPr>
            <w:r>
              <w:rPr>
                <w:rFonts w:ascii="Arial" w:hAnsi="Arial"/>
                <w:b/>
                <w:i w:val="0"/>
                <w:caps w:val="0"/>
                <w:color w:val="1D2A57"/>
                <w:sz w:val="19"/>
              </w:rPr>
              <w:t>{{LineTotal}}{{/LineItems}}</w:t>
            </w:r>
          </w:p>
        </w:tc>
      </w:tr>
    </w:tbl>
    <w:p>
      <w:pPr>
        <w:spacing w:after="120"/>
      </w:pPr>
    </w:p>
    <w:tbl>
      <w:tblPr>
        <w:tblW w:type="auto" w:w="0"/>
        <w:tblLook w:firstColumn="1" w:firstRow="1" w:lastColumn="0" w:lastRow="0" w:noHBand="0" w:noVBand="1" w:val="04A0"/>
        <w:jc w:val="right"/>
        <w:tblBorders>
          <w:top w:val="none" w:sz="0"/>
          <w:left w:val="none" w:sz="0"/>
          <w:bottom w:val="none" w:sz="0"/>
          <w:right w:val="none" w:sz="0"/>
          <w:insideH w:val="none" w:sz="0"/>
          <w:insideV w:val="none" w:sz="0"/>
        </w:tblBorders>
        <w:tblLayout w:type="fixed"/>
      </w:tblPr>
      <w:tblGrid>
        <w:gridCol w:w="4989"/>
        <w:gridCol w:w="4989"/>
      </w:tblGrid>
      <w:tr>
        <w:tc>
          <w:tcPr>
            <w:tcW w:type="dxa" w:w="2608"/>
            <w:tcMar>
              <w:top w:w="80" w:type="dxa"/>
              <w:left w:w="120" w:type="dxa"/>
              <w:bottom w:w="80" w:type="dxa"/>
              <w:right w:w="110" w:type="dxa"/>
            </w:tcMar>
            <w:tcBorders>
              <w:bottom w:val="single" w:sz="6" w:space="0" w:color="DCE3ED"/>
            </w:tcBorders>
          </w:tcPr>
          <w:p>
            <w:pPr>
              <w:spacing w:after="0" w:before="0"/>
              <w:jc w:val="left"/>
            </w:pPr>
            <w:r>
              <w:rPr>
                <w:rFonts w:ascii="Arial" w:hAnsi="Arial"/>
                <w:b w:val="0"/>
                <w:i w:val="0"/>
                <w:caps w:val="0"/>
                <w:color w:val="5A6781"/>
                <w:sz w:val="19"/>
              </w:rPr>
              <w:t>Subtotal (list price)</w:t>
            </w:r>
          </w:p>
        </w:tc>
        <w:tc>
          <w:tcPr>
            <w:tcW w:type="dxa" w:w="2494"/>
            <w:tcMar>
              <w:top w:w="80" w:type="dxa"/>
              <w:left w:w="120" w:type="dxa"/>
              <w:bottom w:w="80" w:type="dxa"/>
              <w:right w:w="110" w:type="dxa"/>
            </w:tcMar>
            <w:tcBorders>
              <w:bottom w:val="single" w:sz="6" w:space="0" w:color="DCE3ED"/>
            </w:tcBorders>
          </w:tcPr>
          <w:p>
            <w:pPr>
              <w:spacing w:after="0" w:before="0"/>
              <w:jc w:val="right"/>
            </w:pPr>
            <w:r>
              <w:rPr>
                <w:rFonts w:ascii="Arial" w:hAnsi="Arial"/>
                <w:b/>
                <w:i w:val="0"/>
                <w:caps w:val="0"/>
                <w:color w:val="1D2A57"/>
                <w:sz w:val="19"/>
              </w:rPr>
              <w:t>USD {{QuoteSubtotal}}</w:t>
            </w:r>
          </w:p>
        </w:tc>
      </w:tr>
      <w:tr>
        <w:tc>
          <w:tcPr>
            <w:tcW w:type="dxa" w:w="2608"/>
            <w:tcMar>
              <w:top w:w="80" w:type="dxa"/>
              <w:left w:w="120" w:type="dxa"/>
              <w:bottom w:w="80" w:type="dxa"/>
              <w:right w:w="110" w:type="dxa"/>
            </w:tcMar>
            <w:shd w:val="clear" w:color="auto" w:fill="1D2A57"/>
          </w:tcPr>
          <w:p>
            <w:pPr>
              <w:spacing w:after="0" w:before="0"/>
              <w:jc w:val="left"/>
            </w:pPr>
            <w:r>
              <w:rPr>
                <w:rFonts w:ascii="Arial" w:hAnsi="Arial"/>
                <w:b/>
                <w:i w:val="0"/>
                <w:caps w:val="0"/>
                <w:color w:val="FFFFFF"/>
                <w:sz w:val="20"/>
              </w:rPr>
              <w:t>Total agreement value</w:t>
            </w:r>
          </w:p>
        </w:tc>
        <w:tc>
          <w:tcPr>
            <w:tcW w:type="dxa" w:w="2494"/>
            <w:tcMar>
              <w:top w:w="80" w:type="dxa"/>
              <w:left w:w="120" w:type="dxa"/>
              <w:bottom w:w="80" w:type="dxa"/>
              <w:right w:w="110" w:type="dxa"/>
            </w:tcMar>
            <w:shd w:val="clear" w:color="auto" w:fill="1D2A57"/>
          </w:tcPr>
          <w:p>
            <w:pPr>
              <w:spacing w:after="0" w:before="0"/>
              <w:jc w:val="right"/>
            </w:pPr>
            <w:r>
              <w:rPr>
                <w:rFonts w:ascii="Arial" w:hAnsi="Arial"/>
                <w:b/>
                <w:i w:val="0"/>
                <w:caps w:val="0"/>
                <w:color w:val="FFFFFF"/>
                <w:sz w:val="24"/>
              </w:rPr>
              <w:t>USD {{QuoteGrandTotal}}</w:t>
            </w:r>
          </w:p>
        </w:tc>
      </w:tr>
    </w:tbl>
    <w:p>
      <w:pPr>
        <w:spacing w:after="24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9978"/>
      </w:tblGrid>
      <w:tr>
        <w:trPr>
          <w:cantSplit w:val="true"/>
        </w:trPr>
        <w:tc>
          <w:tcPr>
            <w:tcW w:type="dxa" w:w="9978"/>
            <w:shd w:val="clear" w:color="auto" w:fill="F4F7FB"/>
            <w:tcMar>
              <w:top w:w="120" w:type="dxa"/>
              <w:left w:w="170" w:type="dxa"/>
              <w:bottom w:w="120" w:type="dxa"/>
              <w:right w:w="170" w:type="dxa"/>
            </w:tcMar>
            <w:tcBorders>
              <w:left w:val="single" w:sz="24" w:space="0" w:color="02F4E4"/>
            </w:tcBorders>
          </w:tcPr>
          <w:p>
            <w:pPr>
              <w:spacing w:after="60" w:before="0"/>
              <w:jc w:val="left"/>
            </w:pPr>
            <w:r>
              <w:rPr>
                <w:rFonts w:ascii="Arial" w:hAnsi="Arial"/>
                <w:b/>
                <w:i w:val="0"/>
                <w:caps w:val="0"/>
                <w:color w:val="1D2A57"/>
                <w:sz w:val="19"/>
              </w:rPr>
              <w:t>Approved discount</w:t>
            </w:r>
          </w:p>
          <w:p>
            <w:pPr>
              <w:spacing w:after="0" w:before="0"/>
              <w:jc w:val="left"/>
            </w:pPr>
            <w:r>
              <w:rPr>
                <w:rFonts w:ascii="Arial" w:hAnsi="Arial"/>
                <w:b w:val="0"/>
                <w:i w:val="0"/>
                <w:caps w:val="0"/>
                <w:color w:val="5A6781"/>
                <w:sz w:val="17"/>
              </w:rPr>
              <w:t>The discounts applied to proposal {{QuoteNumber}} were approved under the Plug and Play approval matrix and are conditional on Client meeting the full membership term set out in the Program Terms. The resulting agreement value is USD {{QuoteGrandTotal}}.</w:t>
            </w:r>
          </w:p>
        </w:tc>
      </w:tr>
    </w:tbl>
    <w:p>
      <w:pPr>
        <w:spacing w:after="180" w:before="0"/>
        <w:jc w:val="left"/>
      </w:pPr>
      <w:r>
        <w:rPr>
          <w:rFonts w:ascii="Arial" w:hAnsi="Arial"/>
          <w:b w:val="0"/>
          <w:i w:val="0"/>
          <w:caps w:val="0"/>
          <w:color w:val="5A6781"/>
          <w:sz w:val="20"/>
        </w:rPr>
        <w:t>{{/Quote}}Discount approved by {{PnPDiscountApprover}}.</w:t>
      </w:r>
    </w:p>
    <w:p>
      <w:pPr>
        <w:pageBreakBefore/>
        <w:spacing w:after="100" w:before="280"/>
        <w:jc w:val="left"/>
        <w:pBdr>
          <w:bottom w:val="single" w:sz="18" w:space="4" w:color="02F4E4"/>
        </w:pBdr>
      </w:pPr>
      <w:r>
        <w:rPr>
          <w:rFonts w:ascii="Arial" w:hAnsi="Arial"/>
          <w:b/>
          <w:i w:val="0"/>
          <w:caps/>
          <w:color w:val="1D2A57"/>
          <w:sz w:val="24"/>
        </w:rPr>
        <w:t>Program Terms</w:t>
      </w:r>
    </w:p>
    <w:p>
      <w:pPr>
        <w:spacing w:after="12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4989"/>
        <w:gridCol w:w="4989"/>
      </w:tblGrid>
      <w:tr>
        <w:tc>
          <w:tcPr>
            <w:tcW w:type="dxa" w:w="3515"/>
            <w:tcMar>
              <w:top w:w="80" w:type="dxa"/>
              <w:left w:w="0" w:type="dxa"/>
              <w:bottom w:w="80" w:type="dxa"/>
              <w:right w:w="140" w:type="dxa"/>
            </w:tcMar>
            <w:tcBorders>
              <w:bottom w:val="single" w:sz="6" w:space="0" w:color="DCE3ED"/>
            </w:tcBorders>
          </w:tcPr>
          <w:p>
            <w:pPr>
              <w:spacing w:after="0" w:before="0"/>
              <w:jc w:val="left"/>
            </w:pPr>
            <w:r>
              <w:rPr>
                <w:rFonts w:ascii="Arial" w:hAnsi="Arial"/>
                <w:b/>
                <w:i w:val="0"/>
                <w:caps w:val="0"/>
                <w:color w:val="1D2A57"/>
                <w:sz w:val="18"/>
              </w:rPr>
              <w:t>Membership term</w:t>
            </w:r>
          </w:p>
        </w:tc>
        <w:tc>
          <w:tcPr>
            <w:tcW w:type="dxa" w:w="6463"/>
            <w:tcMar>
              <w:top w:w="80" w:type="dxa"/>
              <w:left w:w="0" w:type="dxa"/>
              <w:bottom w:w="80" w:type="dxa"/>
              <w:right w:w="140" w:type="dxa"/>
            </w:tcMar>
            <w:tcBorders>
              <w:bottom w:val="single" w:sz="6" w:space="0" w:color="DCE3ED"/>
            </w:tcBorders>
          </w:tcPr>
          <w:p>
            <w:pPr>
              <w:spacing w:after="0" w:before="0"/>
              <w:jc w:val="left"/>
            </w:pPr>
            <w:r>
              <w:rPr>
                <w:rFonts w:ascii="Arial" w:hAnsi="Arial"/>
                <w:b w:val="0"/>
                <w:i w:val="0"/>
                <w:caps w:val="0"/>
                <w:color w:val="5A6781"/>
                <w:sz w:val="17"/>
              </w:rPr>
              <w:t>{{DT_ContractTerm}} months</w:t>
            </w:r>
          </w:p>
        </w:tc>
      </w:tr>
      <w:tr>
        <w:tc>
          <w:tcPr>
            <w:tcW w:type="dxa" w:w="3515"/>
            <w:tcMar>
              <w:top w:w="80" w:type="dxa"/>
              <w:left w:w="0" w:type="dxa"/>
              <w:bottom w:w="80" w:type="dxa"/>
              <w:right w:w="140" w:type="dxa"/>
            </w:tcMar>
            <w:tcBorders>
              <w:bottom w:val="single" w:sz="6" w:space="0" w:color="DCE3ED"/>
            </w:tcBorders>
          </w:tcPr>
          <w:p>
            <w:pPr>
              <w:spacing w:after="0" w:before="0"/>
              <w:jc w:val="left"/>
            </w:pPr>
            <w:r>
              <w:rPr>
                <w:rFonts w:ascii="Arial" w:hAnsi="Arial"/>
                <w:b/>
                <w:i w:val="0"/>
                <w:caps w:val="0"/>
                <w:color w:val="1D2A57"/>
                <w:sz w:val="18"/>
              </w:rPr>
              <w:t>Kickoff date</w:t>
            </w:r>
          </w:p>
        </w:tc>
        <w:tc>
          <w:tcPr>
            <w:tcW w:type="dxa" w:w="6463"/>
            <w:tcMar>
              <w:top w:w="80" w:type="dxa"/>
              <w:left w:w="0" w:type="dxa"/>
              <w:bottom w:w="80" w:type="dxa"/>
              <w:right w:w="140" w:type="dxa"/>
            </w:tcMar>
            <w:tcBorders>
              <w:bottom w:val="single" w:sz="6" w:space="0" w:color="DCE3ED"/>
            </w:tcBorders>
          </w:tcPr>
          <w:p>
            <w:pPr>
              <w:spacing w:after="0" w:before="0"/>
              <w:jc w:val="left"/>
            </w:pPr>
            <w:r>
              <w:rPr>
                <w:rFonts w:ascii="Arial" w:hAnsi="Arial"/>
                <w:b w:val="0"/>
                <w:i w:val="0"/>
                <w:caps w:val="0"/>
                <w:color w:val="5A6781"/>
                <w:sz w:val="17"/>
              </w:rPr>
              <w:t>{{DT_PnPKickoffDate}}</w:t>
            </w:r>
          </w:p>
        </w:tc>
      </w:tr>
      <w:tr>
        <w:tc>
          <w:tcPr>
            <w:tcW w:type="dxa" w:w="3515"/>
            <w:tcMar>
              <w:top w:w="80" w:type="dxa"/>
              <w:left w:w="0" w:type="dxa"/>
              <w:bottom w:w="80" w:type="dxa"/>
              <w:right w:w="140" w:type="dxa"/>
            </w:tcMar>
            <w:tcBorders>
              <w:bottom w:val="single" w:sz="6" w:space="0" w:color="DCE3ED"/>
            </w:tcBorders>
          </w:tcPr>
          <w:p>
            <w:pPr>
              <w:spacing w:after="0" w:before="0"/>
              <w:jc w:val="left"/>
            </w:pPr>
            <w:r>
              <w:rPr>
                <w:rFonts w:ascii="Arial" w:hAnsi="Arial"/>
                <w:b/>
                <w:i w:val="0"/>
                <w:caps w:val="0"/>
                <w:color w:val="1D2A57"/>
                <w:sz w:val="18"/>
              </w:rPr>
              <w:t>Workshops included</w:t>
            </w:r>
          </w:p>
        </w:tc>
        <w:tc>
          <w:tcPr>
            <w:tcW w:type="dxa" w:w="6463"/>
            <w:tcMar>
              <w:top w:w="80" w:type="dxa"/>
              <w:left w:w="0" w:type="dxa"/>
              <w:bottom w:w="80" w:type="dxa"/>
              <w:right w:w="140" w:type="dxa"/>
            </w:tcMar>
            <w:tcBorders>
              <w:bottom w:val="single" w:sz="6" w:space="0" w:color="DCE3ED"/>
            </w:tcBorders>
          </w:tcPr>
          <w:p>
            <w:pPr>
              <w:spacing w:after="0" w:before="0"/>
              <w:jc w:val="left"/>
            </w:pPr>
            <w:r>
              <w:rPr>
                <w:rFonts w:ascii="Arial" w:hAnsi="Arial"/>
                <w:b w:val="0"/>
                <w:i w:val="0"/>
                <w:caps w:val="0"/>
                <w:color w:val="5A6781"/>
                <w:sz w:val="17"/>
              </w:rPr>
              <w:t>{{DT_PnPWorkshopsIncluded}} innovation workshops</w:t>
            </w:r>
          </w:p>
        </w:tc>
      </w:tr>
      <w:tr>
        <w:tc>
          <w:tcPr>
            <w:tcW w:type="dxa" w:w="3515"/>
            <w:tcMar>
              <w:top w:w="80" w:type="dxa"/>
              <w:left w:w="0" w:type="dxa"/>
              <w:bottom w:w="80" w:type="dxa"/>
              <w:right w:w="140" w:type="dxa"/>
            </w:tcMar>
            <w:tcBorders>
              <w:bottom w:val="single" w:sz="6" w:space="0" w:color="DCE3ED"/>
            </w:tcBorders>
          </w:tcPr>
          <w:p>
            <w:pPr>
              <w:spacing w:after="0" w:before="0"/>
              <w:jc w:val="left"/>
            </w:pPr>
            <w:r>
              <w:rPr>
                <w:rFonts w:ascii="Arial" w:hAnsi="Arial"/>
                <w:b/>
                <w:i w:val="0"/>
                <w:caps w:val="0"/>
                <w:color w:val="1D2A57"/>
                <w:sz w:val="18"/>
              </w:rPr>
              <w:t>Marketing hours included</w:t>
            </w:r>
          </w:p>
        </w:tc>
        <w:tc>
          <w:tcPr>
            <w:tcW w:type="dxa" w:w="6463"/>
            <w:tcMar>
              <w:top w:w="80" w:type="dxa"/>
              <w:left w:w="0" w:type="dxa"/>
              <w:bottom w:w="80" w:type="dxa"/>
              <w:right w:w="140" w:type="dxa"/>
            </w:tcMar>
            <w:tcBorders>
              <w:bottom w:val="single" w:sz="6" w:space="0" w:color="DCE3ED"/>
            </w:tcBorders>
          </w:tcPr>
          <w:p>
            <w:pPr>
              <w:spacing w:after="0" w:before="0"/>
              <w:jc w:val="left"/>
            </w:pPr>
            <w:r>
              <w:rPr>
                <w:rFonts w:ascii="Arial" w:hAnsi="Arial"/>
                <w:b w:val="0"/>
                <w:i w:val="0"/>
                <w:caps w:val="0"/>
                <w:color w:val="5A6781"/>
                <w:sz w:val="17"/>
              </w:rPr>
              <w:t>{{DT_PnPMarketingHours}} hours of marketing support</w:t>
            </w:r>
          </w:p>
        </w:tc>
      </w:tr>
      <w:tr>
        <w:tc>
          <w:tcPr>
            <w:tcW w:type="dxa" w:w="3515"/>
            <w:tcMar>
              <w:top w:w="80" w:type="dxa"/>
              <w:left w:w="0" w:type="dxa"/>
              <w:bottom w:w="80" w:type="dxa"/>
              <w:right w:w="140" w:type="dxa"/>
            </w:tcMar>
            <w:tcBorders>
              <w:bottom w:val="single" w:sz="6" w:space="0" w:color="DCE3ED"/>
            </w:tcBorders>
          </w:tcPr>
          <w:p>
            <w:pPr>
              <w:spacing w:after="0" w:before="0"/>
              <w:jc w:val="left"/>
            </w:pPr>
            <w:r>
              <w:rPr>
                <w:rFonts w:ascii="Arial" w:hAnsi="Arial"/>
                <w:b/>
                <w:i w:val="0"/>
                <w:caps w:val="0"/>
                <w:color w:val="1D2A57"/>
                <w:sz w:val="18"/>
              </w:rPr>
              <w:t>Relationship manager</w:t>
            </w:r>
          </w:p>
        </w:tc>
        <w:tc>
          <w:tcPr>
            <w:tcW w:type="dxa" w:w="6463"/>
            <w:tcMar>
              <w:top w:w="80" w:type="dxa"/>
              <w:left w:w="0" w:type="dxa"/>
              <w:bottom w:w="80" w:type="dxa"/>
              <w:right w:w="140" w:type="dxa"/>
            </w:tcMar>
            <w:tcBorders>
              <w:bottom w:val="single" w:sz="6" w:space="0" w:color="DCE3ED"/>
            </w:tcBorders>
          </w:tcPr>
          <w:p>
            <w:pPr>
              <w:spacing w:after="0" w:before="0"/>
              <w:jc w:val="left"/>
            </w:pPr>
            <w:r>
              <w:rPr>
                <w:rFonts w:ascii="Arial" w:hAnsi="Arial"/>
                <w:b w:val="0"/>
                <w:i w:val="0"/>
                <w:caps w:val="0"/>
                <w:color w:val="5A6781"/>
                <w:sz w:val="17"/>
              </w:rPr>
              <w:t>{{DT_PnPProgramManager}}</w:t>
            </w:r>
          </w:p>
        </w:tc>
      </w:tr>
      <w:tr>
        <w:tc>
          <w:tcPr>
            <w:tcW w:type="dxa" w:w="3515"/>
            <w:tcMar>
              <w:top w:w="80" w:type="dxa"/>
              <w:left w:w="0" w:type="dxa"/>
              <w:bottom w:w="80" w:type="dxa"/>
              <w:right w:w="140" w:type="dxa"/>
            </w:tcMar>
            <w:tcBorders>
              <w:bottom w:val="single" w:sz="6" w:space="0" w:color="DCE3ED"/>
            </w:tcBorders>
          </w:tcPr>
          <w:p>
            <w:pPr>
              <w:spacing w:after="0" w:before="0"/>
              <w:jc w:val="left"/>
            </w:pPr>
            <w:r>
              <w:rPr>
                <w:rFonts w:ascii="Arial" w:hAnsi="Arial"/>
                <w:b/>
                <w:i w:val="0"/>
                <w:caps w:val="0"/>
                <w:color w:val="1D2A57"/>
                <w:sz w:val="18"/>
              </w:rPr>
              <w:t>Client executive sponsor</w:t>
            </w:r>
          </w:p>
        </w:tc>
        <w:tc>
          <w:tcPr>
            <w:tcW w:type="dxa" w:w="6463"/>
            <w:tcMar>
              <w:top w:w="80" w:type="dxa"/>
              <w:left w:w="0" w:type="dxa"/>
              <w:bottom w:w="80" w:type="dxa"/>
              <w:right w:w="140" w:type="dxa"/>
            </w:tcMar>
            <w:tcBorders>
              <w:bottom w:val="single" w:sz="6" w:space="0" w:color="DCE3ED"/>
            </w:tcBorders>
          </w:tcPr>
          <w:p>
            <w:pPr>
              <w:spacing w:after="0" w:before="0"/>
              <w:jc w:val="left"/>
            </w:pPr>
            <w:r>
              <w:rPr>
                <w:rFonts w:ascii="Arial" w:hAnsi="Arial"/>
                <w:b w:val="0"/>
                <w:i w:val="0"/>
                <w:caps w:val="0"/>
                <w:color w:val="5A6781"/>
                <w:sz w:val="17"/>
              </w:rPr>
              <w:t>{{DT_PnPExecutiveSponsor}}</w:t>
            </w:r>
          </w:p>
        </w:tc>
      </w:tr>
      <w:tr>
        <w:tc>
          <w:tcPr>
            <w:tcW w:type="dxa" w:w="3515"/>
            <w:tcMar>
              <w:top w:w="80" w:type="dxa"/>
              <w:left w:w="0" w:type="dxa"/>
              <w:bottom w:w="80" w:type="dxa"/>
              <w:right w:w="140" w:type="dxa"/>
            </w:tcMar>
            <w:tcBorders>
              <w:bottom w:val="single" w:sz="6" w:space="0" w:color="DCE3ED"/>
            </w:tcBorders>
          </w:tcPr>
          <w:p>
            <w:pPr>
              <w:spacing w:after="0" w:before="0"/>
              <w:jc w:val="left"/>
            </w:pPr>
            <w:r>
              <w:rPr>
                <w:rFonts w:ascii="Arial" w:hAnsi="Arial"/>
                <w:b/>
                <w:i w:val="0"/>
                <w:caps w:val="0"/>
                <w:color w:val="1D2A57"/>
                <w:sz w:val="18"/>
              </w:rPr>
              <w:t>Source proposal</w:t>
            </w:r>
          </w:p>
        </w:tc>
        <w:tc>
          <w:tcPr>
            <w:tcW w:type="dxa" w:w="6463"/>
            <w:tcMar>
              <w:top w:w="80" w:type="dxa"/>
              <w:left w:w="0" w:type="dxa"/>
              <w:bottom w:w="80" w:type="dxa"/>
              <w:right w:w="140" w:type="dxa"/>
            </w:tcMar>
            <w:tcBorders>
              <w:bottom w:val="single" w:sz="6" w:space="0" w:color="DCE3ED"/>
            </w:tcBorders>
          </w:tcPr>
          <w:p>
            <w:pPr>
              <w:spacing w:after="0" w:before="0"/>
              <w:jc w:val="left"/>
            </w:pPr>
            <w:r>
              <w:rPr>
                <w:rFonts w:ascii="Arial" w:hAnsi="Arial"/>
                <w:b w:val="0"/>
                <w:i w:val="0"/>
                <w:caps w:val="0"/>
                <w:color w:val="5A6781"/>
                <w:sz w:val="17"/>
              </w:rPr>
              <w:t>{{PnPSourceQuoteNumber}}</w:t>
            </w:r>
          </w:p>
        </w:tc>
      </w:tr>
      <w:tr>
        <w:tc>
          <w:tcPr>
            <w:tcW w:type="dxa" w:w="3515"/>
            <w:tcMar>
              <w:top w:w="80" w:type="dxa"/>
              <w:left w:w="0" w:type="dxa"/>
              <w:bottom w:w="80" w:type="dxa"/>
              <w:right w:w="140" w:type="dxa"/>
            </w:tcMar>
            <w:tcBorders>
              <w:bottom w:val="single" w:sz="6" w:space="0" w:color="DCE3ED"/>
            </w:tcBorders>
          </w:tcPr>
          <w:p>
            <w:pPr>
              <w:spacing w:after="0" w:before="0"/>
              <w:jc w:val="left"/>
            </w:pPr>
            <w:r>
              <w:rPr>
                <w:rFonts w:ascii="Arial" w:hAnsi="Arial"/>
                <w:b/>
                <w:i w:val="0"/>
                <w:caps w:val="0"/>
                <w:color w:val="1D2A57"/>
                <w:sz w:val="18"/>
              </w:rPr>
              <w:t>Renewal review</w:t>
            </w:r>
          </w:p>
        </w:tc>
        <w:tc>
          <w:tcPr>
            <w:tcW w:type="dxa" w:w="6463"/>
            <w:tcMar>
              <w:top w:w="80" w:type="dxa"/>
              <w:left w:w="0" w:type="dxa"/>
              <w:bottom w:w="80" w:type="dxa"/>
              <w:right w:w="140" w:type="dxa"/>
            </w:tcMar>
            <w:tcBorders>
              <w:bottom w:val="single" w:sz="6" w:space="0" w:color="DCE3ED"/>
            </w:tcBorders>
          </w:tcPr>
          <w:p>
            <w:pPr>
              <w:spacing w:after="0" w:before="0"/>
              <w:jc w:val="left"/>
            </w:pPr>
            <w:r>
              <w:rPr>
                <w:rFonts w:ascii="Arial" w:hAnsi="Arial"/>
                <w:b w:val="0"/>
                <w:i w:val="0"/>
                <w:caps w:val="0"/>
                <w:color w:val="5A6781"/>
                <w:sz w:val="17"/>
              </w:rPr>
              <w:t>{{DT_PnPRenewalDate}} · 60 days' written notice required</w:t>
            </w:r>
          </w:p>
        </w:tc>
      </w:tr>
    </w:tbl>
    <w:p>
      <w:pPr>
        <w:pageBreakBefore/>
        <w:spacing w:after="100" w:before="280"/>
        <w:jc w:val="left"/>
        <w:pBdr>
          <w:bottom w:val="single" w:sz="18" w:space="4" w:color="02F4E4"/>
        </w:pBdr>
      </w:pPr>
      <w:r>
        <w:rPr>
          <w:rFonts w:ascii="Arial" w:hAnsi="Arial"/>
          <w:b/>
          <w:i w:val="0"/>
          <w:caps/>
          <w:color w:val="1D2A57"/>
          <w:sz w:val="24"/>
        </w:rPr>
        <w:t>Terms and Conditions</w:t>
      </w:r>
    </w:p>
    <w:p>
      <w:pPr>
        <w:spacing w:after="120"/>
      </w:pPr>
    </w:p>
    <w:sdt>
      <w:sdtPr>
        <w:alias w:val="Clause"/>
        <w:tag w:val="{&quot;entityId&quot;:&quot;2dcg80000079nThAAI&quot;,&quot;type&quot;:&quot;Clause&quot;,&quot;title&quot;:&quot;Scope of the Agreement&quot;,&quot;language&quot;:&quot;English&quot;,&quot;category&quot;:&quot;Scope of the Agreement&quot;,&quot;generateSource&quot;:&quot;Library&quot;,&quot;controlId&quot;:595640973,&quot;guid&quot;:&quot;pnp-clm-1-79nThAAI&quot;,&quot;checksum&quot;:&quot;46f3063ca3831ecebcc4d5c55cb08acc71826e36b5631b630cbb4649d70870aa&quot;}"/>
      </w:sdtPr>
      <w:sdtContent>
        <w:p>
          <w:pPr>
            <w:spacing w:after="80" w:before="0"/>
            <w:jc w:val="left"/>
          </w:pPr>
          <w:r>
            <w:rPr>
              <w:rFonts w:ascii="Arial" w:hAnsi="Arial"/>
              <w:b/>
              <w:i w:val="0"/>
              <w:caps w:val="0"/>
              <w:color w:val="1D2A57"/>
              <w:sz w:val="19"/>
            </w:rPr>
            <w:t xml:space="preserve">1. THE SCOPE OF THE AGREEMENT</w:t>
          </w:r>
        </w:p>
        <w:p>
          <w:pPr>
            <w:spacing w:after="180" w:before="0"/>
            <w:jc w:val="left"/>
          </w:pPr>
          <w:r>
            <w:rPr>
              <w:rFonts w:ascii="Arial" w:hAnsi="Arial"/>
              <w:b w:val="0"/>
              <w:i w:val="0"/>
              <w:caps w:val="0"/>
              <w:color w:val="5A6781"/>
              <w:sz w:val="17"/>
            </w:rPr>
            <w:t xml:space="preserve">{{AccountName}} (“Client”), a company operating in the {{AccountIndustry}} industry, is seeking a deeper engagement with Plug and Play to drive business growth opportunities through engagement, partnership, pilots, acquisition, or investment in startups. To ensure Client’s success as a strategic member of Plug and Play’s ecosystem, Plug and Play will provide the services described in this Agreement in exchange for the fees described in Exhibit A, attached and incorporated into this Agreement.</w:t>
          </w:r>
        </w:p>
        <w:p>
          <w:pPr>
            <w:spacing w:after="180" w:before="0"/>
            <w:jc w:val="left"/>
          </w:pPr>
          <w:r>
            <w:rPr>
              <w:rFonts w:ascii="Arial" w:hAnsi="Arial"/>
              <w:b w:val="0"/>
              <w:i w:val="0"/>
              <w:caps w:val="0"/>
              <w:color w:val="5A6781"/>
              <w:sz w:val="17"/>
            </w:rPr>
            <w:t xml:space="preserve">The execution of this Agreement grants Client the status of “Ecosystem Plus Member” of the Program for the membership term set out in the Program Terms, commencing on the Effective Date and continuing until {{ContractEndDate}} (the “Term”).</w:t>
          </w:r>
        </w:p>
      </w:sdtContent>
    </w:sdt>
    <w:sdt>
      <w:sdtPr>
        <w:alias w:val="Clause"/>
        <w:tag w:val="{&quot;entityId&quot;:&quot;2dcg80000079nVJAAY&quot;,&quot;type&quot;:&quot;Clause&quot;,&quot;title&quot;:&quot;Ecosystem Plus Benefits&quot;,&quot;language&quot;:&quot;English&quot;,&quot;category&quot;:&quot;Ecosystem Plus Benefits&quot;,&quot;generateSource&quot;:&quot;Library&quot;,&quot;controlId&quot;:764064035,&quot;guid&quot;:&quot;pnp-clm-2-79nVJAAY&quot;,&quot;checksum&quot;:&quot;38e8b4911964a27d86ef9bb61ac85d55281ca84a1887d00d6e22300946378a63&quot;}"/>
      </w:sdtPr>
      <w:sdtContent>
        <w:p>
          <w:pPr>
            <w:spacing w:after="80" w:before="0"/>
            <w:jc w:val="left"/>
          </w:pPr>
          <w:r>
            <w:rPr>
              <w:rFonts w:ascii="Arial" w:hAnsi="Arial"/>
              <w:b/>
              <w:i w:val="0"/>
              <w:caps w:val="0"/>
              <w:color w:val="1D2A57"/>
              <w:sz w:val="19"/>
            </w:rPr>
            <w:t xml:space="preserve">2. ECOSYSTEM PLUS BENEFITS</w:t>
          </w:r>
        </w:p>
        <w:p>
          <w:pPr>
            <w:spacing w:after="180" w:before="0"/>
            <w:jc w:val="left"/>
          </w:pPr>
          <w:r>
            <w:rPr>
              <w:rFonts w:ascii="Arial" w:hAnsi="Arial"/>
              <w:b w:val="0"/>
              <w:i w:val="0"/>
              <w:caps w:val="0"/>
              <w:color w:val="5A6781"/>
              <w:sz w:val="17"/>
            </w:rPr>
            <w:t xml:space="preserve">As an Ecosystem Plus Member, Client will receive the following services within the Term.</w:t>
          </w:r>
        </w:p>
        <w:p>
          <w:pPr>
            <w:spacing w:after="180" w:before="0"/>
            <w:jc w:val="left"/>
          </w:pPr>
          <w:r>
            <w:rPr>
              <w:rFonts w:ascii="Arial" w:hAnsi="Arial"/>
              <w:b w:val="0"/>
              <w:i w:val="0"/>
              <w:caps w:val="0"/>
              <w:color w:val="5A6781"/>
              <w:sz w:val="17"/>
            </w:rPr>
            <w:t xml:space="preserve">2.1. Relationship Management. Plug and Play designates the relationship manager named in the Program Terms as Client’s dedicated relationship manager throughout the Term. The relationship manager serves as Client’s primary point of contact and supports Client’s innovation scouting, startup engagement, and ecosystem networking activities. The Parties shall hold regular check-in meetings, on a biweekly or monthly basis, to discuss ongoing activities, areas of interest, and upcoming opportunities. Client’s executive sponsor for the Program is the person named in the Program Terms.</w:t>
          </w:r>
        </w:p>
        <w:p>
          <w:pPr>
            <w:spacing w:after="180" w:before="0"/>
            <w:jc w:val="left"/>
          </w:pPr>
          <w:r>
            <w:rPr>
              <w:rFonts w:ascii="Arial" w:hAnsi="Arial"/>
              <w:b w:val="0"/>
              <w:i w:val="0"/>
              <w:caps w:val="0"/>
              <w:color w:val="5A6781"/>
              <w:sz w:val="17"/>
            </w:rPr>
            <w:t xml:space="preserve">2.2. Elite List and Selection Process. Upon the selection of the focus area for the Batch, Plug and Play will source, review, and vet applicants to compile a list of qualified startups (the “Elite List”). Client will receive the Elite List and may assist Plug and Play in the selection of startups for the Program.</w:t>
          </w:r>
        </w:p>
        <w:p>
          <w:pPr>
            <w:spacing w:after="180" w:before="0"/>
            <w:jc w:val="left"/>
          </w:pPr>
          <w:r>
            <w:rPr>
              <w:rFonts w:ascii="Arial" w:hAnsi="Arial"/>
              <w:b w:val="0"/>
              <w:i w:val="0"/>
              <w:caps w:val="0"/>
              <w:color w:val="5A6781"/>
              <w:sz w:val="17"/>
            </w:rPr>
            <w:t xml:space="preserve">2.3. Dealflow Sessions and Ad-Hoc Introductions. Plug and Play will facilitate private introductions between Client and startups based on Client’s business challenges, and will make ad-hoc introductions as new opportunities arise during the Term.</w:t>
          </w:r>
        </w:p>
        <w:p>
          <w:pPr>
            <w:spacing w:after="180" w:before="0"/>
            <w:jc w:val="left"/>
          </w:pPr>
          <w:r>
            <w:rPr>
              <w:rFonts w:ascii="Arial" w:hAnsi="Arial"/>
              <w:b w:val="0"/>
              <w:i w:val="0"/>
              <w:caps w:val="0"/>
              <w:color w:val="5A6781"/>
              <w:sz w:val="17"/>
            </w:rPr>
            <w:t xml:space="preserve">2.4. Events and Workshops. Plug and Play will deliver the number of workshops set out in the Program Terms during the Term and Client may attend any community event hosted during the Term. The Program kickoff will take place on the kickoff date set out in the Program Terms.</w:t>
          </w:r>
        </w:p>
        <w:p>
          <w:pPr>
            <w:spacing w:after="180" w:before="0"/>
            <w:jc w:val="left"/>
          </w:pPr>
          <w:r>
            <w:rPr>
              <w:rFonts w:ascii="Arial" w:hAnsi="Arial"/>
              <w:b w:val="0"/>
              <w:i w:val="0"/>
              <w:caps w:val="0"/>
              <w:color w:val="5A6781"/>
              <w:sz w:val="17"/>
            </w:rPr>
            <w:t xml:space="preserve">2.5. Playbook. During the Term, Client may access Plug and Play’s proprietary virtual platform called “Playbook,” which allows corporate members to track engagement with startups and includes a database of startup profiles.</w:t>
          </w:r>
        </w:p>
      </w:sdtContent>
    </w:sdt>
    <w:sdt>
      <w:sdtPr>
        <w:alias w:val="Clause"/>
        <w:tag w:val="{&quot;entityId&quot;:&quot;2dcg80000079nWvAAI&quot;,&quot;type&quot;:&quot;Clause&quot;,&quot;title&quot;:&quot;Authorization for Use of Name, Trademarks and Logos&quot;,&quot;language&quot;:&quot;English&quot;,&quot;category&quot;:&quot;Authorization for Use of Name, Trademarks and Logos&quot;,&quot;generateSource&quot;:&quot;Library&quot;,&quot;controlId&quot;:338315718,&quot;guid&quot;:&quot;pnp-clm-3-79nWvAAI&quot;,&quot;checksum&quot;:&quot;8c1db565c9faa0122d91b9effe9507d760eaee35b4f54e90fe0984f68ee5b9c2&quot;}"/>
      </w:sdtPr>
      <w:sdtContent>
        <w:p>
          <w:pPr>
            <w:spacing w:after="80" w:before="0"/>
            <w:jc w:val="left"/>
          </w:pPr>
          <w:r>
            <w:rPr>
              <w:rFonts w:ascii="Arial" w:hAnsi="Arial"/>
              <w:b/>
              <w:i w:val="0"/>
              <w:caps w:val="0"/>
              <w:color w:val="1D2A57"/>
              <w:sz w:val="19"/>
            </w:rPr>
            <w:t xml:space="preserve">3. AUTHORIZATION FOR USE OF NAME, TRADEMARK(S), LOGO(S) AND OTHER IDENTIFYING MARKS</w:t>
          </w:r>
        </w:p>
        <w:p>
          <w:pPr>
            <w:spacing w:after="180" w:before="0"/>
            <w:jc w:val="left"/>
          </w:pPr>
          <w:r>
            <w:rPr>
              <w:rFonts w:ascii="Arial" w:hAnsi="Arial"/>
              <w:b w:val="0"/>
              <w:i w:val="0"/>
              <w:caps w:val="0"/>
              <w:color w:val="5A6781"/>
              <w:sz w:val="17"/>
            </w:rPr>
            <w:t xml:space="preserve">{{AccountName}} grants Plug and Play a limited, non-exclusive, non-transferable, revocable license during the Term to use Client’s logo and trademarks (“Marks”) on a placard at Plug and Play’s Silicon Valley facility, at Plug and Play events and in its promotional materials, and on Plug and Play’s website.</w:t>
          </w:r>
        </w:p>
        <w:p>
          <w:pPr>
            <w:spacing w:after="180" w:before="0"/>
            <w:jc w:val="left"/>
          </w:pPr>
          <w:r>
            <w:rPr>
              <w:rFonts w:ascii="Arial" w:hAnsi="Arial"/>
              <w:b w:val="0"/>
              <w:i w:val="0"/>
              <w:caps w:val="0"/>
              <w:color w:val="5A6781"/>
              <w:sz w:val="17"/>
            </w:rPr>
            <w:t xml:space="preserve">Except for the uses listed above, Plug and Play will ask for written permission from Client to use its Marks, which shall not be unreasonably withheld. Client retains all intellectual property rights, title and interest in or to any of its Marks. Plug and Play’s use of the Marks shall comply with Client’s then-current brand guidelines, and Plug and Play shall promptly correct or discontinue any non-compliant use upon Client’s request.</w:t>
          </w:r>
        </w:p>
        <w:p>
          <w:pPr>
            <w:spacing w:after="180" w:before="0"/>
            <w:jc w:val="left"/>
          </w:pPr>
          <w:r>
            <w:rPr>
              <w:rFonts w:ascii="Arial" w:hAnsi="Arial"/>
              <w:b w:val="0"/>
              <w:i w:val="0"/>
              <w:caps w:val="0"/>
              <w:color w:val="5A6781"/>
              <w:sz w:val="17"/>
            </w:rPr>
            <w:t xml:space="preserve">Any press release, public announcement, case study, testimonial, endorsement, marketing campaign, or social media posting specifically identifying {{AccountName}} or describing Client’s participation in the Program shall require Client’s prior written approval. Plug and Play allocates the marketing hours set out in the Program Terms to Client during the Term.</w:t>
          </w:r>
        </w:p>
      </w:sdtContent>
    </w:sdt>
    <w:sdt>
      <w:sdtPr>
        <w:alias w:val="Clause"/>
        <w:tag w:val="{&quot;entityId&quot;:&quot;2dcg80000079nYXAAY&quot;,&quot;type&quot;:&quot;Clause&quot;,&quot;title&quot;:&quot;Intellectual Property&quot;,&quot;language&quot;:&quot;English&quot;,&quot;category&quot;:&quot;Intellectual Property&quot;,&quot;generateSource&quot;:&quot;Library&quot;,&quot;controlId&quot;:216944900,&quot;guid&quot;:&quot;pnp-clm-4-79nYXAAY&quot;,&quot;checksum&quot;:&quot;9280aa0110dee9fb708dcb0eb16f36e215263cb3914efed312a197a056e10627&quot;}"/>
      </w:sdtPr>
      <w:sdtContent>
        <w:p>
          <w:pPr>
            <w:spacing w:after="80" w:before="0"/>
            <w:jc w:val="left"/>
          </w:pPr>
          <w:r>
            <w:rPr>
              <w:rFonts w:ascii="Arial" w:hAnsi="Arial"/>
              <w:b/>
              <w:i w:val="0"/>
              <w:caps w:val="0"/>
              <w:color w:val="1D2A57"/>
              <w:sz w:val="19"/>
            </w:rPr>
            <w:t xml:space="preserve">4. INTELLECTUAL PROPERTY</w:t>
          </w:r>
        </w:p>
        <w:p>
          <w:pPr>
            <w:spacing w:after="180" w:before="0"/>
            <w:jc w:val="left"/>
          </w:pPr>
          <w:r>
            <w:rPr>
              <w:rFonts w:ascii="Arial" w:hAnsi="Arial"/>
              <w:b w:val="0"/>
              <w:i w:val="0"/>
              <w:caps w:val="0"/>
              <w:color w:val="5A6781"/>
              <w:sz w:val="17"/>
            </w:rPr>
            <w:t xml:space="preserve">Each Party has, prior to this Agreement, created, acquired or otherwise obtained rights to its respective proprietary information related to technology, business, products, processes, services, or operations, including any registered or potentially registrable patents, trademarks, logos, or designs, as well as copyrightable works, trade secrets, and know-how (“Background Intellectual Property”). Each Party shall, for the duration of this Agreement and thereafter, retain the ownership of its own Background Intellectual Property.</w:t>
          </w:r>
        </w:p>
        <w:p>
          <w:pPr>
            <w:spacing w:after="180" w:before="0"/>
            <w:jc w:val="left"/>
          </w:pPr>
          <w:r>
            <w:rPr>
              <w:rFonts w:ascii="Arial" w:hAnsi="Arial"/>
              <w:b w:val="0"/>
              <w:i w:val="0"/>
              <w:caps w:val="0"/>
              <w:color w:val="5A6781"/>
              <w:sz w:val="17"/>
            </w:rPr>
            <w:t xml:space="preserve">Plug and Play shall acquire no right, title or interest in or to any intellectual property, including all logos, trademarks, names, ideas, concepts, creative materials, work product and data, and any inventions and discoveries first conceived or developed by or between {{AccountName}} and any entity introduced to Client through Plug and Play’s services or in connection with this Agreement.</w:t>
          </w:r>
        </w:p>
        <w:p>
          <w:pPr>
            <w:spacing w:after="180" w:before="0"/>
            <w:jc w:val="left"/>
          </w:pPr>
          <w:r>
            <w:rPr>
              <w:rFonts w:ascii="Arial" w:hAnsi="Arial"/>
              <w:b w:val="0"/>
              <w:i w:val="0"/>
              <w:caps w:val="0"/>
              <w:color w:val="5A6781"/>
              <w:sz w:val="17"/>
            </w:rPr>
            <w:t xml:space="preserve">If the Parties desire to jointly develop any intellectual property during the Term, they shall execute a separate development agreement before starting any such development.</w:t>
          </w:r>
        </w:p>
      </w:sdtContent>
    </w:sdt>
    <w:sdt>
      <w:sdtPr>
        <w:alias w:val="Clause"/>
        <w:tag w:val="{&quot;entityId&quot;:&quot;2dcg80000079na9AAA&quot;,&quot;type&quot;:&quot;Clause&quot;,&quot;title&quot;:&quot;Confidentiality&quot;,&quot;language&quot;:&quot;English&quot;,&quot;category&quot;:&quot;Confidentiality&quot;,&quot;generateSource&quot;:&quot;Library&quot;,&quot;controlId&quot;:930452875,&quot;guid&quot;:&quot;pnp-clm-5-79na9AAA&quot;,&quot;checksum&quot;:&quot;4f9c28d8bb3aa8266c56251b5ff5855108f6e1e7b80c81bdba712fc275900128&quot;}"/>
      </w:sdtPr>
      <w:sdtContent>
        <w:p>
          <w:pPr>
            <w:spacing w:after="80" w:before="0"/>
            <w:jc w:val="left"/>
          </w:pPr>
          <w:r>
            <w:rPr>
              <w:rFonts w:ascii="Arial" w:hAnsi="Arial"/>
              <w:b/>
              <w:i w:val="0"/>
              <w:caps w:val="0"/>
              <w:color w:val="1D2A57"/>
              <w:sz w:val="19"/>
            </w:rPr>
            <w:t xml:space="preserve">5. CONFIDENTIALITY</w:t>
          </w:r>
        </w:p>
        <w:p>
          <w:pPr>
            <w:spacing w:after="180" w:before="0"/>
            <w:jc w:val="left"/>
          </w:pPr>
          <w:r>
            <w:rPr>
              <w:rFonts w:ascii="Arial" w:hAnsi="Arial"/>
              <w:b w:val="0"/>
              <w:i w:val="0"/>
              <w:caps w:val="0"/>
              <w:color w:val="5A6781"/>
              <w:sz w:val="17"/>
            </w:rPr>
            <w:t xml:space="preserve">Prior to and during the Term, each Party (the “Receiving Party”) may be exposed to certain valuable information of the other Party (the “Disclosing Party”) that the Disclosing Party deems confidential, including trade secrets, business and marketing plans, financial information, customer lists, the terms of this Agreement, and any non-public information relating to Client’s activities, evaluations, engagements, or usage of the Playbook platform (“Confidential Information”).</w:t>
          </w:r>
        </w:p>
        <w:p>
          <w:pPr>
            <w:spacing w:after="180" w:before="0"/>
            <w:jc w:val="left"/>
          </w:pPr>
          <w:r>
            <w:rPr>
              <w:rFonts w:ascii="Arial" w:hAnsi="Arial"/>
              <w:b w:val="0"/>
              <w:i w:val="0"/>
              <w:caps w:val="0"/>
              <w:color w:val="5A6781"/>
              <w:sz w:val="17"/>
            </w:rPr>
            <w:t xml:space="preserve">The Receiving Party shall keep the Confidential Information confidential, protect it to the same extent it protects its own confidential information and in no event with less than reasonable care, and use it only in furtherance of this Agreement. This provision shall survive the expiration or earlier termination of this Agreement and shall continue for a period of three (3) years after {{ContractEndDate}}.</w:t>
          </w:r>
        </w:p>
        <w:p>
          <w:pPr>
            <w:spacing w:after="180" w:before="0"/>
            <w:jc w:val="left"/>
          </w:pPr>
          <w:r>
            <w:rPr>
              <w:rFonts w:ascii="Arial" w:hAnsi="Arial"/>
              <w:b w:val="0"/>
              <w:i w:val="0"/>
              <w:caps w:val="0"/>
              <w:color w:val="5A6781"/>
              <w:sz w:val="17"/>
            </w:rPr>
            <w:t xml:space="preserve">These obligations do not apply to information that was in the Receiving Party’s possession before disclosure, was or became part of the public domain through no fault of the Receiving Party, was legally received from a third party without a confidentiality obligation, or is required by law, regulation, subpoena, or court order to be disclosed.</w:t>
          </w:r>
        </w:p>
      </w:sdtContent>
    </w:sdt>
    <w:sdt>
      <w:sdtPr>
        <w:alias w:val="Clause"/>
        <w:tag w:val="{&quot;entityId&quot;:&quot;2dcg80000079nblAAA&quot;,&quot;type&quot;:&quot;Clause&quot;,&quot;title&quot;:&quot;Limitation of Liability&quot;,&quot;language&quot;:&quot;English&quot;,&quot;category&quot;:&quot;Limitation of Liability&quot;,&quot;generateSource&quot;:&quot;Library&quot;,&quot;controlId&quot;:435413624,&quot;guid&quot;:&quot;pnp-clm-6-79nblAAA&quot;,&quot;checksum&quot;:&quot;2da66ed8dc30ecf719ca5e027d518094cdca18bd8095f09ebcf804954fa497d6&quot;}"/>
      </w:sdtPr>
      <w:sdtContent>
        <w:p>
          <w:pPr>
            <w:spacing w:after="80" w:before="0"/>
            <w:jc w:val="left"/>
          </w:pPr>
          <w:r>
            <w:rPr>
              <w:rFonts w:ascii="Arial" w:hAnsi="Arial"/>
              <w:b/>
              <w:i w:val="0"/>
              <w:caps w:val="0"/>
              <w:color w:val="1D2A57"/>
              <w:sz w:val="19"/>
            </w:rPr>
            <w:t xml:space="preserve">6. LIMITATION OF LIABILITY</w:t>
          </w:r>
        </w:p>
        <w:p>
          <w:pPr>
            <w:spacing w:after="180" w:before="0"/>
            <w:jc w:val="left"/>
          </w:pPr>
          <w:r>
            <w:rPr>
              <w:rFonts w:ascii="Arial" w:hAnsi="Arial"/>
              <w:b w:val="0"/>
              <w:i w:val="0"/>
              <w:caps w:val="0"/>
              <w:color w:val="5A6781"/>
              <w:sz w:val="17"/>
            </w:rPr>
            <w:t xml:space="preserve">Except for the indemnification obligations set out in this Agreement, the liability of either Party under this Agreement shall be limited to the total amount of fees paid by {{AccountName}} to Plug and Play under agreement {{ContractNumber}}, being USD {{PnPContractValue}}. In no event shall either Party be liable to the other Party for any special, incidental, punitive, or consequential damages.</w:t>
          </w:r>
        </w:p>
      </w:sdtContent>
    </w:sdt>
    <w:sdt>
      <w:sdtPr>
        <w:alias w:val="Clause"/>
        <w:tag w:val="{&quot;entityId&quot;:&quot;2dcg80000079ndNAAQ&quot;,&quot;type&quot;:&quot;Clause&quot;,&quot;title&quot;:&quot;Term, Billing and Payment&quot;,&quot;language&quot;:&quot;English&quot;,&quot;category&quot;:&quot;Term, Billing and Payment&quot;,&quot;generateSource&quot;:&quot;Library&quot;,&quot;controlId&quot;:580552372,&quot;guid&quot;:&quot;pnp-clm-7-79ndNAAQ&quot;,&quot;checksum&quot;:&quot;08d2aa85f7f2ae384f8b623dcd383d3afbe50bcf4b5c04597ff0d3fb1c731136&quot;}"/>
      </w:sdtPr>
      <w:sdtContent>
        <w:p>
          <w:pPr>
            <w:spacing w:after="80" w:before="0"/>
            <w:jc w:val="left"/>
          </w:pPr>
          <w:r>
            <w:rPr>
              <w:rFonts w:ascii="Arial" w:hAnsi="Arial"/>
              <w:b/>
              <w:i w:val="0"/>
              <w:caps w:val="0"/>
              <w:color w:val="1D2A57"/>
              <w:sz w:val="19"/>
            </w:rPr>
            <w:t xml:space="preserve">7. TERM, BILLING AND PAYMENT</w:t>
          </w:r>
        </w:p>
        <w:p>
          <w:pPr>
            <w:spacing w:after="180" w:before="0"/>
            <w:jc w:val="left"/>
          </w:pPr>
          <w:r>
            <w:rPr>
              <w:rFonts w:ascii="Arial" w:hAnsi="Arial"/>
              <w:b w:val="0"/>
              <w:i w:val="0"/>
              <w:caps w:val="0"/>
              <w:color w:val="5A6781"/>
              <w:sz w:val="17"/>
            </w:rPr>
            <w:t xml:space="preserve">The Term of this Agreement commences on the Effective Date and continues until {{ContractEndDate}}, covering the membership term set out in the Program Terms. The fees for the Term are set out in Exhibit A: Fee Schedule and total USD {{PnPContractValue}}, as quoted in proposal {{PnPSourceQuoteNumber}}.</w:t>
          </w:r>
        </w:p>
        <w:p>
          <w:pPr>
            <w:spacing w:after="180" w:before="0"/>
            <w:jc w:val="left"/>
          </w:pPr>
          <w:r>
            <w:rPr>
              <w:rFonts w:ascii="Arial" w:hAnsi="Arial"/>
              <w:b w:val="0"/>
              <w:i w:val="0"/>
              <w:caps w:val="0"/>
              <w:color w:val="5A6781"/>
              <w:sz w:val="17"/>
            </w:rPr>
            <w:t xml:space="preserve">Plug and Play will invoice {{AccountName}} on the first date of each Segment, in the amount designated for that Segment. Client shall pay Plug and Play no later than 30 days after receipt of an invoice. Payments made under this Agreement are made in advance and are not refundable. Client’s failure to pay any amount when due may result in a late penalty commencing on the due date until the date paid at a rate of 1.5% per month (18% per annum), or the maximum amount allowed by law, whichever is less.</w:t>
          </w:r>
        </w:p>
        <w:p>
          <w:pPr>
            <w:spacing w:after="180" w:before="0"/>
            <w:jc w:val="left"/>
          </w:pPr>
          <w:r>
            <w:rPr>
              <w:rFonts w:ascii="Arial" w:hAnsi="Arial"/>
              <w:b w:val="0"/>
              <w:i w:val="0"/>
              <w:caps w:val="0"/>
              <w:color w:val="5A6781"/>
              <w:sz w:val="17"/>
            </w:rPr>
            <w:t xml:space="preserve">All amounts payable under this Agreement are exclusive of any taxes or other government charges incurred by Plug and Play as a result of the provision of the services to Client.</w:t>
          </w:r>
        </w:p>
      </w:sdtContent>
    </w:sdt>
    <w:sdt>
      <w:sdtPr>
        <w:alias w:val="Clause"/>
        <w:tag w:val="{&quot;entityId&quot;:&quot;2dcg80000079nezAAA&quot;,&quot;type&quot;:&quot;Clause&quot;,&quot;title&quot;:&quot;Termination, Refund and Renewal&quot;,&quot;language&quot;:&quot;English&quot;,&quot;category&quot;:&quot;Termination, Refund and Renewal&quot;,&quot;generateSource&quot;:&quot;Library&quot;,&quot;controlId&quot;:305436117,&quot;guid&quot;:&quot;pnp-clm-8-79nezAAA&quot;,&quot;checksum&quot;:&quot;4398e00519f1e66bbc4b0e747c0f4f8be8a85e28afdb9f67823c0b2d1fb62270&quot;}"/>
      </w:sdtPr>
      <w:sdtContent>
        <w:p>
          <w:pPr>
            <w:spacing w:after="80" w:before="0"/>
            <w:jc w:val="left"/>
          </w:pPr>
          <w:r>
            <w:rPr>
              <w:rFonts w:ascii="Arial" w:hAnsi="Arial"/>
              <w:b/>
              <w:i w:val="0"/>
              <w:caps w:val="0"/>
              <w:color w:val="1D2A57"/>
              <w:sz w:val="19"/>
            </w:rPr>
            <w:t xml:space="preserve">8. TERMINATION, REFUND AND RENEWAL</w:t>
          </w:r>
        </w:p>
        <w:p>
          <w:pPr>
            <w:spacing w:after="180" w:before="0"/>
            <w:jc w:val="left"/>
          </w:pPr>
          <w:r>
            <w:rPr>
              <w:rFonts w:ascii="Arial" w:hAnsi="Arial"/>
              <w:b w:val="0"/>
              <w:i w:val="0"/>
              <w:caps w:val="0"/>
              <w:color w:val="5A6781"/>
              <w:sz w:val="17"/>
            </w:rPr>
            <w:t xml:space="preserve">{{AccountName}} may terminate this Agreement effective at the end of each Segment by providing Plug and Play with written notice of its intent to terminate no later than 30 days prior to the end of the then-current Segment. Early termination by Client shall not entitle Client to any refund of fees previously paid, nor release Client from the obligation to pay fees already invoiced pursuant to Exhibit A that remain unpaid as of the effective date of termination.</w:t>
          </w:r>
        </w:p>
        <w:p>
          <w:pPr>
            <w:spacing w:after="180" w:before="0"/>
            <w:jc w:val="left"/>
          </w:pPr>
          <w:r>
            <w:rPr>
              <w:rFonts w:ascii="Arial" w:hAnsi="Arial"/>
              <w:b w:val="0"/>
              <w:i w:val="0"/>
              <w:caps w:val="0"/>
              <w:color w:val="5A6781"/>
              <w:sz w:val="17"/>
            </w:rPr>
            <w:t xml:space="preserve">Either Party may terminate this Agreement for the other Party’s material breach by providing written notice. The breaching Party shall have 90 days to cure such material breach. If Plug and Play fails to continue the Program, Plug and Play shall promptly refund any prepaid fees attributable to the unused portion of the then-current Segment on a pro rata basis.</w:t>
          </w:r>
        </w:p>
        <w:p>
          <w:pPr>
            <w:spacing w:after="180" w:before="0"/>
            <w:jc w:val="left"/>
          </w:pPr>
          <w:r>
            <w:rPr>
              <w:rFonts w:ascii="Arial" w:hAnsi="Arial"/>
              <w:b w:val="0"/>
              <w:i w:val="0"/>
              <w:caps w:val="0"/>
              <w:color w:val="5A6781"/>
              <w:sz w:val="17"/>
            </w:rPr>
            <w:t xml:space="preserve">This Agreement is scheduled for renewal review on the date set out in the Program Terms. Renewal fees for the following term will be presented to Client at least 60 days before that date.</w:t>
          </w:r>
        </w:p>
      </w:sdtContent>
    </w:sdt>
    <w:p>
      <w:pPr>
        <w:pageBreakBefore w:val="0"/>
        <w:spacing w:after="100" w:before="280"/>
        <w:jc w:val="left"/>
        <w:pBdr>
          <w:bottom w:val="single" w:sz="18" w:space="4" w:color="02F4E4"/>
        </w:pBdr>
      </w:pPr>
      <w:r>
        <w:rPr>
          <w:rFonts w:ascii="Arial" w:hAnsi="Arial"/>
          <w:b/>
          <w:i w:val="0"/>
          <w:caps/>
          <w:color w:val="1D2A57"/>
          <w:sz w:val="24"/>
        </w:rPr>
        <w:t>Acknowledged, Accepted and Agreed</w:t>
      </w:r>
    </w:p>
    <w:p>
      <w:pPr>
        <w:spacing w:after="16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4989"/>
        <w:gridCol w:w="4989"/>
      </w:tblGrid>
      <w:tr>
        <w:tc>
          <w:tcPr>
            <w:tcW w:type="dxa" w:w="4989"/>
            <w:tcMar>
              <w:top w:w="90" w:type="dxa"/>
              <w:left w:w="0" w:type="dxa"/>
              <w:bottom w:w="140" w:type="dxa"/>
              <w:right w:w="200" w:type="dxa"/>
            </w:tcMar>
            <w:tcBorders>
              <w:bottom w:val="single" w:sz="6" w:space="0" w:color="DCE3ED"/>
            </w:tcBorders>
          </w:tcPr>
          <w:p>
            <w:pPr>
              <w:spacing w:after="600" w:before="0"/>
              <w:jc w:val="left"/>
            </w:pPr>
            <w:r>
              <w:rPr>
                <w:rFonts w:ascii="Arial" w:hAnsi="Arial"/>
                <w:b/>
                <w:i w:val="0"/>
                <w:caps w:val="0"/>
                <w:color w:val="5A6781"/>
                <w:sz w:val="16"/>
              </w:rPr>
              <w:t>BY PLUG &amp; PLAY, LLC</w:t>
            </w:r>
          </w:p>
          <w:p>
            <w:pPr>
              <w:spacing w:after="280" w:before="0"/>
              <w:jc w:val="left"/>
            </w:pPr>
            <w:r>
              <w:rPr>
                <w:rFonts w:ascii="Arial" w:hAnsi="Arial"/>
                <w:b w:val="0"/>
                <w:i w:val="0"/>
                <w:caps w:val="0"/>
                <w:color w:val="5A6781"/>
                <w:sz w:val="17"/>
              </w:rPr>
              <w:t>Diego Salas - Program Manager, Plug &amp; Play Silicon Valley</w:t>
            </w:r>
          </w:p>
          <w:p>
            <w:pPr>
              <w:spacing w:after="0" w:before="0"/>
              <w:jc w:val="left"/>
            </w:pPr>
            <w:r>
              <w:rPr>
                <w:rFonts w:ascii="Arial" w:hAnsi="Arial"/>
                <w:b w:val="0"/>
                <w:i w:val="0"/>
                <w:caps w:val="0"/>
                <w:color w:val="5A6781"/>
                <w:sz w:val="17"/>
              </w:rPr>
              <w:t>Date</w:t>
            </w:r>
          </w:p>
        </w:tc>
        <w:tc>
          <w:tcPr>
            <w:tcW w:type="dxa" w:w="4989"/>
            <w:tcMar>
              <w:top w:w="90" w:type="dxa"/>
              <w:left w:w="0" w:type="dxa"/>
              <w:bottom w:w="140" w:type="dxa"/>
              <w:right w:w="200" w:type="dxa"/>
            </w:tcMar>
            <w:tcBorders>
              <w:bottom w:val="single" w:sz="6" w:space="0" w:color="DCE3ED"/>
            </w:tcBorders>
          </w:tcPr>
          <w:p>
            <w:pPr>
              <w:spacing w:after="600" w:before="0"/>
              <w:jc w:val="left"/>
            </w:pPr>
            <w:r>
              <w:rPr>
                <w:rFonts w:ascii="Arial" w:hAnsi="Arial"/>
                <w:b/>
                <w:i w:val="0"/>
                <w:caps w:val="0"/>
                <w:color w:val="5A6781"/>
                <w:sz w:val="16"/>
              </w:rPr>
              <w:t>BY {{AccountName}}</w:t>
            </w:r>
          </w:p>
          <w:p>
            <w:pPr>
              <w:spacing w:after="280" w:before="0"/>
              <w:jc w:val="left"/>
            </w:pPr>
            <w:r>
              <w:rPr>
                <w:rFonts w:ascii="Arial" w:hAnsi="Arial"/>
                <w:b w:val="0"/>
                <w:i w:val="0"/>
                <w:caps w:val="0"/>
                <w:color w:val="5A6781"/>
                <w:sz w:val="17"/>
              </w:rPr>
              <w:t>Authorized representative of {{AccountName}}</w:t>
            </w:r>
          </w:p>
          <w:p>
            <w:pPr>
              <w:spacing w:after="0" w:before="0"/>
              <w:jc w:val="left"/>
            </w:pPr>
            <w:r>
              <w:rPr>
                <w:rFonts w:ascii="Arial" w:hAnsi="Arial"/>
                <w:b w:val="0"/>
                <w:i w:val="0"/>
                <w:caps w:val="0"/>
                <w:color w:val="5A6781"/>
                <w:sz w:val="17"/>
              </w:rPr>
              <w:t>Date</w:t>
            </w:r>
          </w:p>
        </w:tc>
      </w:tr>
    </w:tbl>
    <w:sectPr w:rsidR="00FC693F" w:rsidRPr="0006063C" w:rsidSect="00034616">
      <w:footerReference w:type="default" r:id="rId15"/>
      <w:pgSz w:w="11906" w:h="16838"/>
      <w:pgMar w:top="68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Pr>
    <w:r>
      <w:drawing>
        <wp:inline xmlns:a="http://schemas.openxmlformats.org/drawingml/2006/main" xmlns:pic="http://schemas.openxmlformats.org/drawingml/2006/picture">
          <wp:extent cx="1116000" cy="191314"/>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116000" cy="191314"/>
                  </a:xfrm>
                  <a:prstGeom prst="rect"/>
                </pic:spPr>
              </pic:pic>
            </a:graphicData>
          </a:graphic>
        </wp:inline>
      </w:drawing>
    </w:r>
  </w:p>
  <w:p>
    <w:pPr>
      <w:spacing w:after="0" w:before="0"/>
      <w:jc w:val="left"/>
    </w:pPr>
    <w:r>
      <w:rPr>
        <w:rFonts w:ascii="Arial" w:hAnsi="Arial"/>
        <w:b w:val="0"/>
        <w:i w:val="0"/>
        <w:caps w:val="0"/>
        <w:color w:val="5A6781"/>
        <w:sz w:val="15"/>
      </w:rPr>
      <w:t>Confidential  |  Agreement {{ContractNumber}}  |  {{AccountName}}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