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6336000" cy="1418057"/>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6336000" cy="1418057"/>
                    </a:xfrm>
                    <a:prstGeom prst="rect"/>
                  </pic:spPr>
                </pic:pic>
              </a:graphicData>
            </a:graphic>
          </wp:inline>
        </w:drawing>
      </w:r>
    </w:p>
    <w:p>
      <w:pPr>
        <w:spacing w:after="40" w:before="0"/>
        <w:jc w:val="left"/>
      </w:pPr>
      <w:r>
        <w:rPr>
          <w:rFonts w:ascii="Arial" w:hAnsi="Arial"/>
          <w:b/>
          <w:i w:val="0"/>
          <w:caps w:val="0"/>
          <w:color w:val="1D2A57"/>
          <w:sz w:val="38"/>
        </w:rPr>
        <w:t>Contrato de Membresía Corporativa</w:t>
      </w:r>
    </w:p>
    <w:p>
      <w:pPr>
        <w:spacing w:after="180" w:before="0"/>
        <w:jc w:val="left"/>
      </w:pPr>
      <w:r>
        <w:rPr>
          <w:rFonts w:ascii="Arial" w:hAnsi="Arial"/>
          <w:b w:val="0"/>
          <w:i w:val="0"/>
          <w:caps w:val="0"/>
          <w:color w:val="5A6781"/>
          <w:sz w:val="20"/>
        </w:rPr>
        <w:t>Membresía corporativa de innovación y servicios asociados, derivada del presupuesto 00000020 aprobado el 11/09/2026.</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2494"/>
        <w:gridCol w:w="2494"/>
        <w:gridCol w:w="2494"/>
        <w:gridCol w:w="2494"/>
      </w:tblGrid>
      <w:tr>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PROVEEDOR</w:t>
            </w:r>
          </w:p>
          <w:p>
            <w:pPr>
              <w:spacing w:after="0" w:before="0"/>
              <w:jc w:val="left"/>
            </w:pPr>
            <w:r>
              <w:rPr>
                <w:rFonts w:ascii="Arial" w:hAnsi="Arial"/>
                <w:b/>
                <w:i w:val="0"/>
                <w:caps w:val="0"/>
                <w:color w:val="1D2A57"/>
                <w:sz w:val="21"/>
              </w:rPr>
              <w:t>Plug and Play Tech Center, S.L.</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CLIENTE</w:t>
            </w:r>
          </w:p>
          <w:p>
            <w:pPr>
              <w:spacing w:after="0" w:before="0"/>
              <w:jc w:val="left"/>
            </w:pPr>
            <w:r>
              <w:rPr>
                <w:rFonts w:ascii="Arial" w:hAnsi="Arial"/>
                <w:b/>
                <w:i w:val="0"/>
                <w:caps w:val="0"/>
                <w:color w:val="1D2A57"/>
                <w:sz w:val="21"/>
              </w:rPr>
              <w:t>S4G Consulting, S.L.</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VIGENCIA</w:t>
            </w:r>
          </w:p>
          <w:p>
            <w:pPr>
              <w:spacing w:after="0" w:before="0"/>
              <w:jc w:val="left"/>
            </w:pPr>
            <w:r>
              <w:rPr>
                <w:rFonts w:ascii="Arial" w:hAnsi="Arial"/>
                <w:b/>
                <w:i w:val="0"/>
                <w:caps w:val="0"/>
                <w:color w:val="1D2A57"/>
                <w:sz w:val="21"/>
              </w:rPr>
              <w:t>16/07/2026 - 15/07/2027</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OPORTUNIDAD</w:t>
            </w:r>
          </w:p>
          <w:p>
            <w:pPr>
              <w:spacing w:after="0" w:before="0"/>
              <w:jc w:val="left"/>
            </w:pPr>
            <w:r>
              <w:rPr>
                <w:rFonts w:ascii="Arial" w:hAnsi="Arial"/>
                <w:b/>
                <w:i w:val="0"/>
                <w:caps w:val="0"/>
                <w:color w:val="1D2A57"/>
                <w:sz w:val="21"/>
              </w:rPr>
              <w:t>S4G - AI CoE</w:t>
            </w:r>
          </w:p>
        </w:tc>
      </w:tr>
    </w:tbl>
    <w:p>
      <w:pPr>
        <w:pageBreakBefore w:val="0"/>
        <w:spacing w:after="100" w:before="280"/>
        <w:jc w:val="left"/>
        <w:pBdr>
          <w:bottom w:val="single" w:sz="18" w:space="4" w:color="02F4E4"/>
        </w:pBdr>
      </w:pPr>
      <w:r>
        <w:rPr>
          <w:rFonts w:ascii="Arial" w:hAnsi="Arial"/>
          <w:b/>
          <w:i w:val="0"/>
          <w:caps/>
          <w:color w:val="1D2A57"/>
          <w:sz w:val="24"/>
        </w:rPr>
        <w:t>Condiciones económicas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663"/>
        <w:gridCol w:w="1663"/>
        <w:gridCol w:w="1663"/>
        <w:gridCol w:w="1663"/>
        <w:gridCol w:w="1663"/>
        <w:gridCol w:w="1663"/>
      </w:tblGrid>
      <w:tr>
        <w:trPr>
          <w:tblHeader w:val="true"/>
        </w:trPr>
        <w:tc>
          <w:tcPr>
            <w:tcW w:type="dxa" w:w="850"/>
            <w:shd w:val="clear" w:color="auto" w:fill="1D2A57"/>
            <w:tcMar>
              <w:top w:w="90" w:type="dxa"/>
              <w:left w:w="110" w:type="dxa"/>
              <w:bottom w:w="90" w:type="dxa"/>
              <w:right w:w="110" w:type="dxa"/>
            </w:tcMar>
          </w:tcPr>
          <w:p/>
        </w:tc>
        <w:tc>
          <w:tcPr>
            <w:tcW w:type="dxa" w:w="3515"/>
            <w:shd w:val="clear" w:color="auto" w:fill="1D2A57"/>
            <w:tcMar>
              <w:top w:w="90" w:type="dxa"/>
              <w:left w:w="110" w:type="dxa"/>
              <w:bottom w:w="90" w:type="dxa"/>
              <w:right w:w="110" w:type="dxa"/>
            </w:tcMar>
          </w:tcPr>
          <w:p>
            <w:pPr>
              <w:spacing w:after="0" w:before="0"/>
              <w:jc w:val="left"/>
            </w:pPr>
            <w:r>
              <w:rPr>
                <w:rFonts w:ascii="Arial" w:hAnsi="Arial"/>
                <w:b/>
                <w:i w:val="0"/>
                <w:caps w:val="0"/>
                <w:color w:val="FFFFFF"/>
                <w:sz w:val="16"/>
              </w:rPr>
              <w:t>PRODUCTO</w:t>
            </w:r>
          </w:p>
        </w:tc>
        <w:tc>
          <w:tcPr>
            <w:tcW w:type="dxa" w:w="794"/>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CANT.</w:t>
            </w:r>
          </w:p>
        </w:tc>
        <w:tc>
          <w:tcPr>
            <w:tcW w:type="dxa" w:w="1701"/>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PRECIO LISTA</w:t>
            </w:r>
          </w:p>
        </w:tc>
        <w:tc>
          <w:tcPr>
            <w:tcW w:type="dxa" w:w="1020"/>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DTO.</w:t>
            </w:r>
          </w:p>
        </w:tc>
        <w:tc>
          <w:tcPr>
            <w:tcW w:type="dxa" w:w="2098"/>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IMPORTE NETO</w:t>
            </w:r>
          </w:p>
        </w:tc>
      </w:tr>
      <w:tr>
        <w:tc>
          <w:tcPr>
            <w:tcW w:type="dxa" w:w="850"/>
            <w:vAlign w:val="center"/>
            <w:tcMar>
              <w:top w:w="70" w:type="dxa"/>
              <w:left w:w="110" w:type="dxa"/>
              <w:bottom w:w="70" w:type="dxa"/>
              <w:right w:w="110" w:type="dxa"/>
            </w:tcMar>
            <w:tcBorders>
              <w:bottom w:val="single" w:sz="6" w:space="0" w:color="DCE3ED"/>
            </w:tcBorders>
            <w:shd w:val="clear" w:color="auto" w:fill="F4F7FB"/>
          </w:tcPr>
          <w:p>
            <w:pPr>
              <w:spacing w:after="0"/>
              <w:jc w:val="center"/>
            </w:pPr>
            <w:r>
              <w:drawing>
                <wp:inline xmlns:a="http://schemas.openxmlformats.org/drawingml/2006/main" xmlns:pic="http://schemas.openxmlformats.org/drawingml/2006/picture">
                  <wp:extent cx="378000" cy="378000"/>
                  <wp:docPr id="2" name="Picture 2"/>
                  <wp:cNvGraphicFramePr>
                    <a:graphicFrameLocks noChangeAspect="1"/>
                  </wp:cNvGraphicFramePr>
                  <a:graphic>
                    <a:graphicData uri="http://schemas.openxmlformats.org/drawingml/2006/picture">
                      <pic:pic>
                        <pic:nvPicPr>
                          <pic:cNvPr id="0" name="PnP_ECOSYSTEM.png"/>
                          <pic:cNvPicPr/>
                        </pic:nvPicPr>
                        <pic:blipFill>
                          <a:blip r:embed="rId10"/>
                          <a:stretch>
                            <a:fillRect/>
                          </a:stretch>
                        </pic:blipFill>
                        <pic:spPr>
                          <a:xfrm>
                            <a:off x="0" y="0"/>
                            <a:ext cx="378000" cy="378000"/>
                          </a:xfrm>
                          <a:prstGeom prst="rect"/>
                        </pic:spPr>
                      </pic:pic>
                    </a:graphicData>
                  </a:graphic>
                </wp:inline>
              </w:drawing>
            </w:r>
          </w:p>
        </w:tc>
        <w:tc>
          <w:tcPr>
            <w:tcW w:type="dxa" w:w="3515"/>
            <w:tcMar>
              <w:top w:w="70" w:type="dxa"/>
              <w:left w:w="110" w:type="dxa"/>
              <w:bottom w:w="70" w:type="dxa"/>
              <w:right w:w="110" w:type="dxa"/>
            </w:tcMar>
            <w:tcBorders>
              <w:bottom w:val="single" w:sz="6" w:space="0" w:color="DCE3ED"/>
            </w:tcBorders>
            <w:shd w:val="clear" w:color="auto" w:fill="F4F7FB"/>
          </w:tcPr>
          <w:p>
            <w:pPr>
              <w:spacing w:after="40" w:before="0"/>
              <w:jc w:val="left"/>
            </w:pPr>
            <w:r>
              <w:rPr>
                <w:rFonts w:ascii="Arial" w:hAnsi="Arial"/>
                <w:b/>
                <w:i w:val="0"/>
                <w:caps w:val="0"/>
                <w:color w:val="1D2A57"/>
                <w:sz w:val="19"/>
              </w:rPr>
              <w:t>Ecosystem</w:t>
            </w:r>
          </w:p>
          <w:p>
            <w:pPr>
              <w:spacing w:after="40" w:before="0"/>
              <w:jc w:val="left"/>
            </w:pPr>
            <w:r>
              <w:rPr>
                <w:rFonts w:ascii="Arial" w:hAnsi="Arial"/>
                <w:b w:val="0"/>
                <w:i w:val="0"/>
                <w:caps w:val="0"/>
                <w:color w:val="5A6781"/>
                <w:sz w:val="15"/>
              </w:rPr>
              <w:t>SKU PNP-ECOSYSTEM</w:t>
            </w:r>
          </w:p>
          <w:p>
            <w:pPr>
              <w:spacing w:after="0" w:before="0"/>
              <w:jc w:val="left"/>
            </w:pPr>
            <w:r>
              <w:rPr>
                <w:rFonts w:ascii="Arial" w:hAnsi="Arial"/>
                <w:b w:val="0"/>
                <w:i w:val="0"/>
                <w:caps w:val="0"/>
                <w:color w:val="5A6781"/>
                <w:sz w:val="15"/>
              </w:rPr>
              <w:t>Bundle configurable de servicios de innovación, complementarios, formativos y de marketing.</w:t>
            </w:r>
          </w:p>
        </w:tc>
        <w:tc>
          <w:tcPr>
            <w:tcW w:type="dxa" w:w="794"/>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val="0"/>
                <w:i w:val="0"/>
                <w:caps w:val="0"/>
                <w:color w:val="1D2A57"/>
                <w:sz w:val="19"/>
              </w:rPr>
              <w:t>1</w:t>
            </w:r>
          </w:p>
        </w:tc>
        <w:tc>
          <w:tcPr>
            <w:tcW w:type="dxa" w:w="1701"/>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val="0"/>
                <w:i w:val="0"/>
                <w:caps w:val="0"/>
                <w:color w:val="1D2A57"/>
                <w:sz w:val="19"/>
              </w:rPr>
              <w:t>USD 200.000,00</w:t>
            </w:r>
          </w:p>
        </w:tc>
        <w:tc>
          <w:tcPr>
            <w:tcW w:type="dxa" w:w="1020"/>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i w:val="0"/>
                <w:caps w:val="0"/>
                <w:color w:val="30A2CD"/>
                <w:sz w:val="19"/>
              </w:rPr>
              <w:t>15,00%</w:t>
            </w:r>
          </w:p>
        </w:tc>
        <w:tc>
          <w:tcPr>
            <w:tcW w:type="dxa" w:w="2098"/>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i w:val="0"/>
                <w:caps w:val="0"/>
                <w:color w:val="1D2A57"/>
                <w:sz w:val="19"/>
              </w:rPr>
              <w:t>USD 170.000,00</w:t>
            </w:r>
          </w:p>
        </w:tc>
      </w:tr>
      <w:tr>
        <w:tc>
          <w:tcPr>
            <w:tcW w:type="dxa" w:w="850"/>
            <w:vAlign w:val="center"/>
            <w:tcMar>
              <w:top w:w="70" w:type="dxa"/>
              <w:left w:w="110" w:type="dxa"/>
              <w:bottom w:w="70" w:type="dxa"/>
              <w:right w:w="110" w:type="dxa"/>
            </w:tcMar>
            <w:tcBorders>
              <w:bottom w:val="single" w:sz="6" w:space="0" w:color="DCE3ED"/>
            </w:tcBorders>
          </w:tcPr>
          <w:p>
            <w:pPr>
              <w:spacing w:after="0"/>
              <w:jc w:val="center"/>
            </w:pPr>
            <w:r>
              <w:drawing>
                <wp:inline xmlns:a="http://schemas.openxmlformats.org/drawingml/2006/main" xmlns:pic="http://schemas.openxmlformats.org/drawingml/2006/picture">
                  <wp:extent cx="378000" cy="378000"/>
                  <wp:docPr id="3" name="Picture 3"/>
                  <wp:cNvGraphicFramePr>
                    <a:graphicFrameLocks noChangeAspect="1"/>
                  </wp:cNvGraphicFramePr>
                  <a:graphic>
                    <a:graphicData uri="http://schemas.openxmlformats.org/drawingml/2006/picture">
                      <pic:pic>
                        <pic:nvPicPr>
                          <pic:cNvPr id="0" name="PnP_SVC_RESEARCH.png"/>
                          <pic:cNvPicPr/>
                        </pic:nvPicPr>
                        <pic:blipFill>
                          <a:blip r:embed="rId11"/>
                          <a:stretch>
                            <a:fillRect/>
                          </a:stretch>
                        </pic:blipFill>
                        <pic:spPr>
                          <a:xfrm>
                            <a:off x="0" y="0"/>
                            <a:ext cx="378000" cy="378000"/>
                          </a:xfrm>
                          <a:prstGeom prst="rect"/>
                        </pic:spPr>
                      </pic:pic>
                    </a:graphicData>
                  </a:graphic>
                </wp:inline>
              </w:drawing>
            </w:r>
          </w:p>
        </w:tc>
        <w:tc>
          <w:tcPr>
            <w:tcW w:type="dxa" w:w="3515"/>
            <w:tcMar>
              <w:top w:w="70" w:type="dxa"/>
              <w:left w:w="110" w:type="dxa"/>
              <w:bottom w:w="70" w:type="dxa"/>
              <w:right w:w="110" w:type="dxa"/>
            </w:tcMar>
            <w:tcBorders>
              <w:bottom w:val="single" w:sz="6" w:space="0" w:color="DCE3ED"/>
            </w:tcBorders>
          </w:tcPr>
          <w:p>
            <w:pPr>
              <w:spacing w:after="40" w:before="0"/>
              <w:jc w:val="left"/>
            </w:pPr>
            <w:r>
              <w:rPr>
                <w:rFonts w:ascii="Arial" w:hAnsi="Arial"/>
                <w:b w:val="0"/>
                <w:i w:val="0"/>
                <w:caps w:val="0"/>
                <w:color w:val="1D2A57"/>
                <w:sz w:val="19"/>
              </w:rPr>
              <w:t>- General Market Research &amp; Industry Analysis</w:t>
            </w:r>
          </w:p>
          <w:p>
            <w:pPr>
              <w:spacing w:after="40" w:before="0"/>
              <w:jc w:val="left"/>
            </w:pPr>
            <w:r>
              <w:rPr>
                <w:rFonts w:ascii="Arial" w:hAnsi="Arial"/>
                <w:b w:val="0"/>
                <w:i w:val="0"/>
                <w:caps w:val="0"/>
                <w:color w:val="5A6781"/>
                <w:sz w:val="15"/>
              </w:rPr>
              <w:t>SKU PNP-SVC-RESEARCH</w:t>
            </w:r>
          </w:p>
          <w:p>
            <w:pPr>
              <w:spacing w:after="0" w:before="0"/>
              <w:jc w:val="left"/>
            </w:pPr>
            <w:r>
              <w:rPr>
                <w:rFonts w:ascii="Arial" w:hAnsi="Arial"/>
                <w:b w:val="0"/>
                <w:i w:val="0"/>
                <w:caps w:val="0"/>
                <w:color w:val="5A6781"/>
                <w:sz w:val="15"/>
              </w:rPr>
              <w:t>Informe de investigación de mercado y análisis sectorial.</w:t>
            </w:r>
          </w:p>
        </w:tc>
        <w:tc>
          <w:tcPr>
            <w:tcW w:type="dxa" w:w="794"/>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1</w:t>
            </w:r>
          </w:p>
        </w:tc>
        <w:tc>
          <w:tcPr>
            <w:tcW w:type="dxa" w:w="1701"/>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USD 50.000,00</w:t>
            </w:r>
          </w:p>
        </w:tc>
        <w:tc>
          <w:tcPr>
            <w:tcW w:type="dxa" w:w="1020"/>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5A6781"/>
                <w:sz w:val="19"/>
              </w:rPr>
              <w:t>-</w:t>
            </w:r>
          </w:p>
        </w:tc>
        <w:tc>
          <w:tcPr>
            <w:tcW w:type="dxa" w:w="2098"/>
            <w:tcMar>
              <w:top w:w="70" w:type="dxa"/>
              <w:left w:w="50" w:type="dxa"/>
              <w:bottom w:w="70" w:type="dxa"/>
              <w:right w:w="90" w:type="dxa"/>
            </w:tcMar>
            <w:tcBorders>
              <w:bottom w:val="single" w:sz="6" w:space="0" w:color="DCE3ED"/>
            </w:tcBorders>
          </w:tcPr>
          <w:p>
            <w:pPr>
              <w:spacing w:after="0" w:before="0"/>
              <w:jc w:val="right"/>
            </w:pPr>
            <w:r>
              <w:rPr>
                <w:rFonts w:ascii="Arial" w:hAnsi="Arial"/>
                <w:b/>
                <w:i w:val="0"/>
                <w:caps w:val="0"/>
                <w:color w:val="1D2A57"/>
                <w:sz w:val="19"/>
              </w:rPr>
              <w:t>USD 50.000,00</w:t>
            </w:r>
          </w:p>
        </w:tc>
      </w:tr>
      <w:tr>
        <w:tc>
          <w:tcPr>
            <w:tcW w:type="dxa" w:w="850"/>
            <w:vAlign w:val="center"/>
            <w:tcMar>
              <w:top w:w="70" w:type="dxa"/>
              <w:left w:w="110" w:type="dxa"/>
              <w:bottom w:w="70" w:type="dxa"/>
              <w:right w:w="110" w:type="dxa"/>
            </w:tcMar>
            <w:tcBorders>
              <w:bottom w:val="single" w:sz="6" w:space="0" w:color="DCE3ED"/>
            </w:tcBorders>
          </w:tcPr>
          <w:p>
            <w:pPr>
              <w:spacing w:after="0"/>
              <w:jc w:val="center"/>
            </w:pPr>
            <w:r>
              <w:drawing>
                <wp:inline xmlns:a="http://schemas.openxmlformats.org/drawingml/2006/main" xmlns:pic="http://schemas.openxmlformats.org/drawingml/2006/picture">
                  <wp:extent cx="378000" cy="378000"/>
                  <wp:docPr id="4" name="Picture 4"/>
                  <wp:cNvGraphicFramePr>
                    <a:graphicFrameLocks noChangeAspect="1"/>
                  </wp:cNvGraphicFramePr>
                  <a:graphic>
                    <a:graphicData uri="http://schemas.openxmlformats.org/drawingml/2006/picture">
                      <pic:pic>
                        <pic:nvPicPr>
                          <pic:cNvPr id="0" name="PnP_SVC_EXPO.png"/>
                          <pic:cNvPicPr/>
                        </pic:nvPicPr>
                        <pic:blipFill>
                          <a:blip r:embed="rId12"/>
                          <a:stretch>
                            <a:fillRect/>
                          </a:stretch>
                        </pic:blipFill>
                        <pic:spPr>
                          <a:xfrm>
                            <a:off x="0" y="0"/>
                            <a:ext cx="378000" cy="378000"/>
                          </a:xfrm>
                          <a:prstGeom prst="rect"/>
                        </pic:spPr>
                      </pic:pic>
                    </a:graphicData>
                  </a:graphic>
                </wp:inline>
              </w:drawing>
            </w:r>
          </w:p>
        </w:tc>
        <w:tc>
          <w:tcPr>
            <w:tcW w:type="dxa" w:w="3515"/>
            <w:tcMar>
              <w:top w:w="70" w:type="dxa"/>
              <w:left w:w="110" w:type="dxa"/>
              <w:bottom w:w="70" w:type="dxa"/>
              <w:right w:w="110" w:type="dxa"/>
            </w:tcMar>
            <w:tcBorders>
              <w:bottom w:val="single" w:sz="6" w:space="0" w:color="DCE3ED"/>
            </w:tcBorders>
          </w:tcPr>
          <w:p>
            <w:pPr>
              <w:spacing w:after="40" w:before="0"/>
              <w:jc w:val="left"/>
            </w:pPr>
            <w:r>
              <w:rPr>
                <w:rFonts w:ascii="Arial" w:hAnsi="Arial"/>
                <w:b w:val="0"/>
                <w:i w:val="0"/>
                <w:caps w:val="0"/>
                <w:color w:val="1D2A57"/>
                <w:sz w:val="19"/>
              </w:rPr>
              <w:t>- Expo</w:t>
            </w:r>
          </w:p>
          <w:p>
            <w:pPr>
              <w:spacing w:after="40" w:before="0"/>
              <w:jc w:val="left"/>
            </w:pPr>
            <w:r>
              <w:rPr>
                <w:rFonts w:ascii="Arial" w:hAnsi="Arial"/>
                <w:b w:val="0"/>
                <w:i w:val="0"/>
                <w:caps w:val="0"/>
                <w:color w:val="5A6781"/>
                <w:sz w:val="15"/>
              </w:rPr>
              <w:t>SKU PNP-SVC-EXPO</w:t>
            </w:r>
          </w:p>
          <w:p>
            <w:pPr>
              <w:spacing w:after="0" w:before="0"/>
              <w:jc w:val="left"/>
            </w:pPr>
            <w:r>
              <w:rPr>
                <w:rFonts w:ascii="Arial" w:hAnsi="Arial"/>
                <w:b w:val="0"/>
                <w:i w:val="0"/>
                <w:caps w:val="0"/>
                <w:color w:val="5A6781"/>
                <w:sz w:val="15"/>
              </w:rPr>
              <w:t>Evento de showcase y expo de startups.</w:t>
            </w:r>
          </w:p>
        </w:tc>
        <w:tc>
          <w:tcPr>
            <w:tcW w:type="dxa" w:w="794"/>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1</w:t>
            </w:r>
          </w:p>
        </w:tc>
        <w:tc>
          <w:tcPr>
            <w:tcW w:type="dxa" w:w="1701"/>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USD 40.000,00</w:t>
            </w:r>
          </w:p>
        </w:tc>
        <w:tc>
          <w:tcPr>
            <w:tcW w:type="dxa" w:w="1020"/>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5A6781"/>
                <w:sz w:val="19"/>
              </w:rPr>
              <w:t>-</w:t>
            </w:r>
          </w:p>
        </w:tc>
        <w:tc>
          <w:tcPr>
            <w:tcW w:type="dxa" w:w="2098"/>
            <w:tcMar>
              <w:top w:w="70" w:type="dxa"/>
              <w:left w:w="50" w:type="dxa"/>
              <w:bottom w:w="70" w:type="dxa"/>
              <w:right w:w="90" w:type="dxa"/>
            </w:tcMar>
            <w:tcBorders>
              <w:bottom w:val="single" w:sz="6" w:space="0" w:color="DCE3ED"/>
            </w:tcBorders>
          </w:tcPr>
          <w:p>
            <w:pPr>
              <w:spacing w:after="0" w:before="0"/>
              <w:jc w:val="right"/>
            </w:pPr>
            <w:r>
              <w:rPr>
                <w:rFonts w:ascii="Arial" w:hAnsi="Arial"/>
                <w:b/>
                <w:i w:val="0"/>
                <w:caps w:val="0"/>
                <w:color w:val="1D2A57"/>
                <w:sz w:val="19"/>
              </w:rPr>
              <w:t>USD 40.000,00</w:t>
            </w:r>
          </w:p>
        </w:tc>
      </w:tr>
      <w:tr>
        <w:tc>
          <w:tcPr>
            <w:tcW w:type="dxa" w:w="850"/>
            <w:vAlign w:val="center"/>
            <w:tcMar>
              <w:top w:w="70" w:type="dxa"/>
              <w:left w:w="110" w:type="dxa"/>
              <w:bottom w:w="70" w:type="dxa"/>
              <w:right w:w="110" w:type="dxa"/>
            </w:tcMar>
            <w:tcBorders>
              <w:bottom w:val="single" w:sz="6" w:space="0" w:color="DCE3ED"/>
            </w:tcBorders>
          </w:tcPr>
          <w:p>
            <w:pPr>
              <w:spacing w:after="0"/>
              <w:jc w:val="center"/>
            </w:pPr>
            <w:r>
              <w:drawing>
                <wp:inline xmlns:a="http://schemas.openxmlformats.org/drawingml/2006/main" xmlns:pic="http://schemas.openxmlformats.org/drawingml/2006/picture">
                  <wp:extent cx="378000" cy="378000"/>
                  <wp:docPr id="5" name="Picture 5"/>
                  <wp:cNvGraphicFramePr>
                    <a:graphicFrameLocks noChangeAspect="1"/>
                  </wp:cNvGraphicFramePr>
                  <a:graphic>
                    <a:graphicData uri="http://schemas.openxmlformats.org/drawingml/2006/picture">
                      <pic:pic>
                        <pic:nvPicPr>
                          <pic:cNvPr id="0" name="PnP_SVC_PLAYBOOK.png"/>
                          <pic:cNvPicPr/>
                        </pic:nvPicPr>
                        <pic:blipFill>
                          <a:blip r:embed="rId13"/>
                          <a:stretch>
                            <a:fillRect/>
                          </a:stretch>
                        </pic:blipFill>
                        <pic:spPr>
                          <a:xfrm>
                            <a:off x="0" y="0"/>
                            <a:ext cx="378000" cy="378000"/>
                          </a:xfrm>
                          <a:prstGeom prst="rect"/>
                        </pic:spPr>
                      </pic:pic>
                    </a:graphicData>
                  </a:graphic>
                </wp:inline>
              </w:drawing>
            </w:r>
          </w:p>
        </w:tc>
        <w:tc>
          <w:tcPr>
            <w:tcW w:type="dxa" w:w="3515"/>
            <w:tcMar>
              <w:top w:w="70" w:type="dxa"/>
              <w:left w:w="110" w:type="dxa"/>
              <w:bottom w:w="70" w:type="dxa"/>
              <w:right w:w="110" w:type="dxa"/>
            </w:tcMar>
            <w:tcBorders>
              <w:bottom w:val="single" w:sz="6" w:space="0" w:color="DCE3ED"/>
            </w:tcBorders>
          </w:tcPr>
          <w:p>
            <w:pPr>
              <w:spacing w:after="40" w:before="0"/>
              <w:jc w:val="left"/>
            </w:pPr>
            <w:r>
              <w:rPr>
                <w:rFonts w:ascii="Arial" w:hAnsi="Arial"/>
                <w:b w:val="0"/>
                <w:i w:val="0"/>
                <w:caps w:val="0"/>
                <w:color w:val="1D2A57"/>
                <w:sz w:val="19"/>
              </w:rPr>
              <w:t>- Playbook Access</w:t>
            </w:r>
          </w:p>
          <w:p>
            <w:pPr>
              <w:spacing w:after="40" w:before="0"/>
              <w:jc w:val="left"/>
            </w:pPr>
            <w:r>
              <w:rPr>
                <w:rFonts w:ascii="Arial" w:hAnsi="Arial"/>
                <w:b w:val="0"/>
                <w:i w:val="0"/>
                <w:caps w:val="0"/>
                <w:color w:val="5A6781"/>
                <w:sz w:val="15"/>
              </w:rPr>
              <w:t>SKU PNP-SVC-PLAYBOOK</w:t>
            </w:r>
          </w:p>
          <w:p>
            <w:pPr>
              <w:spacing w:after="0" w:before="0"/>
              <w:jc w:val="left"/>
            </w:pPr>
            <w:r>
              <w:rPr>
                <w:rFonts w:ascii="Arial" w:hAnsi="Arial"/>
                <w:b w:val="0"/>
                <w:i w:val="0"/>
                <w:caps w:val="0"/>
                <w:color w:val="5A6781"/>
                <w:sz w:val="15"/>
              </w:rPr>
              <w:t>Acceso al playbook de innovación de Plug and Play.</w:t>
            </w:r>
          </w:p>
        </w:tc>
        <w:tc>
          <w:tcPr>
            <w:tcW w:type="dxa" w:w="794"/>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1</w:t>
            </w:r>
          </w:p>
        </w:tc>
        <w:tc>
          <w:tcPr>
            <w:tcW w:type="dxa" w:w="1701"/>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USD 30.000,00</w:t>
            </w:r>
          </w:p>
        </w:tc>
        <w:tc>
          <w:tcPr>
            <w:tcW w:type="dxa" w:w="1020"/>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5A6781"/>
                <w:sz w:val="19"/>
              </w:rPr>
              <w:t>-</w:t>
            </w:r>
          </w:p>
        </w:tc>
        <w:tc>
          <w:tcPr>
            <w:tcW w:type="dxa" w:w="2098"/>
            <w:tcMar>
              <w:top w:w="70" w:type="dxa"/>
              <w:left w:w="50" w:type="dxa"/>
              <w:bottom w:w="70" w:type="dxa"/>
              <w:right w:w="90" w:type="dxa"/>
            </w:tcMar>
            <w:tcBorders>
              <w:bottom w:val="single" w:sz="6" w:space="0" w:color="DCE3ED"/>
            </w:tcBorders>
          </w:tcPr>
          <w:p>
            <w:pPr>
              <w:spacing w:after="0" w:before="0"/>
              <w:jc w:val="right"/>
            </w:pPr>
            <w:r>
              <w:rPr>
                <w:rFonts w:ascii="Arial" w:hAnsi="Arial"/>
                <w:b/>
                <w:i w:val="0"/>
                <w:caps w:val="0"/>
                <w:color w:val="1D2A57"/>
                <w:sz w:val="19"/>
              </w:rPr>
              <w:t>USD 30.000,00</w:t>
            </w:r>
          </w:p>
        </w:tc>
      </w:tr>
      <w:tr>
        <w:tc>
          <w:tcPr>
            <w:tcW w:type="dxa" w:w="850"/>
            <w:vAlign w:val="center"/>
            <w:tcMar>
              <w:top w:w="70" w:type="dxa"/>
              <w:left w:w="110" w:type="dxa"/>
              <w:bottom w:w="70" w:type="dxa"/>
              <w:right w:w="110" w:type="dxa"/>
            </w:tcMar>
            <w:tcBorders>
              <w:bottom w:val="single" w:sz="6" w:space="0" w:color="DCE3ED"/>
            </w:tcBorders>
          </w:tcPr>
          <w:p>
            <w:pPr>
              <w:spacing w:after="0"/>
              <w:jc w:val="center"/>
            </w:pPr>
            <w:r>
              <w:drawing>
                <wp:inline xmlns:a="http://schemas.openxmlformats.org/drawingml/2006/main" xmlns:pic="http://schemas.openxmlformats.org/drawingml/2006/picture">
                  <wp:extent cx="378000" cy="378000"/>
                  <wp:docPr id="6" name="Picture 6"/>
                  <wp:cNvGraphicFramePr>
                    <a:graphicFrameLocks noChangeAspect="1"/>
                  </wp:cNvGraphicFramePr>
                  <a:graphic>
                    <a:graphicData uri="http://schemas.openxmlformats.org/drawingml/2006/picture">
                      <pic:pic>
                        <pic:nvPicPr>
                          <pic:cNvPr id="0" name="PnP_SVC_EVTDESIGN.png"/>
                          <pic:cNvPicPr/>
                        </pic:nvPicPr>
                        <pic:blipFill>
                          <a:blip r:embed="rId14"/>
                          <a:stretch>
                            <a:fillRect/>
                          </a:stretch>
                        </pic:blipFill>
                        <pic:spPr>
                          <a:xfrm>
                            <a:off x="0" y="0"/>
                            <a:ext cx="378000" cy="378000"/>
                          </a:xfrm>
                          <a:prstGeom prst="rect"/>
                        </pic:spPr>
                      </pic:pic>
                    </a:graphicData>
                  </a:graphic>
                </wp:inline>
              </w:drawing>
            </w:r>
          </w:p>
        </w:tc>
        <w:tc>
          <w:tcPr>
            <w:tcW w:type="dxa" w:w="3515"/>
            <w:tcMar>
              <w:top w:w="70" w:type="dxa"/>
              <w:left w:w="110" w:type="dxa"/>
              <w:bottom w:w="70" w:type="dxa"/>
              <w:right w:w="110" w:type="dxa"/>
            </w:tcMar>
            <w:tcBorders>
              <w:bottom w:val="single" w:sz="6" w:space="0" w:color="DCE3ED"/>
            </w:tcBorders>
          </w:tcPr>
          <w:p>
            <w:pPr>
              <w:spacing w:after="40" w:before="0"/>
              <w:jc w:val="left"/>
            </w:pPr>
            <w:r>
              <w:rPr>
                <w:rFonts w:ascii="Arial" w:hAnsi="Arial"/>
                <w:b w:val="0"/>
                <w:i w:val="0"/>
                <w:caps w:val="0"/>
                <w:color w:val="1D2A57"/>
                <w:sz w:val="19"/>
              </w:rPr>
              <w:t>- Event Design &amp; Branding Materials</w:t>
            </w:r>
          </w:p>
          <w:p>
            <w:pPr>
              <w:spacing w:after="40" w:before="0"/>
              <w:jc w:val="left"/>
            </w:pPr>
            <w:r>
              <w:rPr>
                <w:rFonts w:ascii="Arial" w:hAnsi="Arial"/>
                <w:b w:val="0"/>
                <w:i w:val="0"/>
                <w:caps w:val="0"/>
                <w:color w:val="5A6781"/>
                <w:sz w:val="15"/>
              </w:rPr>
              <w:t>SKU PNP-SVC-EVTDESIGN</w:t>
            </w:r>
          </w:p>
          <w:p>
            <w:pPr>
              <w:spacing w:after="0" w:before="0"/>
              <w:jc w:val="left"/>
            </w:pPr>
            <w:r>
              <w:rPr>
                <w:rFonts w:ascii="Arial" w:hAnsi="Arial"/>
                <w:b w:val="0"/>
                <w:i w:val="0"/>
                <w:caps w:val="0"/>
                <w:color w:val="5A6781"/>
                <w:sz w:val="15"/>
              </w:rPr>
              <w:t>Diseño de evento y materiales de marca.</w:t>
            </w:r>
          </w:p>
        </w:tc>
        <w:tc>
          <w:tcPr>
            <w:tcW w:type="dxa" w:w="794"/>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1</w:t>
            </w:r>
          </w:p>
        </w:tc>
        <w:tc>
          <w:tcPr>
            <w:tcW w:type="dxa" w:w="1701"/>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1D2A57"/>
                <w:sz w:val="19"/>
              </w:rPr>
              <w:t>USD 20.000,00</w:t>
            </w:r>
          </w:p>
        </w:tc>
        <w:tc>
          <w:tcPr>
            <w:tcW w:type="dxa" w:w="1020"/>
            <w:tcMar>
              <w:top w:w="70" w:type="dxa"/>
              <w:left w:w="50" w:type="dxa"/>
              <w:bottom w:w="70" w:type="dxa"/>
              <w:right w:w="90" w:type="dxa"/>
            </w:tcMar>
            <w:tcBorders>
              <w:bottom w:val="single" w:sz="6" w:space="0" w:color="DCE3ED"/>
            </w:tcBorders>
          </w:tcPr>
          <w:p>
            <w:pPr>
              <w:spacing w:after="0" w:before="0"/>
              <w:jc w:val="right"/>
            </w:pPr>
            <w:r>
              <w:rPr>
                <w:rFonts w:ascii="Arial" w:hAnsi="Arial"/>
                <w:b w:val="0"/>
                <w:i w:val="0"/>
                <w:caps w:val="0"/>
                <w:color w:val="5A6781"/>
                <w:sz w:val="19"/>
              </w:rPr>
              <w:t>-</w:t>
            </w:r>
          </w:p>
        </w:tc>
        <w:tc>
          <w:tcPr>
            <w:tcW w:type="dxa" w:w="2098"/>
            <w:tcMar>
              <w:top w:w="70" w:type="dxa"/>
              <w:left w:w="50" w:type="dxa"/>
              <w:bottom w:w="70" w:type="dxa"/>
              <w:right w:w="90" w:type="dxa"/>
            </w:tcMar>
            <w:tcBorders>
              <w:bottom w:val="single" w:sz="6" w:space="0" w:color="DCE3ED"/>
            </w:tcBorders>
          </w:tcPr>
          <w:p>
            <w:pPr>
              <w:spacing w:after="0" w:before="0"/>
              <w:jc w:val="right"/>
            </w:pPr>
            <w:r>
              <w:rPr>
                <w:rFonts w:ascii="Arial" w:hAnsi="Arial"/>
                <w:b/>
                <w:i w:val="0"/>
                <w:caps w:val="0"/>
                <w:color w:val="1D2A57"/>
                <w:sz w:val="19"/>
              </w:rPr>
              <w:t>USD 20.000,00</w:t>
            </w:r>
          </w:p>
        </w:tc>
      </w:tr>
    </w:tbl>
    <w:p>
      <w:pPr>
        <w:spacing w:after="120"/>
      </w:pPr>
    </w:p>
    <w:tbl>
      <w:tblPr>
        <w:tblW w:type="auto" w:w="0"/>
        <w:tblLook w:firstColumn="1" w:firstRow="1" w:lastColumn="0" w:lastRow="0" w:noHBand="0" w:noVBand="1" w:val="04A0"/>
        <w:jc w:val="right"/>
        <w:tblBorders>
          <w:top w:val="none" w:sz="0"/>
          <w:left w:val="none" w:sz="0"/>
          <w:bottom w:val="none" w:sz="0"/>
          <w:right w:val="none" w:sz="0"/>
          <w:insideH w:val="none" w:sz="0"/>
          <w:insideV w:val="none" w:sz="0"/>
        </w:tblBorders>
        <w:tblLayout w:type="fixed"/>
      </w:tblPr>
      <w:tblGrid>
        <w:gridCol w:w="4989"/>
        <w:gridCol w:w="4989"/>
      </w:tblGrid>
      <w:tr>
        <w:tc>
          <w:tcPr>
            <w:tcW w:type="dxa" w:w="2608"/>
            <w:tcMar>
              <w:top w:w="80" w:type="dxa"/>
              <w:left w:w="120" w:type="dxa"/>
              <w:bottom w:w="80" w:type="dxa"/>
              <w:right w:w="110" w:type="dxa"/>
            </w:tcMar>
            <w:tcBorders>
              <w:bottom w:val="single" w:sz="6" w:space="0" w:color="DCE3ED"/>
            </w:tcBorders>
          </w:tcPr>
          <w:p>
            <w:pPr>
              <w:spacing w:after="0" w:before="0"/>
              <w:jc w:val="left"/>
            </w:pPr>
            <w:r>
              <w:rPr>
                <w:rFonts w:ascii="Arial" w:hAnsi="Arial"/>
                <w:b w:val="0"/>
                <w:i w:val="0"/>
                <w:caps w:val="0"/>
                <w:color w:val="5A6781"/>
                <w:sz w:val="19"/>
              </w:rPr>
              <w:t>Subtotal</w:t>
            </w:r>
          </w:p>
        </w:tc>
        <w:tc>
          <w:tcPr>
            <w:tcW w:type="dxa" w:w="2494"/>
            <w:tcMar>
              <w:top w:w="80" w:type="dxa"/>
              <w:left w:w="120" w:type="dxa"/>
              <w:bottom w:w="80" w:type="dxa"/>
              <w:right w:w="110" w:type="dxa"/>
            </w:tcMar>
            <w:tcBorders>
              <w:bottom w:val="single" w:sz="6" w:space="0" w:color="DCE3ED"/>
            </w:tcBorders>
          </w:tcPr>
          <w:p>
            <w:pPr>
              <w:spacing w:after="0" w:before="0"/>
              <w:jc w:val="right"/>
            </w:pPr>
            <w:r>
              <w:rPr>
                <w:rFonts w:ascii="Arial" w:hAnsi="Arial"/>
                <w:b/>
                <w:i w:val="0"/>
                <w:caps w:val="0"/>
                <w:color w:val="1D2A57"/>
                <w:sz w:val="19"/>
              </w:rPr>
              <w:t>USD 340.000,00</w:t>
            </w:r>
          </w:p>
        </w:tc>
      </w:tr>
      <w:tr>
        <w:tc>
          <w:tcPr>
            <w:tcW w:type="dxa" w:w="2608"/>
            <w:tcMar>
              <w:top w:w="80" w:type="dxa"/>
              <w:left w:w="120" w:type="dxa"/>
              <w:bottom w:w="80" w:type="dxa"/>
              <w:right w:w="110" w:type="dxa"/>
            </w:tcMar>
            <w:tcBorders>
              <w:bottom w:val="single" w:sz="6" w:space="0" w:color="DCE3ED"/>
            </w:tcBorders>
          </w:tcPr>
          <w:p>
            <w:pPr>
              <w:spacing w:after="0" w:before="0"/>
              <w:jc w:val="left"/>
            </w:pPr>
            <w:r>
              <w:rPr>
                <w:rFonts w:ascii="Arial" w:hAnsi="Arial"/>
                <w:b w:val="0"/>
                <w:i w:val="0"/>
                <w:caps w:val="0"/>
                <w:color w:val="5A6781"/>
                <w:sz w:val="19"/>
              </w:rPr>
              <w:t>Descuento (8,82%)</w:t>
            </w:r>
          </w:p>
        </w:tc>
        <w:tc>
          <w:tcPr>
            <w:tcW w:type="dxa" w:w="2494"/>
            <w:tcMar>
              <w:top w:w="80" w:type="dxa"/>
              <w:left w:w="120" w:type="dxa"/>
              <w:bottom w:w="80" w:type="dxa"/>
              <w:right w:w="110" w:type="dxa"/>
            </w:tcMar>
            <w:tcBorders>
              <w:bottom w:val="single" w:sz="6" w:space="0" w:color="DCE3ED"/>
            </w:tcBorders>
          </w:tcPr>
          <w:p>
            <w:pPr>
              <w:spacing w:after="0" w:before="0"/>
              <w:jc w:val="right"/>
            </w:pPr>
            <w:r>
              <w:rPr>
                <w:rFonts w:ascii="Arial" w:hAnsi="Arial"/>
                <w:b/>
                <w:i w:val="0"/>
                <w:caps w:val="0"/>
                <w:color w:val="1D2A57"/>
                <w:sz w:val="19"/>
              </w:rPr>
              <w:t>-USD 30.000,00</w:t>
            </w:r>
          </w:p>
        </w:tc>
      </w:tr>
      <w:tr>
        <w:tc>
          <w:tcPr>
            <w:tcW w:type="dxa" w:w="2608"/>
            <w:tcMar>
              <w:top w:w="80" w:type="dxa"/>
              <w:left w:w="120" w:type="dxa"/>
              <w:bottom w:w="80" w:type="dxa"/>
              <w:right w:w="110" w:type="dxa"/>
            </w:tcMar>
            <w:shd w:val="clear" w:color="auto" w:fill="1D2A57"/>
          </w:tcPr>
          <w:p>
            <w:pPr>
              <w:spacing w:after="0" w:before="0"/>
              <w:jc w:val="left"/>
            </w:pPr>
            <w:r>
              <w:rPr>
                <w:rFonts w:ascii="Arial" w:hAnsi="Arial"/>
                <w:b/>
                <w:i w:val="0"/>
                <w:caps w:val="0"/>
                <w:color w:val="FFFFFF"/>
                <w:sz w:val="20"/>
              </w:rPr>
              <w:t>Valor del contrato</w:t>
            </w:r>
          </w:p>
        </w:tc>
        <w:tc>
          <w:tcPr>
            <w:tcW w:type="dxa" w:w="2494"/>
            <w:tcMar>
              <w:top w:w="80" w:type="dxa"/>
              <w:left w:w="120" w:type="dxa"/>
              <w:bottom w:w="80" w:type="dxa"/>
              <w:right w:w="110" w:type="dxa"/>
            </w:tcMar>
            <w:shd w:val="clear" w:color="auto" w:fill="1D2A57"/>
          </w:tcPr>
          <w:p>
            <w:pPr>
              <w:spacing w:after="0" w:before="0"/>
              <w:jc w:val="right"/>
            </w:pPr>
            <w:r>
              <w:rPr>
                <w:rFonts w:ascii="Arial" w:hAnsi="Arial"/>
                <w:b/>
                <w:i w:val="0"/>
                <w:caps w:val="0"/>
                <w:color w:val="FFFFFF"/>
                <w:sz w:val="24"/>
              </w:rPr>
              <w:t>USD 310.000,00</w:t>
            </w:r>
          </w:p>
        </w:tc>
      </w:tr>
    </w:tbl>
    <w:p>
      <w:pPr>
        <w:spacing w:after="24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9978"/>
      </w:tblGrid>
      <w:tr>
        <w:trPr>
          <w:cantSplit w:val="true"/>
        </w:trPr>
        <w:tc>
          <w:tcPr>
            <w:tcW w:type="dxa" w:w="9978"/>
            <w:shd w:val="clear" w:color="auto" w:fill="F4F7FB"/>
            <w:tcMar>
              <w:top w:w="120" w:type="dxa"/>
              <w:left w:w="170" w:type="dxa"/>
              <w:bottom w:w="120" w:type="dxa"/>
              <w:right w:w="170" w:type="dxa"/>
            </w:tcMar>
            <w:tcBorders>
              <w:left w:val="single" w:sz="24" w:space="0" w:color="02F4E4"/>
            </w:tcBorders>
          </w:tcPr>
          <w:p>
            <w:pPr>
              <w:spacing w:after="60" w:before="0"/>
              <w:jc w:val="left"/>
            </w:pPr>
            <w:r>
              <w:rPr>
                <w:rFonts w:ascii="Arial" w:hAnsi="Arial"/>
                <w:b/>
                <w:i w:val="0"/>
                <w:caps w:val="0"/>
                <w:color w:val="1D2A57"/>
                <w:sz w:val="19"/>
              </w:rPr>
              <w:t>Descuento aprobado</w:t>
            </w:r>
          </w:p>
          <w:p>
            <w:pPr>
              <w:spacing w:after="0" w:before="0"/>
              <w:jc w:val="left"/>
            </w:pPr>
            <w:r>
              <w:rPr>
                <w:rFonts w:ascii="Arial" w:hAnsi="Arial"/>
                <w:b w:val="0"/>
                <w:i w:val="0"/>
                <w:caps w:val="0"/>
                <w:color w:val="5A6781"/>
                <w:sz w:val="17"/>
              </w:rPr>
              <w:t>El descuento del 15,00% sobre Ecosystem (USD 30.000,00) fue aprobado el 11/09/2026 por Marta Ibáñez - Sales Manager, Plug &amp; Play. El descuento está condicionado al cumplimiento del compromiso de permanencia de 12 meses.</w:t>
            </w:r>
          </w:p>
        </w:tc>
      </w:tr>
    </w:tbl>
    <w:p>
      <w:pPr>
        <w:pageBreakBefore/>
        <w:spacing w:after="100" w:before="280"/>
        <w:jc w:val="left"/>
        <w:pBdr>
          <w:bottom w:val="single" w:sz="18" w:space="4" w:color="02F4E4"/>
        </w:pBdr>
      </w:pPr>
      <w:r>
        <w:rPr>
          <w:rFonts w:ascii="Arial" w:hAnsi="Arial"/>
          <w:b/>
          <w:i w:val="0"/>
          <w:caps/>
          <w:color w:val="1D2A57"/>
          <w:sz w:val="24"/>
        </w:rPr>
        <w:t>Condiciones del programa</w:t>
      </w:r>
    </w:p>
    <w:p>
      <w:pPr>
        <w:spacing w:after="12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989"/>
        <w:gridCol w:w="4989"/>
      </w:tblGrid>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Duración de la membresía</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12 meses</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Fecha de kickoff</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02/11/2026</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Workshops incluidos</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2 workshops de innovación</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Horas de marketing incluidas</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8 horas de soporte</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Formato del evento</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Presencial (Madrid)</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Program Manager asignado</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Diego Salas</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Sponsor ejecutivo del cliente</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Elena Ferrer</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Ventana de renovación</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Preaviso de 60 días antes del 15/07/2027</w:t>
            </w:r>
          </w:p>
        </w:tc>
      </w:tr>
    </w:tbl>
    <w:p>
      <w:pPr>
        <w:pageBreakBefore/>
        <w:spacing w:after="100" w:before="280"/>
        <w:jc w:val="left"/>
        <w:pBdr>
          <w:bottom w:val="single" w:sz="18" w:space="4" w:color="02F4E4"/>
        </w:pBdr>
      </w:pPr>
      <w:r>
        <w:rPr>
          <w:rFonts w:ascii="Arial" w:hAnsi="Arial"/>
          <w:b/>
          <w:i w:val="0"/>
          <w:caps/>
          <w:color w:val="1D2A57"/>
          <w:sz w:val="24"/>
        </w:rPr>
        <w:t>Cláusulas contractuales</w:t>
      </w:r>
    </w:p>
    <w:p>
      <w:pPr>
        <w:spacing w:after="120"/>
      </w:pPr>
    </w:p>
    <w:sdt>
      <w:sdtPr>
        <w:alias w:val="Clause"/>
        <w:tag w:val="{&quot;entityId&quot;:&quot;2dcg80000065YlZAAU&quot;,&quot;type&quot;:&quot;Clause&quot;,&quot;title&quot;:&quot;Confidencialidad y Proteccion de la Informacion&quot;,&quot;language&quot;:&quot;Spanish&quot;,&quot;category&quot;:&quot;Plug and Play Membership&quot;,&quot;generateSource&quot;:&quot;Library&quot;,&quot;controlId&quot;:904499786,&quot;guid&quot;:&quot;pnp-clm-1-65YlZAAU&quot;,&quot;checksum&quot;:&quot;a0b72d81e7db1de21303048dfb9575fbaa0442328c4f95d0ec45d70831e9da9f&quot;}"/>
      </w:sdtPr>
      <w:sdtContent>
        <w:p>
          <w:pPr>
            <w:spacing w:after="80" w:before="0"/>
            <w:jc w:val="left"/>
          </w:pPr>
          <w:r>
            <w:rPr>
              <w:rFonts w:ascii="Arial" w:hAnsi="Arial"/>
              <w:b/>
              <w:i w:val="0"/>
              <w:caps w:val="0"/>
              <w:color w:val="1D2A57"/>
              <w:sz w:val="19"/>
            </w:rPr>
            <w:t>1. CONFIDENCIALIDAD Y PROTECCIÓN DE LA INFORMACIÓN</w:t>
          </w:r>
        </w:p>
        <w:p>
          <w:pPr>
            <w:spacing w:after="180" w:before="0"/>
            <w:jc w:val="left"/>
          </w:pPr>
          <w:r>
            <w:rPr>
              <w:rFonts w:ascii="Arial" w:hAnsi="Arial"/>
              <w:b w:val="0"/>
              <w:i w:val="0"/>
              <w:caps w:val="0"/>
              <w:color w:val="5A6781"/>
              <w:sz w:val="17"/>
            </w:rPr>
            <w:t>Ambas partes se obligan a mantener en estricta confidencialidad toda la información técnica, comercial y estratégica intercambiada durante la vigencia de la membresía, incluyendo los planes de producto, las métricas de negocio y la identidad de las startups presentadas en los procesos de scouting.</w:t>
          </w:r>
        </w:p>
        <w:p>
          <w:pPr>
            <w:spacing w:after="180" w:before="0"/>
            <w:jc w:val="left"/>
          </w:pPr>
          <w:r>
            <w:rPr>
              <w:rFonts w:ascii="Arial" w:hAnsi="Arial"/>
              <w:b w:val="0"/>
              <w:i w:val="0"/>
              <w:caps w:val="0"/>
              <w:color w:val="5A6781"/>
              <w:sz w:val="17"/>
            </w:rPr>
            <w:t>La obligación de confidencialidad subsiste durante tres (3) años desde la terminación del contrato. Queda excluida la información que sea de dominio público, que el receptor ya poseyera legítimamente o cuya divulgación venga impuesta por una autoridad competente.</w:t>
          </w:r>
        </w:p>
      </w:sdtContent>
    </w:sdt>
    <w:sdt>
      <w:sdtPr>
        <w:alias w:val="Clause"/>
        <w:tag w:val="{&quot;entityId&quot;:&quot;2dcg80000065YnBAAU&quot;,&quot;type&quot;:&quot;Clause&quot;,&quot;title&quot;:&quot;Propiedad Intelectual y Uso de Marca&quot;,&quot;language&quot;:&quot;Spanish&quot;,&quot;category&quot;:&quot;Plug and Play Membership&quot;,&quot;generateSource&quot;:&quot;Library&quot;,&quot;controlId&quot;:804850639,&quot;guid&quot;:&quot;pnp-clm-2-65YnBAAU&quot;,&quot;checksum&quot;:&quot;a40689e93ecb8ecad5fb839301a0c9ffeff3ecf48083044f26741633963c3b14&quot;}"/>
      </w:sdtPr>
      <w:sdtContent>
        <w:p>
          <w:pPr>
            <w:spacing w:after="80" w:before="0"/>
            <w:jc w:val="left"/>
          </w:pPr>
          <w:r>
            <w:rPr>
              <w:rFonts w:ascii="Arial" w:hAnsi="Arial"/>
              <w:b/>
              <w:i w:val="0"/>
              <w:caps w:val="0"/>
              <w:color w:val="1D2A57"/>
              <w:sz w:val="19"/>
            </w:rPr>
            <w:t>2. PROPIEDAD INTELECTUAL Y USO DE MARCA</w:t>
          </w:r>
        </w:p>
        <w:p>
          <w:pPr>
            <w:spacing w:after="180" w:before="0"/>
            <w:jc w:val="left"/>
          </w:pPr>
          <w:r>
            <w:rPr>
              <w:rFonts w:ascii="Arial" w:hAnsi="Arial"/>
              <w:b w:val="0"/>
              <w:i w:val="0"/>
              <w:caps w:val="0"/>
              <w:color w:val="5A6781"/>
              <w:sz w:val="17"/>
            </w:rPr>
            <w:t>Cada parte conserva la titularidad de su propiedad intelectual preexistente. Los materiales, playbooks e informes de investigación entregados por Plug &amp; Play se licencian al cliente de forma no exclusiva, intransferible y limitada al uso interno durante la vigencia del contrato.</w:t>
          </w:r>
        </w:p>
        <w:p>
          <w:pPr>
            <w:spacing w:after="180" w:before="0"/>
            <w:jc w:val="left"/>
          </w:pPr>
          <w:r>
            <w:rPr>
              <w:rFonts w:ascii="Arial" w:hAnsi="Arial"/>
              <w:b w:val="0"/>
              <w:i w:val="0"/>
              <w:caps w:val="0"/>
              <w:color w:val="5A6781"/>
              <w:sz w:val="17"/>
            </w:rPr>
            <w:t>El cliente autoriza a Plug &amp; Play a usar su denominación y logotipo en comunicaciones del ecosistema y a publicar el caso de éxito del programa. Cualquier otro uso de marca requiere aprobación previa y por escrito.</w:t>
          </w:r>
        </w:p>
      </w:sdtContent>
    </w:sdt>
    <w:sdt>
      <w:sdtPr>
        <w:alias w:val="Clause"/>
        <w:tag w:val="{&quot;entityId&quot;:&quot;2dcg80000065YonAAE&quot;,&quot;type&quot;:&quot;Clause&quot;,&quot;title&quot;:&quot;Exclusividad Sectorial&quot;,&quot;language&quot;:&quot;Spanish&quot;,&quot;category&quot;:&quot;Plug and Play Membership&quot;,&quot;generateSource&quot;:&quot;Library&quot;,&quot;controlId&quot;:821800307,&quot;guid&quot;:&quot;pnp-clm-3-65YonAAE&quot;,&quot;checksum&quot;:&quot;874f1924114cca56d3403967c19c79c662f5e2e8b5c9c1664eef4eb6890db460&quot;}"/>
      </w:sdtPr>
      <w:sdtContent>
        <w:p>
          <w:pPr>
            <w:spacing w:after="80" w:before="0"/>
            <w:jc w:val="left"/>
          </w:pPr>
          <w:r>
            <w:rPr>
              <w:rFonts w:ascii="Arial" w:hAnsi="Arial"/>
              <w:b/>
              <w:i w:val="0"/>
              <w:caps w:val="0"/>
              <w:color w:val="1D2A57"/>
              <w:sz w:val="19"/>
            </w:rPr>
            <w:t>3. EXCLUSIVIDAD SECTORIAL</w:t>
          </w:r>
        </w:p>
        <w:p>
          <w:pPr>
            <w:spacing w:after="180" w:before="0"/>
            <w:jc w:val="left"/>
          </w:pPr>
          <w:r>
            <w:rPr>
              <w:rFonts w:ascii="Arial" w:hAnsi="Arial"/>
              <w:b w:val="0"/>
              <w:i w:val="0"/>
              <w:caps w:val="0"/>
              <w:color w:val="5A6781"/>
              <w:sz w:val="17"/>
            </w:rPr>
            <w:t>Durante la vigencia de la membresía, Plug &amp; Play no incorporará al mismo vertical y programa a un competidor directo del cliente sin comunicárselo previamente. Esta exclusividad se limita al vertical contratado y no restringe la actividad de Plug &amp; Play en otros verticales ni en otras ubicaciones.</w:t>
          </w:r>
        </w:p>
        <w:p>
          <w:pPr>
            <w:spacing w:after="180" w:before="0"/>
            <w:jc w:val="left"/>
          </w:pPr>
          <w:r>
            <w:rPr>
              <w:rFonts w:ascii="Arial" w:hAnsi="Arial"/>
              <w:b w:val="0"/>
              <w:i w:val="0"/>
              <w:caps w:val="0"/>
              <w:color w:val="5A6781"/>
              <w:sz w:val="17"/>
            </w:rPr>
            <w:t>La exclusividad decae automáticamente si el cliente incurre en impago o si comunica su intención de no renovar.</w:t>
          </w:r>
        </w:p>
      </w:sdtContent>
    </w:sdt>
    <w:sdt>
      <w:sdtPr>
        <w:alias w:val="Clause"/>
        <w:tag w:val="{&quot;entityId&quot;:&quot;2dcg80000065YqPAAU&quot;,&quot;type&quot;:&quot;Clause&quot;,&quot;title&quot;:&quot;Alcance de Servicios y Niveles de Entrega&quot;,&quot;language&quot;:&quot;Spanish&quot;,&quot;category&quot;:&quot;Plug and Play Membership&quot;,&quot;generateSource&quot;:&quot;Library&quot;,&quot;controlId&quot;:134443516,&quot;guid&quot;:&quot;pnp-clm-4-65YqPAAU&quot;,&quot;checksum&quot;:&quot;5e98fd8d77430cdf07896f27d0f2ef19861d47160b335e659286c4fde210f83f&quot;}"/>
      </w:sdtPr>
      <w:sdtContent>
        <w:p>
          <w:pPr>
            <w:spacing w:after="80" w:before="0"/>
            <w:jc w:val="left"/>
          </w:pPr>
          <w:r>
            <w:rPr>
              <w:rFonts w:ascii="Arial" w:hAnsi="Arial"/>
              <w:b/>
              <w:i w:val="0"/>
              <w:caps w:val="0"/>
              <w:color w:val="1D2A57"/>
              <w:sz w:val="19"/>
            </w:rPr>
            <w:t>4. ALCANCE DE SERVICIOS Y NIVELES DE ENTREGA</w:t>
          </w:r>
        </w:p>
        <w:p>
          <w:pPr>
            <w:spacing w:after="180" w:before="0"/>
            <w:jc w:val="left"/>
          </w:pPr>
          <w:r>
            <w:rPr>
              <w:rFonts w:ascii="Arial" w:hAnsi="Arial"/>
              <w:b w:val="0"/>
              <w:i w:val="0"/>
              <w:caps w:val="0"/>
              <w:color w:val="5A6781"/>
              <w:sz w:val="17"/>
            </w:rPr>
            <w:t>El precio base de la membresía cubre los workshops de innovación y las horas de soporte de marketing indicados en la sección de condiciones económicas. Los servicios que excedan ese alcance se facturan como add-on al precio de lista vigente, previa aceptación del cliente.</w:t>
          </w:r>
        </w:p>
        <w:p>
          <w:pPr>
            <w:spacing w:after="180" w:before="0"/>
            <w:jc w:val="left"/>
          </w:pPr>
          <w:r>
            <w:rPr>
              <w:rFonts w:ascii="Arial" w:hAnsi="Arial"/>
              <w:b w:val="0"/>
              <w:i w:val="0"/>
              <w:caps w:val="0"/>
              <w:color w:val="5A6781"/>
              <w:sz w:val="17"/>
            </w:rPr>
            <w:t>Plug &amp; Play se compromete a asignar un Program Manager en los diez (10) días hábiles siguientes a la firma, a entregar el informe de investigación de mercado con periodicidad semestral y a confirmar la agenda de cada workshop con quince (15) días naturales de antelación.</w:t>
          </w:r>
        </w:p>
      </w:sdtContent>
    </w:sdt>
    <w:sdt>
      <w:sdtPr>
        <w:alias w:val="Clause"/>
        <w:tag w:val="{&quot;entityId&quot;:&quot;2dcg80000065Ys1AAE&quot;,&quot;type&quot;:&quot;Clause&quot;,&quot;title&quot;:&quot;Cancelacion y Reembolso&quot;,&quot;language&quot;:&quot;Spanish&quot;,&quot;category&quot;:&quot;Plug and Play Membership&quot;,&quot;generateSource&quot;:&quot;Library&quot;,&quot;controlId&quot;:956675785,&quot;guid&quot;:&quot;pnp-clm-5-65Ys1AAE&quot;,&quot;checksum&quot;:&quot;07248527c7326e78abadbde0f68fbf92d28eab71f7a586e0c0b0eb36ba291890&quot;}"/>
      </w:sdtPr>
      <w:sdtContent>
        <w:p>
          <w:pPr>
            <w:spacing w:after="80" w:before="0"/>
            <w:jc w:val="left"/>
          </w:pPr>
          <w:r>
            <w:rPr>
              <w:rFonts w:ascii="Arial" w:hAnsi="Arial"/>
              <w:b/>
              <w:i w:val="0"/>
              <w:caps w:val="0"/>
              <w:color w:val="1D2A57"/>
              <w:sz w:val="19"/>
            </w:rPr>
            <w:t>5. CANCELACIÓN Y REEMBOLSO</w:t>
          </w:r>
        </w:p>
        <w:p>
          <w:pPr>
            <w:spacing w:after="180" w:before="0"/>
            <w:jc w:val="left"/>
          </w:pPr>
          <w:r>
            <w:rPr>
              <w:rFonts w:ascii="Arial" w:hAnsi="Arial"/>
              <w:b w:val="0"/>
              <w:i w:val="0"/>
              <w:caps w:val="0"/>
              <w:color w:val="5A6781"/>
              <w:sz w:val="17"/>
            </w:rPr>
            <w:t>El cliente puede resolver el contrato por incumplimiento grave de Plug &amp; Play si este no lo subsana en el plazo de treinta (30) días desde la notificación fehaciente. En ese supuesto se reembolsará la parte proporcional de la cuota correspondiente a los servicios no prestados.</w:t>
          </w:r>
        </w:p>
        <w:p>
          <w:pPr>
            <w:spacing w:after="180" w:before="0"/>
            <w:jc w:val="left"/>
          </w:pPr>
          <w:r>
            <w:rPr>
              <w:rFonts w:ascii="Arial" w:hAnsi="Arial"/>
              <w:b w:val="0"/>
              <w:i w:val="0"/>
              <w:caps w:val="0"/>
              <w:color w:val="5A6781"/>
              <w:sz w:val="17"/>
            </w:rPr>
            <w:t>La resolución anticipada por conveniencia del cliente no da derecho a reembolso de las cuotas devengadas, dado que el descuento aplicado está condicionado al cumplimiento del compromiso de permanencia.</w:t>
          </w:r>
        </w:p>
      </w:sdtContent>
    </w:sdt>
    <w:sdt>
      <w:sdtPr>
        <w:alias w:val="Clause"/>
        <w:tag w:val="{&quot;entityId&quot;:&quot;2dcg80000065YtdAAE&quot;,&quot;type&quot;:&quot;Clause&quot;,&quot;title&quot;:&quot;Renovacion y Revision de Tarifas&quot;,&quot;language&quot;:&quot;Spanish&quot;,&quot;category&quot;:&quot;Plug and Play Membership&quot;,&quot;generateSource&quot;:&quot;Library&quot;,&quot;controlId&quot;:178965777,&quot;guid&quot;:&quot;pnp-clm-6-65YtdAAE&quot;,&quot;checksum&quot;:&quot;5730f1a9667cd0b16da87f815dde5e4acc31275be4255c100176acf25a99b993&quot;}"/>
      </w:sdtPr>
      <w:sdtContent>
        <w:p>
          <w:pPr>
            <w:spacing w:after="80" w:before="0"/>
            <w:jc w:val="left"/>
          </w:pPr>
          <w:r>
            <w:rPr>
              <w:rFonts w:ascii="Arial" w:hAnsi="Arial"/>
              <w:b/>
              <w:i w:val="0"/>
              <w:caps w:val="0"/>
              <w:color w:val="1D2A57"/>
              <w:sz w:val="19"/>
            </w:rPr>
            <w:t>6. RENOVACIÓN Y REVISIÓN DE TARIFAS</w:t>
          </w:r>
        </w:p>
        <w:p>
          <w:pPr>
            <w:spacing w:after="180" w:before="0"/>
            <w:jc w:val="left"/>
          </w:pPr>
          <w:r>
            <w:rPr>
              <w:rFonts w:ascii="Arial" w:hAnsi="Arial"/>
              <w:b w:val="0"/>
              <w:i w:val="0"/>
              <w:caps w:val="0"/>
              <w:color w:val="5A6781"/>
              <w:sz w:val="17"/>
            </w:rPr>
            <w:t>La membresía se renueva por periodos sucesivos de doce (12) meses salvo que cualquiera de las partes comunique su voluntad de no renovar con sesenta (60) días naturales de antelación a la fecha de vencimiento.</w:t>
          </w:r>
        </w:p>
        <w:p>
          <w:pPr>
            <w:spacing w:after="180" w:before="0"/>
            <w:jc w:val="left"/>
          </w:pPr>
          <w:r>
            <w:rPr>
              <w:rFonts w:ascii="Arial" w:hAnsi="Arial"/>
              <w:b w:val="0"/>
              <w:i w:val="0"/>
              <w:caps w:val="0"/>
              <w:color w:val="5A6781"/>
              <w:sz w:val="17"/>
            </w:rPr>
            <w:t>Plug &amp; Play podrá revisar las tarifas en cada renovación aplicando como máximo la variación del IPC interanual. El cliente dispone de preferencia de renovación sobre las condiciones económicas del periodo en curso.</w:t>
          </w:r>
        </w:p>
      </w:sdtContent>
    </w:sdt>
    <w:p>
      <w:pPr>
        <w:pageBreakBefore w:val="0"/>
        <w:spacing w:after="100" w:before="280"/>
        <w:jc w:val="left"/>
        <w:pBdr>
          <w:bottom w:val="single" w:sz="18" w:space="4" w:color="02F4E4"/>
        </w:pBdr>
      </w:pPr>
      <w:r>
        <w:rPr>
          <w:rFonts w:ascii="Arial" w:hAnsi="Arial"/>
          <w:b/>
          <w:i w:val="0"/>
          <w:caps/>
          <w:color w:val="1D2A57"/>
          <w:sz w:val="24"/>
        </w:rPr>
        <w:t>Firma</w:t>
      </w:r>
    </w:p>
    <w:p>
      <w:pPr>
        <w:spacing w:after="16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989"/>
        <w:gridCol w:w="4989"/>
      </w:tblGrid>
      <w:tr>
        <w:tc>
          <w:tcPr>
            <w:tcW w:type="dxa" w:w="4989"/>
            <w:tcMar>
              <w:top w:w="90" w:type="dxa"/>
              <w:left w:w="0" w:type="dxa"/>
              <w:bottom w:w="140" w:type="dxa"/>
              <w:right w:w="200" w:type="dxa"/>
            </w:tcMar>
            <w:tcBorders>
              <w:bottom w:val="single" w:sz="6" w:space="0" w:color="DCE3ED"/>
            </w:tcBorders>
          </w:tcPr>
          <w:p>
            <w:pPr>
              <w:spacing w:after="600" w:before="0"/>
              <w:jc w:val="left"/>
            </w:pPr>
            <w:r>
              <w:rPr>
                <w:rFonts w:ascii="Arial" w:hAnsi="Arial"/>
                <w:b/>
                <w:i w:val="0"/>
                <w:caps w:val="0"/>
                <w:color w:val="5A6781"/>
                <w:sz w:val="16"/>
              </w:rPr>
              <w:t>POR PLUG AND PLAY</w:t>
            </w:r>
          </w:p>
          <w:p>
            <w:pPr>
              <w:spacing w:after="280" w:before="0"/>
              <w:jc w:val="left"/>
            </w:pPr>
            <w:r>
              <w:rPr>
                <w:rFonts w:ascii="Arial" w:hAnsi="Arial"/>
                <w:b w:val="0"/>
                <w:i w:val="0"/>
                <w:caps w:val="0"/>
                <w:color w:val="5A6781"/>
                <w:sz w:val="17"/>
              </w:rPr>
              <w:t>Diego Salas - Program Manager, Plug &amp; Play Silicon Valley</w:t>
            </w:r>
          </w:p>
          <w:p>
            <w:pPr>
              <w:spacing w:after="0" w:before="0"/>
              <w:jc w:val="left"/>
            </w:pPr>
            <w:r>
              <w:rPr>
                <w:rFonts w:ascii="Arial" w:hAnsi="Arial"/>
                <w:b w:val="0"/>
                <w:i w:val="0"/>
                <w:caps w:val="0"/>
                <w:color w:val="5A6781"/>
                <w:sz w:val="17"/>
              </w:rPr>
              <w:t>Fecha</w:t>
            </w:r>
          </w:p>
        </w:tc>
        <w:tc>
          <w:tcPr>
            <w:tcW w:type="dxa" w:w="4989"/>
            <w:tcMar>
              <w:top w:w="90" w:type="dxa"/>
              <w:left w:w="0" w:type="dxa"/>
              <w:bottom w:w="140" w:type="dxa"/>
              <w:right w:w="200" w:type="dxa"/>
            </w:tcMar>
            <w:tcBorders>
              <w:bottom w:val="single" w:sz="6" w:space="0" w:color="DCE3ED"/>
            </w:tcBorders>
          </w:tcPr>
          <w:p>
            <w:pPr>
              <w:spacing w:after="600" w:before="0"/>
              <w:jc w:val="left"/>
            </w:pPr>
            <w:r>
              <w:rPr>
                <w:rFonts w:ascii="Arial" w:hAnsi="Arial"/>
                <w:b/>
                <w:i w:val="0"/>
                <w:caps w:val="0"/>
                <w:color w:val="5A6781"/>
                <w:sz w:val="16"/>
              </w:rPr>
              <w:t>POR S4G</w:t>
            </w:r>
          </w:p>
          <w:p>
            <w:pPr>
              <w:spacing w:after="280" w:before="0"/>
              <w:jc w:val="left"/>
            </w:pPr>
            <w:r>
              <w:rPr>
                <w:rFonts w:ascii="Arial" w:hAnsi="Arial"/>
                <w:b w:val="0"/>
                <w:i w:val="0"/>
                <w:caps w:val="0"/>
                <w:color w:val="5A6781"/>
                <w:sz w:val="17"/>
              </w:rPr>
              <w:t>Elena Ferrer - Chief Innovation Officer, S4G</w:t>
            </w:r>
          </w:p>
          <w:p>
            <w:pPr>
              <w:spacing w:after="0" w:before="0"/>
              <w:jc w:val="left"/>
            </w:pPr>
            <w:r>
              <w:rPr>
                <w:rFonts w:ascii="Arial" w:hAnsi="Arial"/>
                <w:b w:val="0"/>
                <w:i w:val="0"/>
                <w:caps w:val="0"/>
                <w:color w:val="5A6781"/>
                <w:sz w:val="17"/>
              </w:rPr>
              <w:t>Fecha</w:t>
            </w:r>
          </w:p>
        </w:tc>
      </w:tr>
    </w:tbl>
    <w:sectPr w:rsidR="00FC693F" w:rsidRPr="0006063C" w:rsidSect="00034616">
      <w:footerReference w:type="default" r:id="rId15"/>
      <w:pgSz w:w="11906" w:h="16838"/>
      <w:pgMar w:top="68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drawing>
        <wp:inline xmlns:a="http://schemas.openxmlformats.org/drawingml/2006/main" xmlns:pic="http://schemas.openxmlformats.org/drawingml/2006/picture">
          <wp:extent cx="1116000" cy="191314"/>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116000" cy="191314"/>
                  </a:xfrm>
                  <a:prstGeom prst="rect"/>
                </pic:spPr>
              </pic:pic>
            </a:graphicData>
          </a:graphic>
        </wp:inline>
      </w:drawing>
    </w:r>
  </w:p>
  <w:p>
    <w:pPr>
      <w:spacing w:after="0" w:before="0"/>
      <w:jc w:val="left"/>
    </w:pPr>
    <w:r>
      <w:rPr>
        <w:rFonts w:ascii="Arial" w:hAnsi="Arial"/>
        <w:b w:val="0"/>
        <w:i w:val="0"/>
        <w:caps w:val="0"/>
        <w:color w:val="5A6781"/>
        <w:sz w:val="15"/>
      </w:rPr>
      <w:t>Contrato confidencial  |  Presupuesto 00000020  |  S4G  |  USD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