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30F8" w14:textId="50F0ACCD" w:rsidR="00C371EC" w:rsidRDefault="00C371EC">
      <w:r>
        <w:t>Risiko für Anfälle bei Personen im Critical Care Bereich bei unterschiedlichen EEG Mustern gemäss ACNS Klassifikation.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698"/>
        <w:gridCol w:w="1429"/>
        <w:gridCol w:w="1600"/>
        <w:gridCol w:w="1375"/>
        <w:gridCol w:w="1374"/>
      </w:tblGrid>
      <w:tr w:rsidR="00C371EC" w:rsidRPr="008512EE" w14:paraId="13DBAB0C" w14:textId="77777777" w:rsidTr="00C371EC">
        <w:tc>
          <w:tcPr>
            <w:tcW w:w="1540" w:type="dxa"/>
            <w:vMerge w:val="restart"/>
            <w:shd w:val="clear" w:color="auto" w:fill="F2F2F2" w:themeFill="background1" w:themeFillShade="F2"/>
            <w:vAlign w:val="bottom"/>
          </w:tcPr>
          <w:p w14:paraId="3278DA65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Muster</w:t>
            </w:r>
          </w:p>
        </w:tc>
        <w:tc>
          <w:tcPr>
            <w:tcW w:w="3127" w:type="dxa"/>
            <w:gridSpan w:val="2"/>
            <w:shd w:val="clear" w:color="auto" w:fill="F2F2F2" w:themeFill="background1" w:themeFillShade="F2"/>
            <w:vAlign w:val="center"/>
          </w:tcPr>
          <w:p w14:paraId="615F2C35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Plus Modifikatoren</w:t>
            </w:r>
          </w:p>
        </w:tc>
        <w:tc>
          <w:tcPr>
            <w:tcW w:w="4349" w:type="dxa"/>
            <w:gridSpan w:val="3"/>
            <w:shd w:val="clear" w:color="auto" w:fill="F2F2F2" w:themeFill="background1" w:themeFillShade="F2"/>
            <w:vAlign w:val="center"/>
          </w:tcPr>
          <w:p w14:paraId="1B2FCD17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Frequenz</w:t>
            </w:r>
          </w:p>
        </w:tc>
      </w:tr>
      <w:tr w:rsidR="00C371EC" w:rsidRPr="008512EE" w14:paraId="16BF5A8D" w14:textId="77777777" w:rsidTr="00C371EC">
        <w:tc>
          <w:tcPr>
            <w:tcW w:w="1540" w:type="dxa"/>
            <w:vMerge/>
            <w:shd w:val="clear" w:color="auto" w:fill="F2F2F2" w:themeFill="background1" w:themeFillShade="F2"/>
          </w:tcPr>
          <w:p w14:paraId="6D3DADF8" w14:textId="77777777" w:rsidR="00C371EC" w:rsidRPr="008512EE" w:rsidRDefault="00C371EC" w:rsidP="00B0129B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98" w:type="dxa"/>
            <w:shd w:val="clear" w:color="auto" w:fill="F2F2F2" w:themeFill="background1" w:themeFillShade="F2"/>
            <w:vAlign w:val="center"/>
          </w:tcPr>
          <w:p w14:paraId="7247EF4A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Nein</w:t>
            </w:r>
          </w:p>
        </w:tc>
        <w:tc>
          <w:tcPr>
            <w:tcW w:w="1429" w:type="dxa"/>
            <w:shd w:val="clear" w:color="auto" w:fill="F2F2F2" w:themeFill="background1" w:themeFillShade="F2"/>
            <w:vAlign w:val="center"/>
          </w:tcPr>
          <w:p w14:paraId="4CB3CED0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Ja</w:t>
            </w:r>
          </w:p>
        </w:tc>
        <w:tc>
          <w:tcPr>
            <w:tcW w:w="1600" w:type="dxa"/>
            <w:shd w:val="clear" w:color="auto" w:fill="F2F2F2" w:themeFill="background1" w:themeFillShade="F2"/>
            <w:vAlign w:val="center"/>
          </w:tcPr>
          <w:p w14:paraId="2911CED1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&lt;1.5 Hz</w:t>
            </w:r>
          </w:p>
        </w:tc>
        <w:tc>
          <w:tcPr>
            <w:tcW w:w="1375" w:type="dxa"/>
            <w:shd w:val="clear" w:color="auto" w:fill="F2F2F2" w:themeFill="background1" w:themeFillShade="F2"/>
            <w:vAlign w:val="center"/>
          </w:tcPr>
          <w:p w14:paraId="2B37E5D1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1.5–2 Hz</w:t>
            </w:r>
          </w:p>
        </w:tc>
        <w:tc>
          <w:tcPr>
            <w:tcW w:w="1374" w:type="dxa"/>
            <w:shd w:val="clear" w:color="auto" w:fill="F2F2F2" w:themeFill="background1" w:themeFillShade="F2"/>
            <w:vAlign w:val="center"/>
          </w:tcPr>
          <w:p w14:paraId="1A785E1E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≥ 2 Hz</w:t>
            </w:r>
          </w:p>
        </w:tc>
      </w:tr>
      <w:tr w:rsidR="00C371EC" w:rsidRPr="008512EE" w14:paraId="54AEA40D" w14:textId="77777777" w:rsidTr="00C371EC">
        <w:tc>
          <w:tcPr>
            <w:tcW w:w="1540" w:type="dxa"/>
          </w:tcPr>
          <w:p w14:paraId="460188CC" w14:textId="77777777" w:rsidR="00C371EC" w:rsidRPr="008512EE" w:rsidRDefault="00C371EC" w:rsidP="00B0129B">
            <w:pPr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GRDA</w:t>
            </w:r>
          </w:p>
        </w:tc>
        <w:tc>
          <w:tcPr>
            <w:tcW w:w="1698" w:type="dxa"/>
            <w:vAlign w:val="center"/>
          </w:tcPr>
          <w:p w14:paraId="43E9CF14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13 %</w:t>
            </w:r>
          </w:p>
        </w:tc>
        <w:tc>
          <w:tcPr>
            <w:tcW w:w="1429" w:type="dxa"/>
            <w:vAlign w:val="center"/>
          </w:tcPr>
          <w:p w14:paraId="7BBA0B5A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14 %</w:t>
            </w:r>
          </w:p>
        </w:tc>
        <w:tc>
          <w:tcPr>
            <w:tcW w:w="1600" w:type="dxa"/>
            <w:vAlign w:val="center"/>
          </w:tcPr>
          <w:p w14:paraId="2B527AC6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13%</w:t>
            </w:r>
          </w:p>
        </w:tc>
        <w:tc>
          <w:tcPr>
            <w:tcW w:w="1375" w:type="dxa"/>
            <w:vAlign w:val="center"/>
          </w:tcPr>
          <w:p w14:paraId="163CDA2B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12 %</w:t>
            </w:r>
          </w:p>
        </w:tc>
        <w:tc>
          <w:tcPr>
            <w:tcW w:w="1374" w:type="dxa"/>
            <w:vAlign w:val="center"/>
          </w:tcPr>
          <w:p w14:paraId="378A6E1A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16 %</w:t>
            </w:r>
          </w:p>
        </w:tc>
      </w:tr>
      <w:tr w:rsidR="00C371EC" w:rsidRPr="008512EE" w14:paraId="1BA13715" w14:textId="77777777" w:rsidTr="00C371EC">
        <w:tc>
          <w:tcPr>
            <w:tcW w:w="1540" w:type="dxa"/>
          </w:tcPr>
          <w:p w14:paraId="4AD860F0" w14:textId="77777777" w:rsidR="00C371EC" w:rsidRPr="008512EE" w:rsidRDefault="00C371EC" w:rsidP="00B0129B">
            <w:pPr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GPD</w:t>
            </w:r>
          </w:p>
        </w:tc>
        <w:tc>
          <w:tcPr>
            <w:tcW w:w="1698" w:type="dxa"/>
            <w:vAlign w:val="center"/>
          </w:tcPr>
          <w:p w14:paraId="6A0BA556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12 %</w:t>
            </w:r>
          </w:p>
        </w:tc>
        <w:tc>
          <w:tcPr>
            <w:tcW w:w="1429" w:type="dxa"/>
            <w:vAlign w:val="center"/>
          </w:tcPr>
          <w:p w14:paraId="5BD2BF63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28 %</w:t>
            </w:r>
          </w:p>
        </w:tc>
        <w:tc>
          <w:tcPr>
            <w:tcW w:w="1600" w:type="dxa"/>
            <w:vAlign w:val="center"/>
          </w:tcPr>
          <w:p w14:paraId="3F052F6D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14%</w:t>
            </w:r>
          </w:p>
        </w:tc>
        <w:tc>
          <w:tcPr>
            <w:tcW w:w="1375" w:type="dxa"/>
            <w:vAlign w:val="center"/>
          </w:tcPr>
          <w:p w14:paraId="44F9491B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24 %</w:t>
            </w:r>
          </w:p>
        </w:tc>
        <w:tc>
          <w:tcPr>
            <w:tcW w:w="1374" w:type="dxa"/>
            <w:vAlign w:val="center"/>
          </w:tcPr>
          <w:p w14:paraId="2A7668DA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32 %</w:t>
            </w:r>
          </w:p>
        </w:tc>
      </w:tr>
      <w:tr w:rsidR="00C371EC" w:rsidRPr="008512EE" w14:paraId="71833B8B" w14:textId="77777777" w:rsidTr="00C371EC">
        <w:tc>
          <w:tcPr>
            <w:tcW w:w="1540" w:type="dxa"/>
          </w:tcPr>
          <w:p w14:paraId="12CAE9D6" w14:textId="77777777" w:rsidR="00C371EC" w:rsidRPr="008512EE" w:rsidRDefault="00C371EC" w:rsidP="00B0129B">
            <w:pPr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LRDA</w:t>
            </w:r>
          </w:p>
        </w:tc>
        <w:tc>
          <w:tcPr>
            <w:tcW w:w="1698" w:type="dxa"/>
            <w:vAlign w:val="center"/>
          </w:tcPr>
          <w:p w14:paraId="0D797BFB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22 %</w:t>
            </w:r>
          </w:p>
        </w:tc>
        <w:tc>
          <w:tcPr>
            <w:tcW w:w="1429" w:type="dxa"/>
            <w:vAlign w:val="center"/>
          </w:tcPr>
          <w:p w14:paraId="0895F95E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40 %</w:t>
            </w:r>
          </w:p>
        </w:tc>
        <w:tc>
          <w:tcPr>
            <w:tcW w:w="1600" w:type="dxa"/>
            <w:vAlign w:val="center"/>
          </w:tcPr>
          <w:p w14:paraId="7C8C52ED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17%</w:t>
            </w:r>
          </w:p>
        </w:tc>
        <w:tc>
          <w:tcPr>
            <w:tcW w:w="1375" w:type="dxa"/>
            <w:vAlign w:val="center"/>
          </w:tcPr>
          <w:p w14:paraId="2E564EC0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24 %</w:t>
            </w:r>
          </w:p>
        </w:tc>
        <w:tc>
          <w:tcPr>
            <w:tcW w:w="1374" w:type="dxa"/>
            <w:vAlign w:val="center"/>
          </w:tcPr>
          <w:p w14:paraId="4017F0F2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40 %</w:t>
            </w:r>
          </w:p>
        </w:tc>
      </w:tr>
      <w:tr w:rsidR="00C371EC" w:rsidRPr="008512EE" w14:paraId="1FF329FC" w14:textId="77777777" w:rsidTr="00C371EC">
        <w:tc>
          <w:tcPr>
            <w:tcW w:w="1540" w:type="dxa"/>
          </w:tcPr>
          <w:p w14:paraId="52903636" w14:textId="77777777" w:rsidR="00C371EC" w:rsidRPr="008512EE" w:rsidRDefault="00C371EC" w:rsidP="00B0129B">
            <w:pPr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LPD</w:t>
            </w:r>
          </w:p>
        </w:tc>
        <w:tc>
          <w:tcPr>
            <w:tcW w:w="1698" w:type="dxa"/>
            <w:vAlign w:val="center"/>
          </w:tcPr>
          <w:p w14:paraId="017C930F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36 %</w:t>
            </w:r>
          </w:p>
        </w:tc>
        <w:tc>
          <w:tcPr>
            <w:tcW w:w="1429" w:type="dxa"/>
            <w:vAlign w:val="center"/>
          </w:tcPr>
          <w:p w14:paraId="232246F8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58 %</w:t>
            </w:r>
          </w:p>
        </w:tc>
        <w:tc>
          <w:tcPr>
            <w:tcW w:w="1600" w:type="dxa"/>
            <w:vAlign w:val="center"/>
          </w:tcPr>
          <w:p w14:paraId="75096B7D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40%</w:t>
            </w:r>
          </w:p>
        </w:tc>
        <w:tc>
          <w:tcPr>
            <w:tcW w:w="1375" w:type="dxa"/>
            <w:vAlign w:val="center"/>
          </w:tcPr>
          <w:p w14:paraId="056D8620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50 %</w:t>
            </w:r>
          </w:p>
        </w:tc>
        <w:tc>
          <w:tcPr>
            <w:tcW w:w="1374" w:type="dxa"/>
            <w:vAlign w:val="center"/>
          </w:tcPr>
          <w:p w14:paraId="55BF1E1D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66 %</w:t>
            </w:r>
          </w:p>
        </w:tc>
      </w:tr>
      <w:tr w:rsidR="00C371EC" w:rsidRPr="008512EE" w14:paraId="74CA8A35" w14:textId="77777777" w:rsidTr="00C371EC">
        <w:tc>
          <w:tcPr>
            <w:tcW w:w="1540" w:type="dxa"/>
          </w:tcPr>
          <w:p w14:paraId="4E9E6E28" w14:textId="77777777" w:rsidR="00C371EC" w:rsidRPr="008512EE" w:rsidRDefault="00C371EC" w:rsidP="00B0129B">
            <w:pPr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spellStart"/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</w:t>
            </w:r>
            <w:r w:rsidRPr="008512E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PD</w:t>
            </w:r>
            <w:proofErr w:type="spellEnd"/>
          </w:p>
        </w:tc>
        <w:tc>
          <w:tcPr>
            <w:tcW w:w="1698" w:type="dxa"/>
            <w:vAlign w:val="center"/>
          </w:tcPr>
          <w:p w14:paraId="2EF4C48E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25 %</w:t>
            </w:r>
          </w:p>
        </w:tc>
        <w:tc>
          <w:tcPr>
            <w:tcW w:w="1429" w:type="dxa"/>
            <w:vAlign w:val="center"/>
          </w:tcPr>
          <w:p w14:paraId="7F25551F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12EE">
              <w:rPr>
                <w:rFonts w:asciiTheme="minorHAnsi" w:hAnsiTheme="minorHAnsi" w:cstheme="minorHAnsi"/>
                <w:sz w:val="18"/>
                <w:szCs w:val="18"/>
              </w:rPr>
              <w:t>42 %</w:t>
            </w:r>
          </w:p>
        </w:tc>
        <w:tc>
          <w:tcPr>
            <w:tcW w:w="1600" w:type="dxa"/>
            <w:vAlign w:val="center"/>
          </w:tcPr>
          <w:p w14:paraId="563F88C9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75" w:type="dxa"/>
            <w:vAlign w:val="center"/>
          </w:tcPr>
          <w:p w14:paraId="5E6F70E4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74" w:type="dxa"/>
            <w:vAlign w:val="center"/>
          </w:tcPr>
          <w:p w14:paraId="744ACDEA" w14:textId="77777777" w:rsidR="00C371EC" w:rsidRPr="008512EE" w:rsidRDefault="00C371EC" w:rsidP="00B0129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371EC" w:rsidRPr="00AE2A85" w14:paraId="3D31CF38" w14:textId="77777777" w:rsidTr="00C371EC">
        <w:tc>
          <w:tcPr>
            <w:tcW w:w="9016" w:type="dxa"/>
            <w:gridSpan w:val="6"/>
          </w:tcPr>
          <w:p w14:paraId="19250B5E" w14:textId="77777777" w:rsidR="00C371EC" w:rsidRPr="00AE2A85" w:rsidRDefault="00C371EC" w:rsidP="00B0129B">
            <w:pPr>
              <w:jc w:val="both"/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</w:pPr>
            <w:r w:rsidRPr="00234ABE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 xml:space="preserve">GRDA = generalisierte rhythmische Delta-Aktivität, GPD = generalisierte periodische Potentiale, LRDA = lateralisierte rhythmische Delta-Aktivität, LPD = lateralisierte periodische Potentiale, </w:t>
            </w:r>
            <w:proofErr w:type="spellStart"/>
            <w:r w:rsidRPr="00234ABE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>BiPD</w:t>
            </w:r>
            <w:proofErr w:type="spellEnd"/>
            <w:r w:rsidRPr="00234ABE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 xml:space="preserve"> = bilateral unabhängige periodische Potentiale.</w:t>
            </w:r>
            <w:r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 xml:space="preserve"> </w:t>
            </w:r>
            <w:r w:rsidRPr="00FA0FBB">
              <w:rPr>
                <w:rFonts w:asciiTheme="minorHAnsi" w:hAnsiTheme="minorHAnsi" w:cstheme="minorHAnsi"/>
                <w:i/>
                <w:iCs/>
                <w:sz w:val="18"/>
                <w:szCs w:val="18"/>
                <w:lang w:val="fr-CH"/>
              </w:rPr>
              <w:t xml:space="preserve">Quelle: Rodriguez Ruiz et al., JAMA </w:t>
            </w:r>
            <w:proofErr w:type="spellStart"/>
            <w:r w:rsidRPr="00FA0FBB">
              <w:rPr>
                <w:rFonts w:asciiTheme="minorHAnsi" w:hAnsiTheme="minorHAnsi" w:cstheme="minorHAnsi"/>
                <w:i/>
                <w:iCs/>
                <w:sz w:val="18"/>
                <w:szCs w:val="18"/>
                <w:lang w:val="fr-CH"/>
              </w:rPr>
              <w:t>Neurol</w:t>
            </w:r>
            <w:proofErr w:type="spellEnd"/>
            <w:r w:rsidRPr="00FA0FBB">
              <w:rPr>
                <w:rFonts w:asciiTheme="minorHAnsi" w:hAnsiTheme="minorHAnsi" w:cstheme="minorHAnsi"/>
                <w:i/>
                <w:iCs/>
                <w:sz w:val="18"/>
                <w:szCs w:val="18"/>
                <w:lang w:val="fr-CH"/>
              </w:rPr>
              <w:t xml:space="preserve"> 2017</w:t>
            </w:r>
          </w:p>
        </w:tc>
      </w:tr>
    </w:tbl>
    <w:p w14:paraId="3E97D9BA" w14:textId="77777777" w:rsidR="00C371EC" w:rsidRDefault="00C371EC"/>
    <w:sectPr w:rsidR="00C37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EC"/>
    <w:rsid w:val="00C371EC"/>
    <w:rsid w:val="00DB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671BC"/>
  <w15:chartTrackingRefBased/>
  <w15:docId w15:val="{757B9D0C-A622-EC4D-8015-29501A291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1EC"/>
    <w:pPr>
      <w:spacing w:line="259" w:lineRule="auto"/>
    </w:pPr>
    <w:rPr>
      <w:rFonts w:ascii="Arial" w:hAnsi="Arial"/>
      <w:kern w:val="0"/>
      <w:sz w:val="20"/>
      <w:szCs w:val="22"/>
      <w:lang w:val="de-C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71E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1E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1E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1E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C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1E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C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1E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C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1E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C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1E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C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1E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C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7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1E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7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1EC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n-C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1EC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:lang w:val="en-C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:lang w:val="en-C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1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371E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de-CH" w:eastAsia="de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Galovic</dc:creator>
  <cp:keywords/>
  <dc:description/>
  <cp:lastModifiedBy>Marian Galovic</cp:lastModifiedBy>
  <cp:revision>1</cp:revision>
  <dcterms:created xsi:type="dcterms:W3CDTF">2026-03-13T13:33:00Z</dcterms:created>
  <dcterms:modified xsi:type="dcterms:W3CDTF">2026-03-13T13:36:00Z</dcterms:modified>
</cp:coreProperties>
</file>