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Table 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Complexity static measurements</w:t>
      </w:r>
    </w:p>
    <w:tbl>
      <w:tblPr>
        <w:tblStyle w:val="Table1"/>
        <w:bidiVisual w:val="0"/>
        <w:tblW w:w="79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  <w:gridCol w:w="1134"/>
        <w:gridCol w:w="1134"/>
        <w:tblGridChange w:id="0">
          <w:tblGrid>
            <w:gridCol w:w="1134"/>
            <w:gridCol w:w="1134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280" w:hRule="atLeast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FCM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Layer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nodes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edges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Density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Cycles(+)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Cycles(-)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0.84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230654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228706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409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390"/>
                <w:tab w:val="center" w:pos="452"/>
              </w:tabs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spacing w:after="120" w:line="240" w:lineRule="auto"/>
        <w:contextualSpacing w:val="0"/>
        <w:jc w:val="both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240" w:lineRule="auto"/>
        <w:ind w:left="357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Table 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Strength and Tendency indicators for the sub-FCMs of the ML-FCM model</w:t>
      </w:r>
    </w:p>
    <w:tbl>
      <w:tblPr>
        <w:tblStyle w:val="Table2"/>
        <w:bidiVisual w:val="0"/>
        <w:tblW w:w="846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2144"/>
        <w:gridCol w:w="791"/>
        <w:gridCol w:w="896"/>
        <w:gridCol w:w="825"/>
        <w:gridCol w:w="737"/>
        <w:gridCol w:w="844"/>
        <w:gridCol w:w="806"/>
        <w:tblGridChange w:id="0">
          <w:tblGrid>
            <w:gridCol w:w="1418"/>
            <w:gridCol w:w="2144"/>
            <w:gridCol w:w="791"/>
            <w:gridCol w:w="896"/>
            <w:gridCol w:w="825"/>
            <w:gridCol w:w="737"/>
            <w:gridCol w:w="844"/>
            <w:gridCol w:w="806"/>
          </w:tblGrid>
        </w:tblGridChange>
      </w:tblGrid>
      <w:tr>
        <w:trPr>
          <w:trHeight w:val="540" w:hRule="atLeast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SubFCM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Concept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" w:cs="Cambria" w:eastAsia="Cambria" w:hAnsi="Cambria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sz w:val="16"/>
                        <w:szCs w:val="16"/>
                      </w:rPr>
                      <m:t xml:space="preserve">deg</m:t>
                    </m:r>
                  </m:e>
                  <m:sub>
                    <m:r>
                      <w:rPr>
                        <w:rFonts w:ascii="Cambria" w:cs="Cambria" w:eastAsia="Cambria" w:hAnsi="Cambria"/>
                        <w:sz w:val="16"/>
                        <w:szCs w:val="16"/>
                      </w:rPr>
                      <m:t xml:space="preserve">in</m:t>
                    </m:r>
                  </m:sub>
                </m:sSub>
                <m:r>
                  <w:rPr/>
                  <m:t xml:space="preserve">(</m:t>
                </m:r>
                <m:r>
                  <w:rPr>
                    <w:rFonts w:ascii="Cambria" w:cs="Cambria" w:eastAsia="Cambria" w:hAnsi="Cambria"/>
                    <w:sz w:val="16"/>
                    <w:szCs w:val="16"/>
                  </w:rPr>
                  <m:t xml:space="preserve">i</m:t>
                </m:r>
                <m:r>
                  <w:rPr/>
                  <m:t xml:space="preserve">)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16"/>
                        <w:szCs w:val="16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16"/>
                        <w:szCs w:val="16"/>
                        <w:u w:val="none"/>
                        <w:vertAlign w:val="baseline"/>
                      </w:rPr>
                      <m:t xml:space="preserve">deg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16"/>
                        <w:szCs w:val="16"/>
                        <w:u w:val="none"/>
                        <w:vertAlign w:val="baseline"/>
                      </w:rPr>
                      <m:t xml:space="preserve">out</m:t>
                    </m:r>
                  </m:sub>
                </m:sSub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  <m:t xml:space="preserve">(</m:t>
                </m:r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16"/>
                    <w:szCs w:val="16"/>
                    <w:u w:val="none"/>
                    <w:vertAlign w:val="baseline"/>
                  </w:rPr>
                  <m:t xml:space="preserve">i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  <m:t xml:space="preserve">)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16"/>
                        <w:szCs w:val="16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16"/>
                        <w:szCs w:val="16"/>
                        <w:u w:val="none"/>
                        <w:vertAlign w:val="baseline"/>
                      </w:rPr>
                      <m:t xml:space="preserve">deg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16"/>
                        <w:szCs w:val="16"/>
                        <w:u w:val="none"/>
                        <w:vertAlign w:val="baseline"/>
                      </w:rPr>
                      <m:t xml:space="preserve">tot</m:t>
                    </m:r>
                  </m:sub>
                </m:sSub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  <m:t xml:space="preserve">(</m:t>
                </m:r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16"/>
                    <w:szCs w:val="16"/>
                    <w:u w:val="none"/>
                    <w:vertAlign w:val="baseline"/>
                  </w:rPr>
                  <m:t xml:space="preserve">i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  <m:t xml:space="preserve">)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16"/>
                        <w:szCs w:val="16"/>
                        <w:u w:val="none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16"/>
                        <w:szCs w:val="16"/>
                        <w:u w:val="none"/>
                        <w:vertAlign w:val="baseline"/>
                      </w:rPr>
                      <m:t xml:space="preserve">val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16"/>
                        <w:szCs w:val="16"/>
                        <w:u w:val="none"/>
                        <w:vertAlign w:val="baseline"/>
                      </w:rPr>
                      <m:t xml:space="preserve">tot</m:t>
                    </m:r>
                  </m:sub>
                </m:sSub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  <m:t xml:space="preserve">(</m:t>
                </m:r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16"/>
                    <w:szCs w:val="16"/>
                    <w:u w:val="none"/>
                    <w:vertAlign w:val="baseline"/>
                  </w:rPr>
                  <m:t xml:space="preserve">i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  <m:t xml:space="preserve">)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0" w:line="276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Cycles+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Cycles-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FCM1 (root)</w:t>
              <w:br w:type="textWrapping"/>
              <w:t xml:space="preserve">Microservices Adoption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Governance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202064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200980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Infrastructure and Management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207666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206077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Maintainability &amp; Evolvability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207656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206087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Operational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202603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200441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196774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207729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206014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199954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178502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202590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200454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197911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Microservices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FCM2</w:t>
              <w:br w:type="textWrapping"/>
              <w:t xml:space="preserve">Governance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Governance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1.333333333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Decentralized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1.991666667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1.391666667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FCM3</w:t>
              <w:br w:type="textWrapping"/>
              <w:t xml:space="preserve">Infrastructure and Management Services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Infrastructure and Management Services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Containerization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Scalability/Elasticity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FCM4</w:t>
              <w:br w:type="textWrapping"/>
              <w:t xml:space="preserve">Cost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Migration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Operations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FCM5</w:t>
              <w:br w:type="textWrapping"/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 For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Granularity and Bounded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Contracts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Communication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2.455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Decentralization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FCM6</w:t>
              <w:br w:type="textWrapping"/>
              <w:t xml:space="preserve">DevOps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5.175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Organization Culture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Infrastructure 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Continuous Delivery/Deployment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4.855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Skilled and Educated DevOps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Tool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Static Analysis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Complexity measurements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the framework’s stepwise process as this described in [xxx], we firstly performed static analysis by applying metrics and indicators regarding graph complexity. The corresponding measurements are listed in Table 1.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Inferences (based on Table1)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density of all sub-FCMs that constitute the ML-FCM model is above the threshold for medium magnitude and thus the model can be characterized as a highly complex, two-layer structure.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Five of six sub-FCMs are complete graphs with density values equal to 1. 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both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both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number of feedback cycles have also been calculated for each sub-FCM, divided into positive and negative and the corresponding results are also listed in Table 1.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Five sub-FCMs appear to have more positive cycles than negative and this is a strong indication of how the model tends to behave: “”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High values of metrics and indicators for maps complexity confirm the high complexity of the problem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Strength and Tendency indicators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Measurements were performed for all sub-FCMs aiming to identify the significance of each node in the ML-FCM model. These measurements that provided in Table 2, define the strength of each node, as well as the tendency of each sub-FCM.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deg</w:t>
      </w:r>
      <w:r w:rsidDel="00000000" w:rsidR="00000000" w:rsidRPr="00000000">
        <w:rPr>
          <w:i w:val="1"/>
          <w:color w:val="000000"/>
          <w:sz w:val="24"/>
          <w:szCs w:val="24"/>
          <w:vertAlign w:val="subscript"/>
          <w:rtl w:val="0"/>
        </w:rPr>
        <w:t xml:space="preserve">in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(i), deg</w:t>
      </w:r>
      <w:r w:rsidDel="00000000" w:rsidR="00000000" w:rsidRPr="00000000">
        <w:rPr>
          <w:i w:val="1"/>
          <w:color w:val="000000"/>
          <w:sz w:val="24"/>
          <w:szCs w:val="24"/>
          <w:vertAlign w:val="subscript"/>
          <w:rtl w:val="0"/>
        </w:rPr>
        <w:t xml:space="preserve">out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(i), deg</w:t>
      </w:r>
      <w:r w:rsidDel="00000000" w:rsidR="00000000" w:rsidRPr="00000000">
        <w:rPr>
          <w:i w:val="1"/>
          <w:color w:val="000000"/>
          <w:sz w:val="24"/>
          <w:szCs w:val="24"/>
          <w:vertAlign w:val="subscript"/>
          <w:rtl w:val="0"/>
        </w:rPr>
        <w:t xml:space="preserve">tot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(i)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και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val</w:t>
      </w:r>
      <w:r w:rsidDel="00000000" w:rsidR="00000000" w:rsidRPr="00000000">
        <w:rPr>
          <w:i w:val="1"/>
          <w:color w:val="000000"/>
          <w:sz w:val="24"/>
          <w:szCs w:val="24"/>
          <w:vertAlign w:val="subscript"/>
          <w:rtl w:val="0"/>
        </w:rPr>
        <w:t xml:space="preserve">tot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(i).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Measurements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Cycles+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Cycles-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denote the participation of each concept in positive or negative cycles respectively.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Inferences (based on Table2)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Infrastructure and Management 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Maintainability &amp; Evolvability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Reliability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are the three strongest nodes of the main FCM.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Respectively the two weakest nodes are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Dynamic Analysis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firstly setup and executed a series of scenarios to examine if our model converges and behaves as expected to.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performed scenarios with randomized initial activation level values. After a number of iterations in all cases all concepts activation level values converged to a specific point.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