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rPr>
          <w:rFonts w:ascii="Calibri" w:hAnsi="Calibri"/>
          <w:color w:val="1A1A2E"/>
          <w:sz w:val="44"/>
        </w:rPr>
        <w:t>Praxis AI Agent Platform</w:t>
      </w:r>
    </w:p>
    <w:p>
      <w:pPr>
        <w:spacing w:after="120"/>
        <w:jc w:val="left"/>
      </w:pPr>
      <w:r>
        <w:rPr>
          <w:rFonts w:ascii="Calibri" w:hAnsi="Calibri"/>
          <w:b/>
          <w:color w:val="00B9CE"/>
          <w:sz w:val="24"/>
        </w:rPr>
        <w:t>Demo Sales Guide  |  Life Sciences &amp; Specialty Pharma</w:t>
      </w:r>
    </w:p>
    <w:p>
      <w:pPr>
        <w:spacing w:after="120"/>
      </w:pPr>
      <w:r>
        <w:rPr>
          <w:color w:val="DDDDDD"/>
          <w:sz w:val="12"/>
        </w:rPr>
        <w:t>_______________________________________________________________________________________________</w:t>
      </w:r>
    </w:p>
    <w:p>
      <w:pPr>
        <w:pStyle w:val="Heading2"/>
        <w:spacing w:before="120" w:after="80"/>
      </w:pPr>
      <w:r>
        <w:rPr>
          <w:rFonts w:ascii="Calibri" w:hAnsi="Calibri"/>
          <w:color w:val="1A1A2E"/>
        </w:rPr>
        <w:t>What This Demo Shows</w:t>
      </w:r>
    </w:p>
    <w:p>
      <w:pPr>
        <w:spacing w:after="80"/>
      </w:pPr>
      <w:r>
        <w:rPr>
          <w:rFonts w:ascii="Calibri" w:hAnsi="Calibri"/>
          <w:color w:val="555555"/>
          <w:sz w:val="20"/>
        </w:rPr>
        <w:t>An AI-native patient and HCP engagement platform purpose-built for specialty pharma. Four specialized agents handle the full lifecycle of pharmaceutical support—from patient hub enrollment and adherence coaching to HCP medical information and field engagement—with regulatory compliance, adverse event capture, and audit trails built into every interaction.</w:t>
      </w:r>
    </w:p>
    <w:p>
      <w:pPr>
        <w:pStyle w:val="Heading2"/>
        <w:spacing w:before="120" w:after="80"/>
      </w:pPr>
      <w:r>
        <w:rPr>
          <w:rFonts w:ascii="Calibri" w:hAnsi="Calibri"/>
          <w:color w:val="1A1A2E"/>
        </w:rPr>
        <w:t>Jobs-to-Be-Done (4 Agents, 4 Workflows)</w:t>
      </w:r>
    </w:p>
    <w:tbl>
      <w:tblPr>
        <w:tblStyle w:val="LightGrid-Accent1"/>
        <w:tblW w:type="auto" w:w="0"/>
        <w:jc w:val="center"/>
        <w:tblLook w:firstColumn="1" w:firstRow="1" w:lastColumn="0" w:lastRow="0" w:noHBand="0" w:noVBand="1" w:val="04A0"/>
      </w:tblPr>
      <w:tblGrid>
        <w:gridCol w:w="2550"/>
        <w:gridCol w:w="2550"/>
        <w:gridCol w:w="2550"/>
        <w:gridCol w:w="2550"/>
      </w:tblGrid>
      <w:tr>
        <w:tc>
          <w:tcPr>
            <w:tcW w:type="dxa" w:w="2550"/>
          </w:tcPr>
          <w:p>
            <w:pPr>
              <w:jc w:val="left"/>
            </w:pPr>
            <w:r>
              <w:rPr>
                <w:rFonts w:ascii="Calibri" w:hAnsi="Calibri"/>
                <w:b/>
                <w:sz w:val="18"/>
              </w:rPr>
              <w:t>Agent</w:t>
            </w:r>
          </w:p>
        </w:tc>
        <w:tc>
          <w:tcPr>
            <w:tcW w:type="dxa" w:w="2550"/>
          </w:tcPr>
          <w:p>
            <w:pPr>
              <w:jc w:val="left"/>
            </w:pPr>
            <w:r>
              <w:rPr>
                <w:rFonts w:ascii="Calibri" w:hAnsi="Calibri"/>
                <w:b/>
                <w:sz w:val="18"/>
              </w:rPr>
              <w:t>Direction</w:t>
            </w:r>
          </w:p>
        </w:tc>
        <w:tc>
          <w:tcPr>
            <w:tcW w:type="dxa" w:w="2550"/>
          </w:tcPr>
          <w:p>
            <w:pPr>
              <w:jc w:val="left"/>
            </w:pPr>
            <w:r>
              <w:rPr>
                <w:rFonts w:ascii="Calibri" w:hAnsi="Calibri"/>
                <w:b/>
                <w:sz w:val="18"/>
              </w:rPr>
              <w:t>Primary Jobs</w:t>
            </w:r>
          </w:p>
        </w:tc>
        <w:tc>
          <w:tcPr>
            <w:tcW w:type="dxa" w:w="2550"/>
          </w:tcPr>
          <w:p>
            <w:pPr>
              <w:jc w:val="left"/>
            </w:pPr>
            <w:r>
              <w:rPr>
                <w:rFonts w:ascii="Calibri" w:hAnsi="Calibri"/>
                <w:b/>
                <w:sz w:val="18"/>
              </w:rPr>
              <w:t>Key Differentiator</w:t>
            </w:r>
          </w:p>
        </w:tc>
      </w:tr>
      <w:tr>
        <w:tc>
          <w:tcPr>
            <w:tcW w:type="dxa" w:w="2550"/>
          </w:tcPr>
          <w:p>
            <w:r>
              <w:rPr>
                <w:rFonts w:ascii="Calibri" w:hAnsi="Calibri"/>
                <w:b/>
                <w:sz w:val="18"/>
              </w:rPr>
              <w:t>Patient Support</w:t>
              <w:br/>
              <w:t>(Emma)</w:t>
            </w:r>
          </w:p>
        </w:tc>
        <w:tc>
          <w:tcPr>
            <w:tcW w:type="dxa" w:w="2550"/>
          </w:tcPr>
          <w:p>
            <w:r>
              <w:rPr>
                <w:rFonts w:ascii="Calibri" w:hAnsi="Calibri"/>
                <w:sz w:val="18"/>
              </w:rPr>
              <w:t>Outbound</w:t>
            </w:r>
          </w:p>
        </w:tc>
        <w:tc>
          <w:tcPr>
            <w:tcW w:type="dxa" w:w="2550"/>
          </w:tcPr>
          <w:p>
            <w:r>
              <w:rPr>
                <w:rFonts w:ascii="Calibri" w:hAnsi="Calibri"/>
                <w:sz w:val="18"/>
              </w:rPr>
              <w:t>Hub enrollment, copay activation, adherence coaching, AE capture, nurse educator scheduling</w:t>
            </w:r>
          </w:p>
        </w:tc>
        <w:tc>
          <w:tcPr>
            <w:tcW w:type="dxa" w:w="2550"/>
          </w:tcPr>
          <w:p>
            <w:r>
              <w:rPr>
                <w:rFonts w:ascii="Calibri" w:hAnsi="Calibri"/>
                <w:sz w:val="18"/>
              </w:rPr>
              <w:t>Caregiver support &amp; break-in-therapy detection for rare disease</w:t>
            </w:r>
          </w:p>
        </w:tc>
      </w:tr>
      <w:tr>
        <w:tc>
          <w:tcPr>
            <w:tcW w:type="dxa" w:w="2550"/>
          </w:tcPr>
          <w:p>
            <w:r>
              <w:rPr>
                <w:rFonts w:ascii="Calibri" w:hAnsi="Calibri"/>
                <w:b/>
                <w:sz w:val="18"/>
              </w:rPr>
              <w:t>HCP Support</w:t>
              <w:br/>
              <w:t>(Aria)</w:t>
            </w:r>
          </w:p>
        </w:tc>
        <w:tc>
          <w:tcPr>
            <w:tcW w:type="dxa" w:w="2550"/>
          </w:tcPr>
          <w:p>
            <w:r>
              <w:rPr>
                <w:rFonts w:ascii="Calibri" w:hAnsi="Calibri"/>
                <w:sz w:val="18"/>
              </w:rPr>
              <w:t>Inbound</w:t>
            </w:r>
          </w:p>
        </w:tc>
        <w:tc>
          <w:tcPr>
            <w:tcW w:type="dxa" w:w="2550"/>
          </w:tcPr>
          <w:p>
            <w:r>
              <w:rPr>
                <w:rFonts w:ascii="Calibri" w:hAnsi="Calibri"/>
                <w:sz w:val="18"/>
              </w:rPr>
              <w:t>Medical information inquiries, dosing questions, drug interactions, AE/pregnancy reporting, MSL referral</w:t>
            </w:r>
          </w:p>
        </w:tc>
        <w:tc>
          <w:tcPr>
            <w:tcW w:type="dxa" w:w="2550"/>
          </w:tcPr>
          <w:p>
            <w:r>
              <w:rPr>
                <w:rFonts w:ascii="Calibri" w:hAnsi="Calibri"/>
                <w:sz w:val="18"/>
              </w:rPr>
              <w:t>On-label boundary enforcement with automatic off-label routing to MSL</w:t>
            </w:r>
          </w:p>
        </w:tc>
      </w:tr>
      <w:tr>
        <w:tc>
          <w:tcPr>
            <w:tcW w:type="dxa" w:w="2550"/>
          </w:tcPr>
          <w:p>
            <w:r>
              <w:rPr>
                <w:rFonts w:ascii="Calibri" w:hAnsi="Calibri"/>
                <w:b/>
                <w:sz w:val="18"/>
              </w:rPr>
              <w:t>HCP Outbound</w:t>
              <w:br/>
              <w:t>(Marcus)</w:t>
            </w:r>
          </w:p>
        </w:tc>
        <w:tc>
          <w:tcPr>
            <w:tcW w:type="dxa" w:w="2550"/>
          </w:tcPr>
          <w:p>
            <w:r>
              <w:rPr>
                <w:rFonts w:ascii="Calibri" w:hAnsi="Calibri"/>
                <w:sz w:val="18"/>
              </w:rPr>
              <w:t>Outbound</w:t>
            </w:r>
          </w:p>
        </w:tc>
        <w:tc>
          <w:tcPr>
            <w:tcW w:type="dxa" w:w="2550"/>
          </w:tcPr>
          <w:p>
            <w:r>
              <w:rPr>
                <w:rFonts w:ascii="Calibri" w:hAnsi="Calibri"/>
                <w:sz w:val="18"/>
              </w:rPr>
              <w:t>Signal-driven detail calls, competitive differentiation, formulary barrier resolution, speaker program capture</w:t>
            </w:r>
          </w:p>
        </w:tc>
        <w:tc>
          <w:tcPr>
            <w:tcW w:type="dxa" w:w="2550"/>
          </w:tcPr>
          <w:p>
            <w:r>
              <w:rPr>
                <w:rFonts w:ascii="Calibri" w:hAnsi="Calibri"/>
                <w:sz w:val="18"/>
              </w:rPr>
              <w:t>Behavioral signal triggers (competitor research, formulary lookups, conference activity)</w:t>
            </w:r>
          </w:p>
        </w:tc>
      </w:tr>
      <w:tr>
        <w:tc>
          <w:tcPr>
            <w:tcW w:type="dxa" w:w="2550"/>
          </w:tcPr>
          <w:p>
            <w:r>
              <w:rPr>
                <w:rFonts w:ascii="Calibri" w:hAnsi="Calibri"/>
                <w:b/>
                <w:sz w:val="18"/>
              </w:rPr>
              <w:t>MedComms QA</w:t>
              <w:br/>
              <w:t>(Rachel)</w:t>
            </w:r>
          </w:p>
        </w:tc>
        <w:tc>
          <w:tcPr>
            <w:tcW w:type="dxa" w:w="2550"/>
          </w:tcPr>
          <w:p>
            <w:r>
              <w:rPr>
                <w:rFonts w:ascii="Calibri" w:hAnsi="Calibri"/>
                <w:sz w:val="18"/>
              </w:rPr>
              <w:t>Internal</w:t>
            </w:r>
          </w:p>
        </w:tc>
        <w:tc>
          <w:tcPr>
            <w:tcW w:type="dxa" w:w="2550"/>
          </w:tcPr>
          <w:p>
            <w:r>
              <w:rPr>
                <w:rFonts w:ascii="Calibri" w:hAnsi="Calibri"/>
                <w:sz w:val="18"/>
              </w:rPr>
              <w:t>Promotional compliance review, off-label deviation detection, AE gap audits, crisis protocol documentation</w:t>
            </w:r>
          </w:p>
        </w:tc>
        <w:tc>
          <w:tcPr>
            <w:tcW w:type="dxa" w:w="2550"/>
          </w:tcPr>
          <w:p>
            <w:r>
              <w:rPr>
                <w:rFonts w:ascii="Calibri" w:hAnsi="Calibri"/>
                <w:sz w:val="18"/>
              </w:rPr>
              <w:t>Real-time compliance QA before content reaches the field</w:t>
            </w:r>
          </w:p>
        </w:tc>
      </w:tr>
    </w:tbl>
    <w:p>
      <w:pPr>
        <w:pStyle w:val="Heading2"/>
        <w:spacing w:before="120" w:after="80"/>
      </w:pPr>
      <w:r>
        <w:rPr>
          <w:rFonts w:ascii="Calibri" w:hAnsi="Calibri"/>
          <w:color w:val="1A1A2E"/>
        </w:rPr>
        <w:t>Recommended Demo Flow &amp; Features to Call Out</w:t>
      </w:r>
    </w:p>
    <w:p>
      <w:pPr>
        <w:pStyle w:val="ListBullet"/>
        <w:spacing w:after="40" w:before="0"/>
      </w:pPr>
      <w:r>
        <w:rPr>
          <w:rFonts w:ascii="Calibri" w:hAnsi="Calibri"/>
          <w:b/>
          <w:sz w:val="20"/>
        </w:rPr>
        <w:t>Agent Storyboard →</w:t>
      </w:r>
      <w:r>
        <w:rPr>
          <w:rFonts w:ascii="Calibri" w:hAnsi="Calibri"/>
          <w:sz w:val="20"/>
        </w:rPr>
        <w:t xml:space="preserve"> Start here. Walk through a single interaction from behavioral signal detection to agent configuration to live conversation to transcript analysis to call log entry. This is the "aha" moment—show how an AI agent replaces a traditional call center rep with pharma-grade intelligence.</w:t>
      </w:r>
    </w:p>
    <w:p>
      <w:pPr>
        <w:pStyle w:val="ListBullet"/>
        <w:spacing w:after="40" w:before="0"/>
      </w:pPr>
      <w:r>
        <w:rPr>
          <w:rFonts w:ascii="Calibri" w:hAnsi="Calibri"/>
          <w:b/>
          <w:sz w:val="20"/>
        </w:rPr>
        <w:t>Interaction Data →</w:t>
      </w:r>
      <w:r>
        <w:rPr>
          <w:rFonts w:ascii="Calibri" w:hAnsi="Calibri"/>
          <w:sz w:val="20"/>
        </w:rPr>
        <w:t xml:space="preserve"> Show the prioritized contact queue with behavioral signals (competitor research detected, adherence gap, formulary lookup). Each contact arrives pre-scored with a recommended pathway and priority tier—no manual triage needed.</w:t>
      </w:r>
    </w:p>
    <w:p>
      <w:pPr>
        <w:pStyle w:val="ListBullet"/>
        <w:spacing w:after="40" w:before="0"/>
      </w:pPr>
      <w:r>
        <w:rPr>
          <w:rFonts w:ascii="Calibri" w:hAnsi="Calibri"/>
          <w:b/>
          <w:sz w:val="20"/>
        </w:rPr>
        <w:t>Medical Intelligence →</w:t>
      </w:r>
      <w:r>
        <w:rPr>
          <w:rFonts w:ascii="Calibri" w:hAnsi="Calibri"/>
          <w:sz w:val="20"/>
        </w:rPr>
        <w:t xml:space="preserve"> MSL follow-up requests ranked by urgency, AE severity flags, competitive intelligence capture with corroboration counts. This is what the medical affairs team sees the morning after 50 agent interactions.</w:t>
      </w:r>
    </w:p>
    <w:p>
      <w:pPr>
        <w:pStyle w:val="ListBullet"/>
        <w:spacing w:after="40" w:before="0"/>
      </w:pPr>
      <w:r>
        <w:rPr>
          <w:rFonts w:ascii="Calibri" w:hAnsi="Calibri"/>
          <w:b/>
          <w:sz w:val="20"/>
        </w:rPr>
        <w:t>Performance Analytics →</w:t>
      </w:r>
      <w:r>
        <w:rPr>
          <w:rFonts w:ascii="Calibri" w:hAnsi="Calibri"/>
          <w:sz w:val="20"/>
        </w:rPr>
        <w:t xml:space="preserve"> Engagement funnel (signals → outreach → contact → action), outcome distribution across all four agent types, daily trend lines. Connects agent activity to commercial KPIs.</w:t>
      </w:r>
    </w:p>
    <w:p>
      <w:pPr>
        <w:pStyle w:val="ListBullet"/>
        <w:spacing w:after="40" w:before="0"/>
      </w:pPr>
      <w:r>
        <w:rPr>
          <w:rFonts w:ascii="Calibri" w:hAnsi="Calibri"/>
          <w:b/>
          <w:sz w:val="20"/>
        </w:rPr>
        <w:t>Outcomes &amp; Evidence →</w:t>
      </w:r>
      <w:r>
        <w:rPr>
          <w:rFonts w:ascii="Calibri" w:hAnsi="Calibri"/>
          <w:sz w:val="20"/>
        </w:rPr>
        <w:t xml:space="preserve"> Patient cohort tracking, timepoint-based outcome data (baseline through 6-month), payer evidence cards for formulary discussions. Demonstrates real-world evidence generation from agent interactions.</w:t>
      </w:r>
    </w:p>
    <w:p>
      <w:pPr>
        <w:pStyle w:val="Heading2"/>
        <w:spacing w:before="120" w:after="80"/>
      </w:pPr>
      <w:r>
        <w:rPr>
          <w:rFonts w:ascii="Calibri" w:hAnsi="Calibri"/>
          <w:color w:val="1A1A2E"/>
        </w:rPr>
        <w:t>Compliance Built In, Not Bolted On</w:t>
      </w:r>
    </w:p>
    <w:p>
      <w:pPr>
        <w:pStyle w:val="ListBullet"/>
        <w:spacing w:after="40" w:before="0"/>
      </w:pPr>
      <w:r>
        <w:rPr>
          <w:rFonts w:ascii="Calibri" w:hAnsi="Calibri"/>
          <w:sz w:val="20"/>
        </w:rPr>
        <w:t>FDA adverse event capture with structured minimum elements (onset, severity, causality, reporter)</w:t>
      </w:r>
    </w:p>
    <w:p>
      <w:pPr>
        <w:pStyle w:val="ListBullet"/>
        <w:spacing w:after="40" w:before="0"/>
      </w:pPr>
      <w:r>
        <w:rPr>
          <w:rFonts w:ascii="Calibri" w:hAnsi="Calibri"/>
          <w:sz w:val="20"/>
        </w:rPr>
        <w:t>Anti-kickback screening before copay card activation (federal program beneficiary exclusion)</w:t>
      </w:r>
    </w:p>
    <w:p>
      <w:pPr>
        <w:pStyle w:val="ListBullet"/>
        <w:spacing w:after="40" w:before="0"/>
      </w:pPr>
      <w:r>
        <w:rPr>
          <w:rFonts w:ascii="Calibri" w:hAnsi="Calibri"/>
          <w:sz w:val="20"/>
        </w:rPr>
        <w:t>On-label boundary enforcement with documented off-label routing to MSL</w:t>
      </w:r>
    </w:p>
    <w:p>
      <w:pPr>
        <w:pStyle w:val="ListBullet"/>
        <w:spacing w:after="40" w:before="0"/>
      </w:pPr>
      <w:r>
        <w:rPr>
          <w:rFonts w:ascii="Calibri" w:hAnsi="Calibri"/>
          <w:sz w:val="20"/>
        </w:rPr>
        <w:t>Pregnancy exposure registry auto-enrollment for anti-epileptic drugs</w:t>
      </w:r>
    </w:p>
    <w:p>
      <w:pPr>
        <w:pStyle w:val="ListBullet"/>
        <w:spacing w:after="40" w:before="0"/>
      </w:pPr>
      <w:r>
        <w:rPr>
          <w:rFonts w:ascii="Calibri" w:hAnsi="Calibri"/>
          <w:sz w:val="20"/>
        </w:rPr>
        <w:t>PhRMA Code / Sunshine Act compliance for HCP outbound engagement</w:t>
      </w:r>
    </w:p>
    <w:p>
      <w:pPr>
        <w:pStyle w:val="ListBullet"/>
        <w:spacing w:after="40" w:before="0"/>
      </w:pPr>
      <w:r>
        <w:rPr>
          <w:rFonts w:ascii="Calibri" w:hAnsi="Calibri"/>
          <w:sz w:val="20"/>
        </w:rPr>
        <w:t>Full audit trail: every interaction classified, timestamped, and available for regulatory review</w:t>
      </w:r>
    </w:p>
    <w:p>
      <w:pPr>
        <w:pStyle w:val="Heading2"/>
        <w:spacing w:before="120" w:after="80"/>
      </w:pPr>
      <w:r>
        <w:rPr>
          <w:rFonts w:ascii="Calibri" w:hAnsi="Calibri"/>
          <w:color w:val="1A1A2E"/>
        </w:rPr>
        <w:t>Multi-Brand Architecture</w:t>
      </w:r>
    </w:p>
    <w:p>
      <w:pPr>
        <w:spacing w:after="80"/>
      </w:pPr>
      <w:r>
        <w:rPr>
          <w:rFonts w:ascii="Calibri" w:hAnsi="Calibri"/>
          <w:color w:val="555555"/>
          <w:sz w:val="20"/>
        </w:rPr>
        <w:t>The platform supports multiple brand packs from a single deployment. The demo includes three pre-configured brands to show enterprise portfolio readiness:</w:t>
      </w:r>
    </w:p>
    <w:p>
      <w:pPr>
        <w:pStyle w:val="ListBullet"/>
        <w:spacing w:after="40" w:before="0"/>
      </w:pPr>
      <w:r>
        <w:rPr>
          <w:rFonts w:ascii="Calibri" w:hAnsi="Calibri"/>
          <w:b/>
          <w:sz w:val="20"/>
        </w:rPr>
        <w:t>Praxis Precision Medicines:</w:t>
      </w:r>
      <w:r>
        <w:rPr>
          <w:rFonts w:ascii="Calibri" w:hAnsi="Calibri"/>
          <w:sz w:val="20"/>
        </w:rPr>
        <w:t xml:space="preserve"> ELEX (Essential Tremor) + Relutrigine (Dravet Syndrome)—specialty neurology with rare disease complexity</w:t>
      </w:r>
    </w:p>
    <w:p>
      <w:pPr>
        <w:pStyle w:val="ListBullet"/>
        <w:spacing w:after="40" w:before="0"/>
      </w:pPr>
      <w:r>
        <w:rPr>
          <w:rFonts w:ascii="Calibri" w:hAnsi="Calibri"/>
          <w:b/>
          <w:sz w:val="20"/>
        </w:rPr>
        <w:t>Amgen:</w:t>
      </w:r>
      <w:r>
        <w:rPr>
          <w:rFonts w:ascii="Calibri" w:hAnsi="Calibri"/>
          <w:sz w:val="20"/>
        </w:rPr>
        <w:t xml:space="preserve"> Repatha (ASCVD) + TEZSPIRE (Severe Asthma)—large-molecule cardio-metabolic and respiratory</w:t>
      </w:r>
    </w:p>
    <w:p>
      <w:pPr>
        <w:pStyle w:val="ListBullet"/>
        <w:spacing w:after="40" w:before="0"/>
      </w:pPr>
      <w:r>
        <w:rPr>
          <w:rFonts w:ascii="Calibri" w:hAnsi="Calibri"/>
          <w:b/>
          <w:sz w:val="20"/>
        </w:rPr>
        <w:t>PTC Therapeutics:</w:t>
      </w:r>
      <w:r>
        <w:rPr>
          <w:rFonts w:ascii="Calibri" w:hAnsi="Calibri"/>
          <w:sz w:val="20"/>
        </w:rPr>
        <w:t xml:space="preserve"> Sephience (PKU) + Emflaza (DMD)—rare disease with genetic testing integration</w:t>
      </w:r>
    </w:p>
    <w:p>
      <w:pPr>
        <w:spacing w:after="80"/>
      </w:pPr>
      <w:r>
        <w:rPr>
          <w:rFonts w:ascii="Calibri" w:hAnsi="Calibri"/>
          <w:color w:val="555555"/>
          <w:sz w:val="20"/>
        </w:rPr>
        <w:t>Each brand pack carries its own drug profiles, therapeutic areas, support pathways, agent personas, visual identity, and compliance guardrails. New brands can be onboarded without re-architecting the platform.</w:t>
      </w:r>
    </w:p>
    <w:p>
      <w:pPr>
        <w:pStyle w:val="Heading2"/>
        <w:spacing w:before="120" w:after="80"/>
      </w:pPr>
      <w:r>
        <w:rPr>
          <w:rFonts w:ascii="Calibri" w:hAnsi="Calibri"/>
          <w:color w:val="1A1A2E"/>
        </w:rPr>
        <w:t>Who This Resonates With</w:t>
      </w:r>
    </w:p>
    <w:tbl>
      <w:tblPr>
        <w:tblStyle w:val="LightGrid-Accent1"/>
        <w:tblW w:type="auto" w:w="0"/>
        <w:jc w:val="center"/>
        <w:tblLook w:firstColumn="1" w:firstRow="1" w:lastColumn="0" w:lastRow="0" w:noHBand="0" w:noVBand="1" w:val="04A0"/>
      </w:tblPr>
      <w:tblGrid>
        <w:gridCol w:w="5100"/>
        <w:gridCol w:w="5100"/>
      </w:tblGrid>
      <w:tr>
        <w:tc>
          <w:tcPr>
            <w:tcW w:type="dxa" w:w="5100"/>
          </w:tcPr>
          <w:p>
            <w:r>
              <w:rPr>
                <w:rFonts w:ascii="Calibri" w:hAnsi="Calibri"/>
                <w:b/>
                <w:sz w:val="18"/>
              </w:rPr>
              <w:t>Stakeholder</w:t>
            </w:r>
          </w:p>
        </w:tc>
        <w:tc>
          <w:tcPr>
            <w:tcW w:type="dxa" w:w="5100"/>
          </w:tcPr>
          <w:p>
            <w:r>
              <w:rPr>
                <w:rFonts w:ascii="Calibri" w:hAnsi="Calibri"/>
                <w:b/>
                <w:sz w:val="18"/>
              </w:rPr>
              <w:t>What They Care About</w:t>
            </w:r>
          </w:p>
        </w:tc>
      </w:tr>
      <w:tr>
        <w:tc>
          <w:tcPr>
            <w:tcW w:type="dxa" w:w="5100"/>
          </w:tcPr>
          <w:p>
            <w:r>
              <w:rPr>
                <w:rFonts w:ascii="Calibri" w:hAnsi="Calibri"/>
                <w:b/>
                <w:sz w:val="18"/>
              </w:rPr>
              <w:t>Patient Services / Hub Ops</w:t>
            </w:r>
          </w:p>
        </w:tc>
        <w:tc>
          <w:tcPr>
            <w:tcW w:type="dxa" w:w="5100"/>
          </w:tcPr>
          <w:p>
            <w:r>
              <w:rPr>
                <w:rFonts w:ascii="Calibri" w:hAnsi="Calibri"/>
                <w:sz w:val="18"/>
              </w:rPr>
              <w:t>Faster enrollment, copay activation, adherence lift, reduced call center headcount</w:t>
            </w:r>
          </w:p>
        </w:tc>
      </w:tr>
      <w:tr>
        <w:tc>
          <w:tcPr>
            <w:tcW w:type="dxa" w:w="5100"/>
          </w:tcPr>
          <w:p>
            <w:r>
              <w:rPr>
                <w:rFonts w:ascii="Calibri" w:hAnsi="Calibri"/>
                <w:b/>
                <w:sz w:val="18"/>
              </w:rPr>
              <w:t>Medical Affairs / MSLs</w:t>
            </w:r>
          </w:p>
        </w:tc>
        <w:tc>
          <w:tcPr>
            <w:tcW w:type="dxa" w:w="5100"/>
          </w:tcPr>
          <w:p>
            <w:r>
              <w:rPr>
                <w:rFonts w:ascii="Calibri" w:hAnsi="Calibri"/>
                <w:sz w:val="18"/>
              </w:rPr>
              <w:t>Pre-call intelligence, follow-up request triage, competitive intel capture, off-label routing</w:t>
            </w:r>
          </w:p>
        </w:tc>
      </w:tr>
      <w:tr>
        <w:tc>
          <w:tcPr>
            <w:tcW w:type="dxa" w:w="5100"/>
          </w:tcPr>
          <w:p>
            <w:r>
              <w:rPr>
                <w:rFonts w:ascii="Calibri" w:hAnsi="Calibri"/>
                <w:b/>
                <w:sz w:val="18"/>
              </w:rPr>
              <w:t>Commercial / Brand Ops</w:t>
            </w:r>
          </w:p>
        </w:tc>
        <w:tc>
          <w:tcPr>
            <w:tcW w:type="dxa" w:w="5100"/>
          </w:tcPr>
          <w:p>
            <w:r>
              <w:rPr>
                <w:rFonts w:ascii="Calibri" w:hAnsi="Calibri"/>
                <w:sz w:val="18"/>
              </w:rPr>
              <w:t>Signal-driven outreach ROI, prescriber engagement lift, formulary access support</w:t>
            </w:r>
          </w:p>
        </w:tc>
      </w:tr>
      <w:tr>
        <w:tc>
          <w:tcPr>
            <w:tcW w:type="dxa" w:w="5100"/>
          </w:tcPr>
          <w:p>
            <w:r>
              <w:rPr>
                <w:rFonts w:ascii="Calibri" w:hAnsi="Calibri"/>
                <w:b/>
                <w:sz w:val="18"/>
              </w:rPr>
              <w:t>Pharmacovigilance</w:t>
            </w:r>
          </w:p>
        </w:tc>
        <w:tc>
          <w:tcPr>
            <w:tcW w:type="dxa" w:w="5100"/>
          </w:tcPr>
          <w:p>
            <w:r>
              <w:rPr>
                <w:rFonts w:ascii="Calibri" w:hAnsi="Calibri"/>
                <w:sz w:val="18"/>
              </w:rPr>
              <w:t>First-touch AE capture, pregnancy exposure reporting, 15-day expedited reporting visibility</w:t>
            </w:r>
          </w:p>
        </w:tc>
      </w:tr>
      <w:tr>
        <w:tc>
          <w:tcPr>
            <w:tcW w:type="dxa" w:w="5100"/>
          </w:tcPr>
          <w:p>
            <w:r>
              <w:rPr>
                <w:rFonts w:ascii="Calibri" w:hAnsi="Calibri"/>
                <w:b/>
                <w:sz w:val="18"/>
              </w:rPr>
              <w:t>Compliance / Legal</w:t>
            </w:r>
          </w:p>
        </w:tc>
        <w:tc>
          <w:tcPr>
            <w:tcW w:type="dxa" w:w="5100"/>
          </w:tcPr>
          <w:p>
            <w:r>
              <w:rPr>
                <w:rFonts w:ascii="Calibri" w:hAnsi="Calibri"/>
                <w:sz w:val="18"/>
              </w:rPr>
              <w:t>Real-time promotional deviation detection, audit trail completeness, guardrail enforcement</w:t>
            </w:r>
          </w:p>
        </w:tc>
      </w:tr>
    </w:tbl>
    <w:p>
      <w:pPr>
        <w:pStyle w:val="Heading2"/>
        <w:spacing w:before="120" w:after="80"/>
      </w:pPr>
      <w:r>
        <w:rPr>
          <w:rFonts w:ascii="Calibri" w:hAnsi="Calibri"/>
          <w:color w:val="1A1A2E"/>
        </w:rPr>
        <w:t>Talk Track Tips</w:t>
      </w:r>
    </w:p>
    <w:p>
      <w:pPr>
        <w:pStyle w:val="ListBullet"/>
        <w:spacing w:after="40" w:before="0"/>
      </w:pPr>
      <w:r>
        <w:rPr>
          <w:rFonts w:ascii="Calibri" w:hAnsi="Calibri"/>
          <w:b/>
          <w:sz w:val="20"/>
        </w:rPr>
        <w:t xml:space="preserve">Lead with the signal: </w:t>
      </w:r>
      <w:r>
        <w:rPr>
          <w:rFonts w:ascii="Calibri" w:hAnsi="Calibri"/>
          <w:sz w:val="20"/>
        </w:rPr>
        <w:t xml:space="preserve"> "What if your hub services could detect a caregiver in distress from their search behavior—before they ever pick up the phone—and proactively reach out with the right support?"</w:t>
      </w:r>
    </w:p>
    <w:p>
      <w:pPr>
        <w:pStyle w:val="ListBullet"/>
        <w:spacing w:after="40" w:before="0"/>
      </w:pPr>
      <w:r>
        <w:rPr>
          <w:rFonts w:ascii="Calibri" w:hAnsi="Calibri"/>
          <w:b/>
          <w:sz w:val="20"/>
        </w:rPr>
        <w:t xml:space="preserve">Compliance as value: </w:t>
      </w:r>
      <w:r>
        <w:rPr>
          <w:rFonts w:ascii="Calibri" w:hAnsi="Calibri"/>
          <w:sz w:val="20"/>
        </w:rPr>
        <w:t xml:space="preserve"> "Every agent captures adverse events with FDA minimum elements, screens for anti-kickback before activating copay cards, and enforces on-label boundaries automatically. Compliance isn't a gate—it's embedded."</w:t>
      </w:r>
    </w:p>
    <w:p>
      <w:pPr>
        <w:pStyle w:val="ListBullet"/>
        <w:spacing w:after="40" w:before="0"/>
      </w:pPr>
      <w:r>
        <w:rPr>
          <w:rFonts w:ascii="Calibri" w:hAnsi="Calibri"/>
          <w:b/>
          <w:sz w:val="20"/>
        </w:rPr>
        <w:t xml:space="preserve">Multi-brand proof: </w:t>
      </w:r>
      <w:r>
        <w:rPr>
          <w:rFonts w:ascii="Calibri" w:hAnsi="Calibri"/>
          <w:sz w:val="20"/>
        </w:rPr>
        <w:t xml:space="preserve"> "This isn't a single-brand tool. We demo three brands—neurology, cardio-metabolic, rare disease—from the same platform. Your entire portfolio, one deployment."</w:t>
      </w:r>
    </w:p>
    <w:p>
      <w:pPr>
        <w:pStyle w:val="ListBullet"/>
        <w:spacing w:after="40" w:before="0"/>
      </w:pPr>
      <w:r>
        <w:rPr>
          <w:rFonts w:ascii="Calibri" w:hAnsi="Calibri"/>
          <w:b/>
          <w:sz w:val="20"/>
        </w:rPr>
        <w:t xml:space="preserve">Downstream value: </w:t>
      </w:r>
      <w:r>
        <w:rPr>
          <w:rFonts w:ascii="Calibri" w:hAnsi="Calibri"/>
          <w:sz w:val="20"/>
        </w:rPr>
        <w:t xml:space="preserve"> "After 50 agent interactions, your MSL team has a prioritized follow-up queue, your PV team has structured AE cases, and your commercial team has engagement funnel data—all without a single manual note."</w:t>
      </w:r>
    </w:p>
    <w:p>
      <w:pPr>
        <w:spacing w:before="240"/>
      </w:pPr>
      <w:r>
        <w:rPr>
          <w:color w:val="DDDDDD"/>
          <w:sz w:val="12"/>
        </w:rPr>
        <w:t>_______________________________________________________________________________________________</w:t>
      </w:r>
    </w:p>
    <w:p>
      <w:pPr>
        <w:jc w:val="center"/>
      </w:pPr>
      <w:r>
        <w:rPr>
          <w:rFonts w:ascii="Calibri" w:hAnsi="Calibri"/>
          <w:i/>
          <w:color w:val="555555"/>
          <w:sz w:val="16"/>
        </w:rPr>
        <w:t>Internal Use Only  |  Vi Technologies  |  March 2026</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