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Consumer Complaint Risk Intelligence Platform</w:t>
      </w:r>
    </w:p>
    <w:p>
      <w:pPr>
        <w:pStyle w:val="Heading2"/>
      </w:pPr>
      <w:r>
        <w:t>Executive summary</w:t>
      </w:r>
    </w:p>
    <w:p>
      <w:pPr>
        <w:spacing w:after="100"/>
      </w:pPr>
      <w:r>
        <w:t>This portfolio project turns CFPB consumer complaint records into a reproducible, auditable workflow for complaint-volume reporting, exploratory risk triage, and (when suitable data are available) monetary-relief modeling. Its intended audience is a bank compliance or consumer-protection team that must decide where to review complaints, products, companies, and geographies. The output is a prioritization aid: CFPB complaint dispositions are not a verified bank loss, a finding of misconduct, or an individual consumer risk score.</w:t>
      </w:r>
    </w:p>
    <w:p>
      <w:pPr>
        <w:spacing w:after="100"/>
      </w:pPr>
      <w:r>
        <w:t xml:space="preserve">The supplied CFPB snapshot was fully aggregated for Stage 7. It has </w:t>
      </w:r>
      <w:r>
        <w:rPr>
          <w:b/>
        </w:rPr>
        <w:t>18,531,443 rows</w:t>
      </w:r>
      <w:r>
        <w:t>, spanning the CFPB export's 15 columns, and is included as a 333 MiB gzip CSV under Git LFS. It has no complaint narrative field. Consequently, regex narrative analysis, TF-IDF issue classification, DistilBERT fine-tuning, and the text-versus-structured feature comparison were not evaluated on this snapshot. The relief model implementation is present, but a model was not trained and no model metrics or drivers are reported.</w:t>
      </w:r>
    </w:p>
    <w:p>
      <w:pPr>
        <w:spacing w:after="100"/>
      </w:pPr>
      <w:r>
        <w:t xml:space="preserve">The full-data descriptive results include </w:t>
      </w:r>
      <w:r>
        <w:rPr>
          <w:b/>
        </w:rPr>
        <w:t>222,483 explicit monetary-relief dispositions</w:t>
      </w:r>
      <w:r>
        <w:t xml:space="preserve">, equal to </w:t>
      </w:r>
      <w:r>
        <w:rPr>
          <w:b/>
        </w:rPr>
        <w:t>1.2467%</w:t>
      </w:r>
      <w:r>
        <w:t xml:space="preserve"> of the </w:t>
      </w:r>
      <w:r>
        <w:rPr>
          <w:b/>
        </w:rPr>
        <w:t>17,845,525</w:t>
      </w:r>
      <w:r>
        <w:t xml:space="preserve"> complaints with classifiable closed outcomes under the project's target definition. Stage 7 exports eight aggregate CSV tables and a four-item recommendations CSV for Power BI. Census population data were not supplied, so per-capita state values remain blank.</w:t>
      </w:r>
    </w:p>
    <w:p>
      <w:pPr>
        <w:pStyle w:val="Heading2"/>
      </w:pPr>
      <w:r>
        <w:t>Business problem and intended use</w:t>
      </w:r>
    </w:p>
    <w:p>
      <w:pPr>
        <w:spacing w:after="100"/>
      </w:pPr>
      <w:r>
        <w:t>A financial institution may receive thousands of complaints across different products, issue types, locations, and service channels. Compliance operations need a consistent way to:</w:t>
      </w:r>
    </w:p>
    <w:p>
      <w:pPr>
        <w:pStyle w:val="ListBullet"/>
      </w:pPr>
      <w:r>
        <w:t>monitor complaint volumes and changes over time;</w:t>
      </w:r>
    </w:p>
    <w:p>
      <w:pPr>
        <w:pStyle w:val="ListBullet"/>
      </w:pPr>
      <w:r>
        <w:t>identify recurring complaint themes for investigation;</w:t>
      </w:r>
    </w:p>
    <w:p>
      <w:pPr>
        <w:pStyle w:val="ListBullet"/>
      </w:pPr>
      <w:r>
        <w:t>compare observed relief dispositions across companies;</w:t>
      </w:r>
    </w:p>
    <w:p>
      <w:pPr>
        <w:pStyle w:val="ListBullet"/>
      </w:pPr>
      <w:r>
        <w:t>compare state complaint intensity without treating large-population states as inherently higher-risk; and</w:t>
      </w:r>
    </w:p>
    <w:p>
      <w:pPr>
        <w:pStyle w:val="ListBullet"/>
      </w:pPr>
      <w:r>
        <w:t>develop predictive models only when inputs, labels, and evaluation data are adequate.</w:t>
      </w:r>
    </w:p>
    <w:p>
      <w:pPr>
        <w:spacing w:after="100"/>
      </w:pPr>
      <w:r>
        <w:t>This project supports the first four activities descriptively and provides model workflows for future use. It does not establish causality, regulatory noncompliance, confirmed fraud, or an expected monetary cost to a particular bank.</w:t>
      </w:r>
    </w:p>
    <w:p>
      <w:pPr>
        <w:pStyle w:val="Heading2"/>
      </w:pPr>
      <w:r>
        <w:t>Data source and profile</w:t>
      </w:r>
    </w:p>
    <w:p>
      <w:pPr>
        <w:spacing w:after="100"/>
      </w:pPr>
      <w:r>
        <w:rPr>
          <w:b/>
        </w:rPr>
        <w:t>Source:</w:t>
      </w:r>
      <w:r>
        <w:t xml:space="preserve"> the user-supplied export of the public CFPB Consumer Complaint Database (https://www.consumerfinance.gov/data-research/consumer-complaints/). The repository snapshot is </w:t>
      </w:r>
      <w:r>
        <w:rPr>
          <w:rFonts w:ascii="Cascadia Code" w:hAnsi="Cascadia Code"/>
          <w:color w:val="693B7D"/>
          <w:sz w:val="18"/>
        </w:rPr>
        <w:t>data/raw/complaints.csv.gz</w:t>
      </w:r>
      <w:r>
        <w:t>, tracked using Git LFS. The original CSV is 5,617,801,879 bytes (about 5.23 GiB); the gzip file is 349,023,003 bytes (about 333 MiB). The exact source download date and source query parameters were not retained as snapshot metadata; consumers should record those when refreshing the data.</w:t>
      </w:r>
    </w:p>
    <w:tbl>
      <w:tblPr>
        <w:tblStyle w:val="LightShading-Accent1"/>
        <w:tblW w:type="auto" w:w="0"/>
        <w:tblLayout w:type="autofit"/>
        <w:tblLook w:firstColumn="1" w:firstRow="1" w:lastColumn="0" w:lastRow="0" w:noHBand="0" w:noVBand="1" w:val="04A0"/>
      </w:tblPr>
      <w:tblGrid>
        <w:gridCol w:w="5040"/>
        <w:gridCol w:w="5040"/>
      </w:tblGrid>
      <w:tr>
        <w:tc>
          <w:tcPr>
            <w:tcW w:type="dxa" w:w="5040"/>
            <w:shd w:fill="12304A"/>
          </w:tcPr>
          <w:p>
            <w:r>
              <w:rPr>
                <w:b/>
                <w:color w:val="FFFFFF"/>
                <w:sz w:val="16"/>
              </w:rPr>
            </w:r>
            <w:r>
              <w:rPr>
                <w:b/>
                <w:color w:val="FFFFFF"/>
                <w:sz w:val="16"/>
              </w:rPr>
              <w:t>Profile item</w:t>
            </w:r>
          </w:p>
        </w:tc>
        <w:tc>
          <w:tcPr>
            <w:tcW w:type="dxa" w:w="5040"/>
            <w:shd w:fill="12304A"/>
          </w:tcPr>
          <w:p>
            <w:r>
              <w:rPr>
                <w:b/>
                <w:color w:val="FFFFFF"/>
                <w:sz w:val="16"/>
              </w:rPr>
            </w:r>
            <w:r>
              <w:rPr>
                <w:b/>
                <w:color w:val="FFFFFF"/>
                <w:sz w:val="16"/>
              </w:rPr>
              <w:t>Observed value</w:t>
            </w:r>
          </w:p>
        </w:tc>
      </w:tr>
      <w:tr>
        <w:tc>
          <w:tcPr>
            <w:tcW w:type="dxa" w:w="5040"/>
          </w:tcPr>
          <w:p>
            <w:r>
              <w:rPr>
                <w:sz w:val="16"/>
              </w:rPr>
            </w:r>
            <w:r>
              <w:rPr>
                <w:sz w:val="16"/>
              </w:rPr>
              <w:t>Complaint rows</w:t>
            </w:r>
          </w:p>
        </w:tc>
        <w:tc>
          <w:tcPr>
            <w:tcW w:type="dxa" w:w="5040"/>
          </w:tcPr>
          <w:p>
            <w:r>
              <w:rPr>
                <w:sz w:val="16"/>
              </w:rPr>
            </w:r>
            <w:r>
              <w:rPr>
                <w:sz w:val="16"/>
              </w:rPr>
              <w:t>18,531,443</w:t>
            </w:r>
          </w:p>
        </w:tc>
      </w:tr>
      <w:tr>
        <w:tc>
          <w:tcPr>
            <w:tcW w:type="dxa" w:w="5040"/>
          </w:tcPr>
          <w:p>
            <w:r>
              <w:rPr>
                <w:sz w:val="16"/>
              </w:rPr>
            </w:r>
            <w:r>
              <w:rPr>
                <w:sz w:val="16"/>
              </w:rPr>
              <w:t>Source columns</w:t>
            </w:r>
          </w:p>
        </w:tc>
        <w:tc>
          <w:tcPr>
            <w:tcW w:type="dxa" w:w="5040"/>
          </w:tcPr>
          <w:p>
            <w:r>
              <w:rPr>
                <w:sz w:val="16"/>
              </w:rPr>
            </w:r>
            <w:r>
              <w:rPr>
                <w:sz w:val="16"/>
              </w:rPr>
              <w:t>15</w:t>
            </w:r>
          </w:p>
        </w:tc>
      </w:tr>
      <w:tr>
        <w:tc>
          <w:tcPr>
            <w:tcW w:type="dxa" w:w="5040"/>
          </w:tcPr>
          <w:p>
            <w:r>
              <w:rPr>
                <w:sz w:val="16"/>
              </w:rPr>
            </w:r>
            <w:r>
              <w:rPr>
                <w:sz w:val="16"/>
              </w:rPr>
              <w:t>Complaint narrative column</w:t>
            </w:r>
          </w:p>
        </w:tc>
        <w:tc>
          <w:tcPr>
            <w:tcW w:type="dxa" w:w="5040"/>
          </w:tcPr>
          <w:p>
            <w:r>
              <w:rPr>
                <w:sz w:val="16"/>
              </w:rPr>
            </w:r>
            <w:r>
              <w:rPr>
                <w:sz w:val="16"/>
              </w:rPr>
              <w:t>Absent</w:t>
            </w:r>
          </w:p>
        </w:tc>
      </w:tr>
      <w:tr>
        <w:tc>
          <w:tcPr>
            <w:tcW w:type="dxa" w:w="5040"/>
          </w:tcPr>
          <w:p>
            <w:r>
              <w:rPr>
                <w:sz w:val="16"/>
              </w:rPr>
            </w:r>
            <w:r>
              <w:rPr>
                <w:rFonts w:ascii="Cascadia Code" w:hAnsi="Cascadia Code"/>
                <w:color w:val="693B7D"/>
                <w:sz w:val="16"/>
              </w:rPr>
              <w:t>Company response to consumer</w:t>
            </w:r>
            <w:r>
              <w:rPr>
                <w:sz w:val="16"/>
              </w:rPr>
              <w:t xml:space="preserve"> = </w:t>
            </w:r>
            <w:r>
              <w:rPr>
                <w:rFonts w:ascii="Cascadia Code" w:hAnsi="Cascadia Code"/>
                <w:color w:val="693B7D"/>
                <w:sz w:val="16"/>
              </w:rPr>
              <w:t>Closed with monetary relief</w:t>
            </w:r>
          </w:p>
        </w:tc>
        <w:tc>
          <w:tcPr>
            <w:tcW w:type="dxa" w:w="5040"/>
          </w:tcPr>
          <w:p>
            <w:r>
              <w:rPr>
                <w:sz w:val="16"/>
              </w:rPr>
            </w:r>
            <w:r>
              <w:rPr>
                <w:sz w:val="16"/>
              </w:rPr>
              <w:t>222,483</w:t>
            </w:r>
          </w:p>
        </w:tc>
      </w:tr>
      <w:tr>
        <w:tc>
          <w:tcPr>
            <w:tcW w:type="dxa" w:w="5040"/>
          </w:tcPr>
          <w:p>
            <w:r>
              <w:rPr>
                <w:sz w:val="16"/>
              </w:rPr>
            </w:r>
            <w:r>
              <w:rPr>
                <w:sz w:val="16"/>
              </w:rPr>
              <w:t>Explicit classifiable negative outcomes</w:t>
            </w:r>
          </w:p>
        </w:tc>
        <w:tc>
          <w:tcPr>
            <w:tcW w:type="dxa" w:w="5040"/>
          </w:tcPr>
          <w:p>
            <w:r>
              <w:rPr>
                <w:sz w:val="16"/>
              </w:rPr>
            </w:r>
            <w:r>
              <w:rPr>
                <w:sz w:val="16"/>
              </w:rPr>
              <w:t>17,623,042</w:t>
            </w:r>
          </w:p>
        </w:tc>
      </w:tr>
      <w:tr>
        <w:tc>
          <w:tcPr>
            <w:tcW w:type="dxa" w:w="5040"/>
          </w:tcPr>
          <w:p>
            <w:r>
              <w:rPr>
                <w:sz w:val="16"/>
              </w:rPr>
            </w:r>
            <w:r>
              <w:rPr>
                <w:sz w:val="16"/>
              </w:rPr>
              <w:t>Total classifiable closed outcomes</w:t>
            </w:r>
          </w:p>
        </w:tc>
        <w:tc>
          <w:tcPr>
            <w:tcW w:type="dxa" w:w="5040"/>
          </w:tcPr>
          <w:p>
            <w:r>
              <w:rPr>
                <w:sz w:val="16"/>
              </w:rPr>
            </w:r>
            <w:r>
              <w:rPr>
                <w:sz w:val="16"/>
              </w:rPr>
              <w:t>17,845,525</w:t>
            </w:r>
          </w:p>
        </w:tc>
      </w:tr>
      <w:tr>
        <w:tc>
          <w:tcPr>
            <w:tcW w:type="dxa" w:w="5040"/>
          </w:tcPr>
          <w:p>
            <w:r>
              <w:rPr>
                <w:sz w:val="16"/>
              </w:rPr>
            </w:r>
            <w:r>
              <w:rPr>
                <w:sz w:val="16"/>
              </w:rPr>
              <w:t>Monetary-relief share of classifiable outcomes</w:t>
            </w:r>
          </w:p>
        </w:tc>
        <w:tc>
          <w:tcPr>
            <w:tcW w:type="dxa" w:w="5040"/>
          </w:tcPr>
          <w:p>
            <w:r>
              <w:rPr>
                <w:sz w:val="16"/>
              </w:rPr>
            </w:r>
            <w:r>
              <w:rPr>
                <w:sz w:val="16"/>
              </w:rPr>
              <w:t>1.2467%</w:t>
            </w:r>
          </w:p>
        </w:tc>
      </w:tr>
      <w:tr>
        <w:tc>
          <w:tcPr>
            <w:tcW w:type="dxa" w:w="5040"/>
          </w:tcPr>
          <w:p>
            <w:r>
              <w:rPr>
                <w:sz w:val="16"/>
              </w:rPr>
            </w:r>
            <w:r>
              <w:rPr>
                <w:sz w:val="16"/>
              </w:rPr>
              <w:t>Excluded missing, ambiguous, unresolved, untimely, or unrecognized outcomes</w:t>
            </w:r>
          </w:p>
        </w:tc>
        <w:tc>
          <w:tcPr>
            <w:tcW w:type="dxa" w:w="5040"/>
          </w:tcPr>
          <w:p>
            <w:r>
              <w:rPr>
                <w:sz w:val="16"/>
              </w:rPr>
            </w:r>
            <w:r>
              <w:rPr>
                <w:sz w:val="16"/>
              </w:rPr>
              <w:t>685,918</w:t>
            </w:r>
          </w:p>
        </w:tc>
      </w:tr>
    </w:tbl>
    <w:p>
      <w:pPr>
        <w:spacing w:after="40"/>
      </w:pPr>
    </w:p>
    <w:p>
      <w:pPr>
        <w:spacing w:after="100"/>
      </w:pPr>
      <w:r>
        <w:t xml:space="preserve">The 15 columns are </w:t>
      </w:r>
      <w:r>
        <w:rPr>
          <w:rFonts w:ascii="Cascadia Code" w:hAnsi="Cascadia Code"/>
          <w:color w:val="693B7D"/>
          <w:sz w:val="18"/>
        </w:rPr>
        <w:t>Date received</w:t>
      </w:r>
      <w:r>
        <w:t xml:space="preserve">, </w:t>
      </w:r>
      <w:r>
        <w:rPr>
          <w:rFonts w:ascii="Cascadia Code" w:hAnsi="Cascadia Code"/>
          <w:color w:val="693B7D"/>
          <w:sz w:val="18"/>
        </w:rPr>
        <w:t>Product</w:t>
      </w:r>
      <w:r>
        <w:t xml:space="preserve">, </w:t>
      </w:r>
      <w:r>
        <w:rPr>
          <w:rFonts w:ascii="Cascadia Code" w:hAnsi="Cascadia Code"/>
          <w:color w:val="693B7D"/>
          <w:sz w:val="18"/>
        </w:rPr>
        <w:t>Sub-product</w:t>
      </w:r>
      <w:r>
        <w:t xml:space="preserve">, </w:t>
      </w:r>
      <w:r>
        <w:rPr>
          <w:rFonts w:ascii="Cascadia Code" w:hAnsi="Cascadia Code"/>
          <w:color w:val="693B7D"/>
          <w:sz w:val="18"/>
        </w:rPr>
        <w:t>Issue</w:t>
      </w:r>
      <w:r>
        <w:t xml:space="preserve">, </w:t>
      </w:r>
      <w:r>
        <w:rPr>
          <w:rFonts w:ascii="Cascadia Code" w:hAnsi="Cascadia Code"/>
          <w:color w:val="693B7D"/>
          <w:sz w:val="18"/>
        </w:rPr>
        <w:t>Sub-issue</w:t>
      </w:r>
      <w:r>
        <w:t xml:space="preserve">, </w:t>
      </w:r>
      <w:r>
        <w:rPr>
          <w:rFonts w:ascii="Cascadia Code" w:hAnsi="Cascadia Code"/>
          <w:color w:val="693B7D"/>
          <w:sz w:val="18"/>
        </w:rPr>
        <w:t>Company public response</w:t>
      </w:r>
      <w:r>
        <w:t xml:space="preserve">, </w:t>
      </w:r>
      <w:r>
        <w:rPr>
          <w:rFonts w:ascii="Cascadia Code" w:hAnsi="Cascadia Code"/>
          <w:color w:val="693B7D"/>
          <w:sz w:val="18"/>
        </w:rPr>
        <w:t>Company</w:t>
      </w:r>
      <w:r>
        <w:t xml:space="preserve">, </w:t>
      </w:r>
      <w:r>
        <w:rPr>
          <w:rFonts w:ascii="Cascadia Code" w:hAnsi="Cascadia Code"/>
          <w:color w:val="693B7D"/>
          <w:sz w:val="18"/>
        </w:rPr>
        <w:t>State</w:t>
      </w:r>
      <w:r>
        <w:t xml:space="preserve">, </w:t>
      </w:r>
      <w:r>
        <w:rPr>
          <w:rFonts w:ascii="Cascadia Code" w:hAnsi="Cascadia Code"/>
          <w:color w:val="693B7D"/>
          <w:sz w:val="18"/>
        </w:rPr>
        <w:t>ZIP code</w:t>
      </w:r>
      <w:r>
        <w:t xml:space="preserve">, </w:t>
      </w:r>
      <w:r>
        <w:rPr>
          <w:rFonts w:ascii="Cascadia Code" w:hAnsi="Cascadia Code"/>
          <w:color w:val="693B7D"/>
          <w:sz w:val="18"/>
        </w:rPr>
        <w:t>Tags</w:t>
      </w:r>
      <w:r>
        <w:t xml:space="preserve">, </w:t>
      </w:r>
      <w:r>
        <w:rPr>
          <w:rFonts w:ascii="Cascadia Code" w:hAnsi="Cascadia Code"/>
          <w:color w:val="693B7D"/>
          <w:sz w:val="18"/>
        </w:rPr>
        <w:t>Submitted via</w:t>
      </w:r>
      <w:r>
        <w:t xml:space="preserve">, </w:t>
      </w:r>
      <w:r>
        <w:rPr>
          <w:rFonts w:ascii="Cascadia Code" w:hAnsi="Cascadia Code"/>
          <w:color w:val="693B7D"/>
          <w:sz w:val="18"/>
        </w:rPr>
        <w:t>Date sent to company</w:t>
      </w:r>
      <w:r>
        <w:t xml:space="preserve">, </w:t>
      </w:r>
      <w:r>
        <w:rPr>
          <w:rFonts w:ascii="Cascadia Code" w:hAnsi="Cascadia Code"/>
          <w:color w:val="693B7D"/>
          <w:sz w:val="18"/>
        </w:rPr>
        <w:t>Company response to consumer</w:t>
      </w:r>
      <w:r>
        <w:t xml:space="preserve">, </w:t>
      </w:r>
      <w:r>
        <w:rPr>
          <w:rFonts w:ascii="Cascadia Code" w:hAnsi="Cascadia Code"/>
          <w:color w:val="693B7D"/>
          <w:sz w:val="18"/>
        </w:rPr>
        <w:t>Timely response?</w:t>
      </w:r>
      <w:r>
        <w:t xml:space="preserve">, and </w:t>
      </w:r>
      <w:r>
        <w:rPr>
          <w:rFonts w:ascii="Cascadia Code" w:hAnsi="Cascadia Code"/>
          <w:color w:val="693B7D"/>
          <w:sz w:val="18"/>
        </w:rPr>
        <w:t>Complaint ID</w:t>
      </w:r>
      <w:r>
        <w:t xml:space="preserve">. The snapshot does not contain </w:t>
      </w:r>
      <w:r>
        <w:rPr>
          <w:rFonts w:ascii="Cascadia Code" w:hAnsi="Cascadia Code"/>
          <w:color w:val="693B7D"/>
          <w:sz w:val="18"/>
        </w:rPr>
        <w:t>Consumer complaint narrative</w:t>
      </w:r>
      <w:r>
        <w:t xml:space="preserve"> or </w:t>
      </w:r>
      <w:r>
        <w:rPr>
          <w:rFonts w:ascii="Cascadia Code" w:hAnsi="Cascadia Code"/>
          <w:color w:val="693B7D"/>
          <w:sz w:val="18"/>
        </w:rPr>
        <w:t>Consumer disputed?</w:t>
      </w:r>
      <w:r>
        <w:t>.</w:t>
      </w:r>
    </w:p>
    <w:p>
      <w:pPr>
        <w:pStyle w:val="Heading3"/>
      </w:pPr>
      <w:r>
        <w:t>Relief target definition</w:t>
      </w:r>
    </w:p>
    <w:p>
      <w:pPr>
        <w:spacing w:after="100"/>
      </w:pPr>
      <w:r>
        <w:t xml:space="preserve">The binary Stage 6 target is deliberately narrow and is created from </w:t>
      </w:r>
      <w:r>
        <w:rPr>
          <w:rFonts w:ascii="Cascadia Code" w:hAnsi="Cascadia Code"/>
          <w:color w:val="693B7D"/>
          <w:sz w:val="18"/>
        </w:rPr>
        <w:t>Company response to consumer</w:t>
      </w:r>
      <w:r>
        <w:t>:</w:t>
      </w:r>
    </w:p>
    <w:tbl>
      <w:tblPr>
        <w:tblStyle w:val="LightShading-Accent1"/>
        <w:tblW w:type="auto" w:w="0"/>
        <w:tblLayout w:type="autofit"/>
        <w:tblLook w:firstColumn="1" w:firstRow="1" w:lastColumn="0" w:lastRow="0" w:noHBand="0" w:noVBand="1" w:val="04A0"/>
      </w:tblPr>
      <w:tblGrid>
        <w:gridCol w:w="5040"/>
        <w:gridCol w:w="5040"/>
      </w:tblGrid>
      <w:tr>
        <w:tc>
          <w:tcPr>
            <w:tcW w:type="dxa" w:w="5040"/>
            <w:shd w:fill="12304A"/>
          </w:tcPr>
          <w:p>
            <w:r>
              <w:rPr>
                <w:b/>
                <w:color w:val="FFFFFF"/>
                <w:sz w:val="16"/>
              </w:rPr>
            </w:r>
            <w:r>
              <w:rPr>
                <w:b/>
                <w:color w:val="FFFFFF"/>
                <w:sz w:val="16"/>
              </w:rPr>
              <w:t>Target</w:t>
            </w:r>
          </w:p>
        </w:tc>
        <w:tc>
          <w:tcPr>
            <w:tcW w:type="dxa" w:w="5040"/>
            <w:shd w:fill="12304A"/>
          </w:tcPr>
          <w:p>
            <w:r>
              <w:rPr>
                <w:b/>
                <w:color w:val="FFFFFF"/>
                <w:sz w:val="16"/>
              </w:rPr>
            </w:r>
            <w:r>
              <w:rPr>
                <w:b/>
                <w:color w:val="FFFFFF"/>
                <w:sz w:val="16"/>
              </w:rPr>
              <w:t>CFPB response values</w:t>
            </w:r>
          </w:p>
        </w:tc>
      </w:tr>
      <w:tr>
        <w:tc>
          <w:tcPr>
            <w:tcW w:type="dxa" w:w="5040"/>
          </w:tcPr>
          <w:p>
            <w:r>
              <w:rPr>
                <w:sz w:val="16"/>
              </w:rPr>
            </w:r>
            <w:r>
              <w:rPr>
                <w:sz w:val="16"/>
              </w:rPr>
              <w:t>Positive (1)</w:t>
            </w:r>
          </w:p>
        </w:tc>
        <w:tc>
          <w:tcPr>
            <w:tcW w:type="dxa" w:w="5040"/>
          </w:tcPr>
          <w:p>
            <w:r>
              <w:rPr>
                <w:sz w:val="16"/>
              </w:rPr>
            </w:r>
            <w:r>
              <w:rPr>
                <w:sz w:val="16"/>
              </w:rPr>
              <w:t xml:space="preserve">Exact </w:t>
            </w:r>
            <w:r>
              <w:rPr>
                <w:rFonts w:ascii="Cascadia Code" w:hAnsi="Cascadia Code"/>
                <w:color w:val="693B7D"/>
                <w:sz w:val="16"/>
              </w:rPr>
              <w:t>Closed with monetary relief</w:t>
            </w:r>
          </w:p>
        </w:tc>
      </w:tr>
      <w:tr>
        <w:tc>
          <w:tcPr>
            <w:tcW w:type="dxa" w:w="5040"/>
          </w:tcPr>
          <w:p>
            <w:r>
              <w:rPr>
                <w:sz w:val="16"/>
              </w:rPr>
            </w:r>
            <w:r>
              <w:rPr>
                <w:sz w:val="16"/>
              </w:rPr>
              <w:t>Negative (0)</w:t>
            </w:r>
          </w:p>
        </w:tc>
        <w:tc>
          <w:tcPr>
            <w:tcW w:type="dxa" w:w="5040"/>
          </w:tcPr>
          <w:p>
            <w:r>
              <w:rPr>
                <w:sz w:val="16"/>
              </w:rPr>
            </w:r>
            <w:r>
              <w:rPr>
                <w:rFonts w:ascii="Cascadia Code" w:hAnsi="Cascadia Code"/>
                <w:color w:val="693B7D"/>
                <w:sz w:val="16"/>
              </w:rPr>
              <w:t>Closed with non-monetary relief</w:t>
            </w:r>
            <w:r>
              <w:rPr>
                <w:sz w:val="16"/>
              </w:rPr>
              <w:t xml:space="preserve">, </w:t>
            </w:r>
            <w:r>
              <w:rPr>
                <w:rFonts w:ascii="Cascadia Code" w:hAnsi="Cascadia Code"/>
                <w:color w:val="693B7D"/>
                <w:sz w:val="16"/>
              </w:rPr>
              <w:t>Closed with explanation</w:t>
            </w:r>
            <w:r>
              <w:rPr>
                <w:sz w:val="16"/>
              </w:rPr>
              <w:t xml:space="preserve">, and </w:t>
            </w:r>
            <w:r>
              <w:rPr>
                <w:rFonts w:ascii="Cascadia Code" w:hAnsi="Cascadia Code"/>
                <w:color w:val="693B7D"/>
                <w:sz w:val="16"/>
              </w:rPr>
              <w:t>Closed without relief</w:t>
            </w:r>
          </w:p>
        </w:tc>
      </w:tr>
      <w:tr>
        <w:tc>
          <w:tcPr>
            <w:tcW w:type="dxa" w:w="5040"/>
          </w:tcPr>
          <w:p>
            <w:r>
              <w:rPr>
                <w:sz w:val="16"/>
              </w:rPr>
            </w:r>
            <w:r>
              <w:rPr>
                <w:sz w:val="16"/>
              </w:rPr>
              <w:t>Excluded</w:t>
            </w:r>
          </w:p>
        </w:tc>
        <w:tc>
          <w:tcPr>
            <w:tcW w:type="dxa" w:w="5040"/>
          </w:tcPr>
          <w:p>
            <w:r>
              <w:rPr>
                <w:sz w:val="16"/>
              </w:rPr>
            </w:r>
            <w:r>
              <w:rPr>
                <w:sz w:val="16"/>
              </w:rPr>
              <w:t xml:space="preserve">Missing, in progress, untimely, bare </w:t>
            </w:r>
            <w:r>
              <w:rPr>
                <w:rFonts w:ascii="Cascadia Code" w:hAnsi="Cascadia Code"/>
                <w:color w:val="693B7D"/>
                <w:sz w:val="16"/>
              </w:rPr>
              <w:t>Closed</w:t>
            </w:r>
            <w:r>
              <w:rPr>
                <w:sz w:val="16"/>
              </w:rPr>
              <w:t xml:space="preserve">, ambiguous </w:t>
            </w:r>
            <w:r>
              <w:rPr>
                <w:rFonts w:ascii="Cascadia Code" w:hAnsi="Cascadia Code"/>
                <w:color w:val="693B7D"/>
                <w:sz w:val="16"/>
              </w:rPr>
              <w:t>Closed with relief</w:t>
            </w:r>
            <w:r>
              <w:rPr>
                <w:sz w:val="16"/>
              </w:rPr>
              <w:t>, and other unrecognized values</w:t>
            </w:r>
          </w:p>
        </w:tc>
      </w:tr>
    </w:tbl>
    <w:p>
      <w:pPr>
        <w:spacing w:after="40"/>
      </w:pPr>
    </w:p>
    <w:p>
      <w:pPr>
        <w:spacing w:after="100"/>
      </w:pPr>
      <w:r>
        <w:t>This exact matching avoids the common substring error where “non-monetary relief” is accidentally labeled as monetary relief. The mapping is a project-specific operational definition, not a CFPB-endorsed predictive label.</w:t>
      </w:r>
    </w:p>
    <w:p>
      <w:pPr>
        <w:pStyle w:val="Heading2"/>
      </w:pPr>
      <w:r>
        <w:t>Architecture and implementation</w:t>
      </w:r>
    </w:p>
    <w:p>
      <w:pPr>
        <w:spacing w:before="80" w:after="120"/>
        <w:ind w:left="216" w:right="144"/>
        <w:shd w:fill="F2F5F7"/>
      </w:pPr>
      <w:r>
        <w:rPr>
          <w:rFonts w:ascii="Cascadia Code" w:hAnsi="Cascadia Code"/>
          <w:sz w:val="16"/>
        </w:rPr>
        <w:t>CFPB CSV or gzip CSV</w:t>
        <w:br/>
        <w:t xml:space="preserve">   |</w:t>
        <w:br/>
        <w:t xml:space="preserve">   +-- Stage 1: chunked CSV loader --&gt; MySQL star schema --&gt; SQL reporting</w:t>
        <w:br/>
        <w:t xml:space="preserve">   +-- Stage 2: narrative cleanup and regex feature extraction</w:t>
        <w:br/>
        <w:t xml:space="preserve">   +-- Stage 3: TF-IDF + Logistic Regression / Linear SVM</w:t>
        <w:br/>
        <w:t xml:space="preserve">   +-- Stage 4: DistilBERT Trainer workflow (Colab GPU)</w:t>
        <w:br/>
        <w:t xml:space="preserve">   +-- Stage 5: custom taxonomy mapping + optional Census population join</w:t>
        <w:br/>
        <w:t xml:space="preserve">   +-- Stage 6: structured-only vs text-and-structured relief model</w:t>
        <w:br/>
        <w:t xml:space="preserve">   +-- Stage 7: chunked aggregated CSVs --&gt; Power BI</w:t>
        <w:br/>
        <w:t xml:space="preserve">   +-- Stage 8: README and this report</w:t>
      </w:r>
    </w:p>
    <w:p>
      <w:pPr>
        <w:pStyle w:val="ListBullet"/>
      </w:pPr>
      <w:r>
        <w:rPr>
          <w:rFonts w:ascii="Cascadia Code" w:hAnsi="Cascadia Code"/>
          <w:color w:val="693B7D"/>
          <w:sz w:val="18"/>
        </w:rPr>
        <w:t>src/</w:t>
      </w:r>
      <w:r>
        <w:t xml:space="preserve"> holds reusable Python implementations.</w:t>
      </w:r>
    </w:p>
    <w:p>
      <w:pPr>
        <w:pStyle w:val="ListBullet"/>
      </w:pPr>
      <w:r>
        <w:rPr>
          <w:rFonts w:ascii="Cascadia Code" w:hAnsi="Cascadia Code"/>
          <w:color w:val="693B7D"/>
          <w:sz w:val="18"/>
        </w:rPr>
        <w:t>sql/schema.sql</w:t>
      </w:r>
      <w:r>
        <w:t xml:space="preserve"> defines the MySQL star schema; </w:t>
      </w:r>
      <w:r>
        <w:rPr>
          <w:rFonts w:ascii="Cascadia Code" w:hAnsi="Cascadia Code"/>
          <w:color w:val="693B7D"/>
          <w:sz w:val="18"/>
        </w:rPr>
        <w:t>sql/reporting_queries.sql</w:t>
      </w:r>
      <w:r>
        <w:t xml:space="preserve"> contains the reporting queries.</w:t>
      </w:r>
    </w:p>
    <w:p>
      <w:pPr>
        <w:pStyle w:val="ListBullet"/>
      </w:pPr>
      <w:r>
        <w:rPr>
          <w:rFonts w:ascii="Cascadia Code" w:hAnsi="Cascadia Code"/>
          <w:color w:val="693B7D"/>
          <w:sz w:val="18"/>
        </w:rPr>
        <w:t>notebooks/</w:t>
      </w:r>
      <w:r>
        <w:t xml:space="preserve"> contains EDA and model workflows.</w:t>
      </w:r>
    </w:p>
    <w:p>
      <w:pPr>
        <w:pStyle w:val="ListBullet"/>
      </w:pPr>
      <w:r>
        <w:rPr>
          <w:rFonts w:ascii="Cascadia Code" w:hAnsi="Cascadia Code"/>
          <w:color w:val="693B7D"/>
          <w:sz w:val="18"/>
        </w:rPr>
        <w:t>tests/</w:t>
      </w:r>
      <w:r>
        <w:t xml:space="preserve"> contains synthetic unit tests for regex features, sampling, ontology mapping, risk labels, and Power BI aggregation.</w:t>
      </w:r>
    </w:p>
    <w:p>
      <w:pPr>
        <w:pStyle w:val="ListBullet"/>
      </w:pPr>
      <w:r>
        <w:rPr>
          <w:rFonts w:ascii="Cascadia Code" w:hAnsi="Cascadia Code"/>
          <w:color w:val="693B7D"/>
          <w:sz w:val="18"/>
        </w:rPr>
        <w:t>data/raw/complaints.csv.gz</w:t>
      </w:r>
      <w:r>
        <w:t xml:space="preserve"> is the supplied source snapshot.</w:t>
      </w:r>
    </w:p>
    <w:p>
      <w:pPr>
        <w:pStyle w:val="ListBullet"/>
      </w:pPr>
      <w:r>
        <w:rPr>
          <w:rFonts w:ascii="Cascadia Code" w:hAnsi="Cascadia Code"/>
          <w:color w:val="693B7D"/>
          <w:sz w:val="18"/>
        </w:rPr>
        <w:t>data/processed/powerbi/</w:t>
      </w:r>
      <w:r>
        <w:t xml:space="preserve"> holds the aggregate dashboard exports. Raw and other processed complaint-level files are excluded from ordinary Git tracking.</w:t>
      </w:r>
    </w:p>
    <w:p>
      <w:pPr>
        <w:spacing w:after="100"/>
      </w:pPr>
      <w:r>
        <w:t xml:space="preserve">The Power BI export does not include complaint IDs, ZIP codes, or narratives. It aggregates in bounded chunks and reports the source row total and caveats in </w:t>
      </w:r>
      <w:r>
        <w:rPr>
          <w:rFonts w:ascii="Cascadia Code" w:hAnsi="Cascadia Code"/>
          <w:color w:val="693B7D"/>
          <w:sz w:val="18"/>
        </w:rPr>
        <w:t>dashboard_export_summary.json</w:t>
      </w:r>
      <w:r>
        <w:t>.</w:t>
      </w:r>
    </w:p>
    <w:p>
      <w:pPr>
        <w:pStyle w:val="Heading2"/>
      </w:pPr>
      <w:r>
        <w:t>Stage-by-stage status and how to run</w:t>
      </w:r>
    </w:p>
    <w:p>
      <w:pPr>
        <w:spacing w:after="100"/>
      </w:pPr>
      <w:r>
        <w:t xml:space="preserve">Run commands from the project root. Install </w:t>
      </w:r>
      <w:r>
        <w:rPr>
          <w:rFonts w:ascii="Cascadia Code" w:hAnsi="Cascadia Code"/>
          <w:color w:val="693B7D"/>
          <w:sz w:val="18"/>
        </w:rPr>
        <w:t>requirements.txt</w:t>
      </w:r>
      <w:r>
        <w:t xml:space="preserve"> first for Python workflows. A local MySQL server is needed for Stage 1; Stage 4 is configured for Google Colab with a GPU runtime.</w:t>
      </w:r>
    </w:p>
    <w:p>
      <w:pPr>
        <w:pStyle w:val="Heading3"/>
      </w:pPr>
      <w:r>
        <w:t>Stage 1 — SQL data engineering</w:t>
      </w:r>
    </w:p>
    <w:p>
      <w:pPr>
        <w:spacing w:after="100"/>
      </w:pPr>
      <w:r>
        <w:rPr>
          <w:b/>
        </w:rPr>
        <w:t>Implemented:</w:t>
      </w:r>
      <w:r>
        <w:t xml:space="preserve"> MySQL fact table and company, product/issue, state, and date dimensions; chunked idempotent loader; six reporting queries.</w:t>
      </w:r>
    </w:p>
    <w:p>
      <w:pPr>
        <w:spacing w:before="80" w:after="120"/>
        <w:ind w:left="216" w:right="144"/>
        <w:shd w:fill="F2F5F7"/>
      </w:pPr>
      <w:r>
        <w:rPr>
          <w:rFonts w:ascii="Cascadia Code" w:hAnsi="Cascadia Code"/>
          <w:sz w:val="16"/>
        </w:rPr>
        <w:t>python src/inspect_sample.py data/raw/complaints.csv.gz</w:t>
        <w:br/>
        <w:t># Create a database, then run sql/schema.sql using MySQL 8.</w:t>
        <w:br/>
        <w:t>$env:MYSQL_URL = "mysql+mysqlconnector://USER:PASSWORD@localhost:3306/cfpb_complaints"</w:t>
        <w:br/>
        <w:t>python src/load_complaints.py data/raw/complaints.csv.gz --chunksize 5000</w:t>
      </w:r>
    </w:p>
    <w:p>
      <w:pPr>
        <w:spacing w:after="100"/>
      </w:pPr>
      <w:r>
        <w:t>No database load or MySQL query execution was performed as part of the documented supplied-data analysis; these commands require user-provided local database credentials and server access.</w:t>
      </w:r>
    </w:p>
    <w:p>
      <w:pPr>
        <w:pStyle w:val="Heading3"/>
      </w:pPr>
      <w:r>
        <w:t>Stage 2 — Regex narrative features</w:t>
      </w:r>
    </w:p>
    <w:p>
      <w:pPr>
        <w:spacing w:after="100"/>
      </w:pPr>
      <w:r>
        <w:rPr>
          <w:b/>
        </w:rPr>
        <w:t>Implemented; not applicable to this snapshot</w:t>
      </w:r>
      <w:r>
        <w:t xml:space="preserve"> because the narrative column is absent. The notebook uses synthetic examples; they are not actual complaint text.</w:t>
      </w:r>
    </w:p>
    <w:p>
      <w:pPr>
        <w:spacing w:before="80" w:after="120"/>
        <w:ind w:left="216" w:right="144"/>
        <w:shd w:fill="F2F5F7"/>
      </w:pPr>
      <w:r>
        <w:rPr>
          <w:rFonts w:ascii="Cascadia Code" w:hAnsi="Cascadia Code"/>
          <w:sz w:val="16"/>
        </w:rPr>
        <w:t>python src/regex_features.py "D:\data\narrative_complaints.csv" "data/processed/complaints_regex_features.csv"</w:t>
      </w:r>
    </w:p>
    <w:p>
      <w:pPr>
        <w:spacing w:after="100"/>
      </w:pPr>
      <w:r>
        <w:t>Provide a narrative-bearing CFPB export to run this stage. The extractor captures recognizable amounts, date strings, account/card mentions, masked tokens, and narrative length. Regex matches are indicators, not verified financial exposures. Text cleanup does not de-identify narratives.</w:t>
      </w:r>
    </w:p>
    <w:p>
      <w:pPr>
        <w:pStyle w:val="Heading3"/>
      </w:pPr>
      <w:r>
        <w:t>Stage 3 — Traditional NLP baseline</w:t>
      </w:r>
    </w:p>
    <w:p>
      <w:pPr>
        <w:spacing w:after="100"/>
      </w:pPr>
      <w:r>
        <w:rPr>
          <w:b/>
        </w:rPr>
        <w:t>Implemented; not evaluated</w:t>
      </w:r>
      <w:r>
        <w:t xml:space="preserve"> on the included snapshot. The task is CFPB </w:t>
      </w:r>
      <w:r>
        <w:rPr>
          <w:rFonts w:ascii="Cascadia Code" w:hAnsi="Cascadia Code"/>
          <w:color w:val="693B7D"/>
          <w:sz w:val="18"/>
        </w:rPr>
        <w:t>Issue</w:t>
      </w:r>
      <w:r>
        <w:t xml:space="preserve"> classification from narratives using TF-IDF plus Logistic Regression and Linear SVM. No macro-F1, per-class score, confusion matrix, or ROC-AUC is available for this snapshot.</w:t>
      </w:r>
    </w:p>
    <w:p>
      <w:pPr>
        <w:spacing w:before="80" w:after="120"/>
        <w:ind w:left="216" w:right="144"/>
        <w:shd w:fill="F2F5F7"/>
      </w:pPr>
      <w:r>
        <w:rPr>
          <w:rFonts w:ascii="Cascadia Code" w:hAnsi="Cascadia Code"/>
          <w:sz w:val="16"/>
        </w:rPr>
        <w:t>python src/traditional_baseline.py "D:\data\narrative_complaints.csv" --target-column Issue --random-seed 42</w:t>
      </w:r>
    </w:p>
    <w:p>
      <w:pPr>
        <w:spacing w:after="100"/>
      </w:pPr>
      <w:r>
        <w:t>The implementation stratifies the split before fitting and keeps TF-IDF preprocessing inside the model pipeline. A narrative-bearing dataset and installed scikit-learn are required.</w:t>
      </w:r>
    </w:p>
    <w:p>
      <w:pPr>
        <w:pStyle w:val="Heading3"/>
      </w:pPr>
      <w:r>
        <w:t>Stage 4 — DistilBERT transformer</w:t>
      </w:r>
    </w:p>
    <w:p>
      <w:pPr>
        <w:spacing w:after="100"/>
      </w:pPr>
      <w:r>
        <w:rPr>
          <w:b/>
        </w:rPr>
        <w:t>Notebook implemented; not trained or evaluated</w:t>
      </w:r>
      <w:r>
        <w:t xml:space="preserve"> because this snapshot has no narratives. In Google Colab, open </w:t>
      </w:r>
      <w:r>
        <w:rPr>
          <w:rFonts w:ascii="Cascadia Code" w:hAnsi="Cascadia Code"/>
          <w:color w:val="693B7D"/>
          <w:sz w:val="18"/>
        </w:rPr>
        <w:t>notebooks/04_transformer.ipynb</w:t>
      </w:r>
      <w:r>
        <w:t xml:space="preserve">, select a GPU runtime if available, provide an approved narrative-bearing CSV, set its path in the notebook, and run the cells in order. The notebook samples up to about 20,000 records and evaluates the traditional models and </w:t>
      </w:r>
      <w:r>
        <w:rPr>
          <w:rFonts w:ascii="Cascadia Code" w:hAnsi="Cascadia Code"/>
          <w:color w:val="693B7D"/>
          <w:sz w:val="18"/>
        </w:rPr>
        <w:t>distilbert-base-uncased</w:t>
      </w:r>
      <w:r>
        <w:t xml:space="preserve"> on the same split. No macro-F1 comparison, trained checkpoint, or right/wrong example analysis is available for the supplied snapshot.</w:t>
      </w:r>
    </w:p>
    <w:p>
      <w:pPr>
        <w:pStyle w:val="Heading3"/>
      </w:pPr>
      <w:r>
        <w:t>Stage 5 — Ontology and Census population features</w:t>
      </w:r>
    </w:p>
    <w:p>
      <w:pPr>
        <w:spacing w:after="100"/>
      </w:pPr>
      <w:r>
        <w:rPr>
          <w:b/>
        </w:rPr>
        <w:t>Ontology implemented; population join implemented; no Census file supplied.</w:t>
      </w:r>
      <w:r>
        <w:t xml:space="preserve"> The mapping applies custom rules to CFPB product, issue, and sub-issue fields. The population join accepts a state population file and creates complaints per 100,000 residents.</w:t>
      </w:r>
    </w:p>
    <w:p>
      <w:pPr>
        <w:spacing w:before="80" w:after="120"/>
        <w:ind w:left="216" w:right="144"/>
        <w:shd w:fill="F2F5F7"/>
      </w:pPr>
      <w:r>
        <w:rPr>
          <w:rFonts w:ascii="Cascadia Code" w:hAnsi="Cascadia Code"/>
          <w:sz w:val="16"/>
        </w:rPr>
        <w:t>python src/ontology_features.py `</w:t>
        <w:br/>
        <w:t xml:space="preserve">  "data/raw/complaints.csv.gz" `</w:t>
        <w:br/>
        <w:t xml:space="preserve">  "data/raw/state_population.csv" `</w:t>
        <w:br/>
        <w:t xml:space="preserve">  "data/processed/complaints_ontology_population.csv" `</w:t>
        <w:br/>
        <w:t xml:space="preserve">  --state-population-column NAME `</w:t>
        <w:br/>
        <w:t xml:space="preserve">  --population-column POPESTIMATE2024</w:t>
      </w:r>
    </w:p>
    <w:p>
      <w:pPr>
        <w:spacing w:after="100"/>
      </w:pPr>
      <w:r>
        <w:t>The included data cannot produce per-capita rates until a compatible Census file is provided. The rate is population-normalized, not normalized by a financial institution's customers or accounts.</w:t>
      </w:r>
    </w:p>
    <w:p>
      <w:pPr>
        <w:pStyle w:val="Heading3"/>
      </w:pPr>
      <w:r>
        <w:t>Stage 6 — Monetary-relief risk model</w:t>
      </w:r>
    </w:p>
    <w:p>
      <w:pPr>
        <w:spacing w:after="100"/>
      </w:pPr>
      <w:r>
        <w:rPr>
          <w:b/>
        </w:rPr>
        <w:t>Implemented; not trained on this snapshot.</w:t>
      </w:r>
      <w:r>
        <w:t xml:space="preserve"> The planned structured model uses product, state, and ontology category; where narratives exist, it also compares regex features and TF-IDF. The target mapping above excludes ambiguous outcomes. The target-source response, </w:t>
      </w:r>
      <w:r>
        <w:rPr>
          <w:rFonts w:ascii="Cascadia Code" w:hAnsi="Cascadia Code"/>
          <w:color w:val="693B7D"/>
          <w:sz w:val="18"/>
        </w:rPr>
        <w:t>Timely response?</w:t>
      </w:r>
      <w:r>
        <w:t xml:space="preserve">, and </w:t>
      </w:r>
      <w:r>
        <w:rPr>
          <w:rFonts w:ascii="Cascadia Code" w:hAnsi="Cascadia Code"/>
          <w:color w:val="693B7D"/>
          <w:sz w:val="18"/>
        </w:rPr>
        <w:t>Consumer disputed?</w:t>
      </w:r>
      <w:r>
        <w:t xml:space="preserve"> are not predictors.</w:t>
      </w:r>
    </w:p>
    <w:p>
      <w:pPr>
        <w:spacing w:before="80" w:after="120"/>
        <w:ind w:left="216" w:right="144"/>
        <w:shd w:fill="F2F5F7"/>
      </w:pPr>
      <w:r>
        <w:rPr>
          <w:rFonts w:ascii="Cascadia Code" w:hAnsi="Cascadia Code"/>
          <w:sz w:val="16"/>
        </w:rPr>
        <w:t>python src/risk_model.py "data/raw/complaints.csv.gz"</w:t>
      </w:r>
    </w:p>
    <w:p>
      <w:pPr>
        <w:spacing w:after="100"/>
      </w:pPr>
      <w:r>
        <w:t>Scikit-learn was unavailable in the development environment, and the full modeling sample attempt did not complete under available memory constraints. Therefore, there is no trained model, held-out ROC-AUC, monetary-relief precision/recall, or coefficient/driver analysis to report. The outcome prevalence shown above is descriptive, not a model score.</w:t>
      </w:r>
    </w:p>
    <w:p>
      <w:pPr>
        <w:pStyle w:val="Heading3"/>
      </w:pPr>
      <w:r>
        <w:t>Stage 7 — Power BI dashboard exports</w:t>
      </w:r>
    </w:p>
    <w:p>
      <w:pPr>
        <w:spacing w:after="100"/>
      </w:pPr>
      <w:r>
        <w:rPr>
          <w:b/>
        </w:rPr>
        <w:t>Run against the full supplied snapshot.</w:t>
      </w:r>
      <w:r>
        <w:t xml:space="preserve"> The aggregate files are already generated at </w:t>
      </w:r>
      <w:r>
        <w:rPr>
          <w:rFonts w:ascii="Cascadia Code" w:hAnsi="Cascadia Code"/>
          <w:color w:val="693B7D"/>
          <w:sz w:val="18"/>
        </w:rPr>
        <w:t>data/processed/powerbi/</w:t>
      </w:r>
      <w:r>
        <w:t>.</w:t>
      </w:r>
    </w:p>
    <w:p>
      <w:pPr>
        <w:spacing w:before="80" w:after="120"/>
        <w:ind w:left="216" w:right="144"/>
        <w:shd w:fill="F2F5F7"/>
      </w:pPr>
      <w:r>
        <w:rPr>
          <w:rFonts w:ascii="Cascadia Code" w:hAnsi="Cascadia Code"/>
          <w:sz w:val="16"/>
        </w:rPr>
        <w:t>python src/dashboard_exports.py</w:t>
      </w:r>
    </w:p>
    <w:p>
      <w:pPr>
        <w:spacing w:after="100"/>
      </w:pPr>
      <w:r>
        <w:t>To calculate state per-capita values after obtaining a Census population CSV:</w:t>
      </w:r>
    </w:p>
    <w:p>
      <w:pPr>
        <w:spacing w:before="80" w:after="120"/>
        <w:ind w:left="216" w:right="144"/>
        <w:shd w:fill="F2F5F7"/>
      </w:pPr>
      <w:r>
        <w:rPr>
          <w:rFonts w:ascii="Cascadia Code" w:hAnsi="Cascadia Code"/>
          <w:sz w:val="16"/>
        </w:rPr>
        <w:t>python src/dashboard_exports.py `</w:t>
        <w:br/>
        <w:t xml:space="preserve">  --population-csv data/raw/state_population.csv `</w:t>
        <w:br/>
        <w:t xml:space="preserve">  --population-state-column NAME `</w:t>
        <w:br/>
        <w:t xml:space="preserve">  --population-column POPESTIMATE2024</w:t>
      </w:r>
    </w:p>
    <w:p>
      <w:pPr>
        <w:spacing w:after="100"/>
      </w:pPr>
      <w:r>
        <w:t xml:space="preserve">The model drivers table explicitly reports unavailable values until a validated Stage 6 model exists. The four business recommendations are exported to </w:t>
      </w:r>
      <w:r>
        <w:rPr>
          <w:rFonts w:ascii="Cascadia Code" w:hAnsi="Cascadia Code"/>
          <w:color w:val="693B7D"/>
          <w:sz w:val="18"/>
        </w:rPr>
        <w:t>business_recommendations.csv</w:t>
      </w:r>
      <w:r>
        <w:t>.</w:t>
      </w:r>
    </w:p>
    <w:p>
      <w:pPr>
        <w:pStyle w:val="Heading3"/>
      </w:pPr>
      <w:r>
        <w:t>Stage 8 — Documentation</w:t>
      </w:r>
    </w:p>
    <w:p>
      <w:pPr>
        <w:spacing w:after="100"/>
      </w:pPr>
      <w:r>
        <w:t>The README summarizes the business problem, architecture, setup, stage commands, model status, design choices, and dashboard. This report records the data profile, measured findings, limitations, and business recommendations.</w:t>
      </w:r>
    </w:p>
    <w:p>
      <w:pPr>
        <w:pStyle w:val="Heading2"/>
      </w:pPr>
      <w:r>
        <w:t>Measured descriptive findings</w:t>
      </w:r>
    </w:p>
    <w:p>
      <w:pPr>
        <w:spacing w:after="100"/>
      </w:pPr>
      <w:r>
        <w:t>All counts below come from the full supplied snapshot via Stage 7. These are descriptive aggregates, not model performance or evidence that a company violated a rule.</w:t>
      </w:r>
    </w:p>
    <w:p>
      <w:pPr>
        <w:pStyle w:val="Heading3"/>
      </w:pPr>
      <w:r>
        <w:t>Product and category results</w:t>
      </w:r>
    </w:p>
    <w:tbl>
      <w:tblPr>
        <w:tblStyle w:val="LightShading-Accent1"/>
        <w:tblW w:type="auto" w:w="0"/>
        <w:tblLayout w:type="autofit"/>
        <w:tblLook w:firstColumn="1" w:firstRow="1" w:lastColumn="0" w:lastRow="0" w:noHBand="0" w:noVBand="1" w:val="04A0"/>
      </w:tblPr>
      <w:tblGrid>
        <w:gridCol w:w="5040"/>
        <w:gridCol w:w="5040"/>
      </w:tblGrid>
      <w:tr>
        <w:tc>
          <w:tcPr>
            <w:tcW w:type="dxa" w:w="5040"/>
            <w:shd w:fill="12304A"/>
          </w:tcPr>
          <w:p>
            <w:r>
              <w:rPr>
                <w:b/>
                <w:color w:val="FFFFFF"/>
                <w:sz w:val="16"/>
              </w:rPr>
            </w:r>
            <w:r>
              <w:rPr>
                <w:b/>
                <w:color w:val="FFFFFF"/>
                <w:sz w:val="16"/>
              </w:rPr>
              <w:t>View</w:t>
            </w:r>
          </w:p>
        </w:tc>
        <w:tc>
          <w:tcPr>
            <w:tcW w:type="dxa" w:w="5040"/>
            <w:shd w:fill="12304A"/>
          </w:tcPr>
          <w:p>
            <w:r>
              <w:rPr>
                <w:b/>
                <w:color w:val="FFFFFF"/>
                <w:sz w:val="16"/>
              </w:rPr>
            </w:r>
            <w:r>
              <w:rPr>
                <w:b/>
                <w:color w:val="FFFFFF"/>
                <w:sz w:val="16"/>
              </w:rPr>
              <w:t>Finding</w:t>
            </w:r>
          </w:p>
        </w:tc>
      </w:tr>
      <w:tr>
        <w:tc>
          <w:tcPr>
            <w:tcW w:type="dxa" w:w="5040"/>
          </w:tcPr>
          <w:p>
            <w:r>
              <w:rPr>
                <w:sz w:val="16"/>
              </w:rPr>
            </w:r>
            <w:r>
              <w:rPr>
                <w:sz w:val="16"/>
              </w:rPr>
              <w:t>Highest-volume product</w:t>
            </w:r>
          </w:p>
        </w:tc>
        <w:tc>
          <w:tcPr>
            <w:tcW w:type="dxa" w:w="5040"/>
          </w:tcPr>
          <w:p>
            <w:r>
              <w:rPr>
                <w:sz w:val="16"/>
              </w:rPr>
            </w:r>
            <w:r>
              <w:rPr>
                <w:sz w:val="16"/>
              </w:rPr>
              <w:t xml:space="preserve">Credit reporting or other personal consumer reports: </w:t>
            </w:r>
            <w:r>
              <w:rPr>
                <w:b/>
                <w:sz w:val="16"/>
              </w:rPr>
              <w:t>12,910,622 complaints</w:t>
            </w:r>
          </w:p>
        </w:tc>
      </w:tr>
      <w:tr>
        <w:tc>
          <w:tcPr>
            <w:tcW w:type="dxa" w:w="5040"/>
          </w:tcPr>
          <w:p>
            <w:r>
              <w:rPr>
                <w:sz w:val="16"/>
              </w:rPr>
            </w:r>
            <w:r>
              <w:rPr>
                <w:sz w:val="16"/>
              </w:rPr>
              <w:t>Leading mapped category</w:t>
            </w:r>
          </w:p>
        </w:tc>
        <w:tc>
          <w:tcPr>
            <w:tcW w:type="dxa" w:w="5040"/>
          </w:tcPr>
          <w:p>
            <w:r>
              <w:rPr>
                <w:sz w:val="16"/>
              </w:rPr>
            </w:r>
            <w:r>
              <w:rPr>
                <w:sz w:val="16"/>
              </w:rPr>
              <w:t xml:space="preserve">Credit Reporting Error: </w:t>
            </w:r>
            <w:r>
              <w:rPr>
                <w:b/>
                <w:sz w:val="16"/>
              </w:rPr>
              <w:t>15,194,957 complaints</w:t>
            </w:r>
          </w:p>
        </w:tc>
      </w:tr>
      <w:tr>
        <w:tc>
          <w:tcPr>
            <w:tcW w:type="dxa" w:w="5040"/>
          </w:tcPr>
          <w:p>
            <w:r>
              <w:rPr>
                <w:sz w:val="16"/>
              </w:rPr>
            </w:r>
            <w:r>
              <w:rPr>
                <w:sz w:val="16"/>
              </w:rPr>
              <w:t>Billing Dispute</w:t>
            </w:r>
          </w:p>
        </w:tc>
        <w:tc>
          <w:tcPr>
            <w:tcW w:type="dxa" w:w="5040"/>
          </w:tcPr>
          <w:p>
            <w:r>
              <w:rPr>
                <w:sz w:val="16"/>
              </w:rPr>
            </w:r>
            <w:r>
              <w:rPr>
                <w:sz w:val="16"/>
              </w:rPr>
              <w:t>200,143 complaints; 196,917 classifiable closed outcomes; 53,051 explicit monetary-relief responses (</w:t>
            </w:r>
            <w:r>
              <w:rPr>
                <w:b/>
                <w:sz w:val="16"/>
              </w:rPr>
              <w:t>26.94%</w:t>
            </w:r>
            <w:r>
              <w:rPr>
                <w:sz w:val="16"/>
              </w:rPr>
              <w:t xml:space="preserve"> of classifiable closed outcomes)</w:t>
            </w:r>
          </w:p>
        </w:tc>
      </w:tr>
      <w:tr>
        <w:tc>
          <w:tcPr>
            <w:tcW w:type="dxa" w:w="5040"/>
          </w:tcPr>
          <w:p>
            <w:r>
              <w:rPr>
                <w:sz w:val="16"/>
              </w:rPr>
            </w:r>
            <w:r>
              <w:rPr>
                <w:sz w:val="16"/>
              </w:rPr>
              <w:t>Other</w:t>
            </w:r>
          </w:p>
        </w:tc>
        <w:tc>
          <w:tcPr>
            <w:tcW w:type="dxa" w:w="5040"/>
          </w:tcPr>
          <w:p>
            <w:r>
              <w:rPr>
                <w:sz w:val="16"/>
              </w:rPr>
            </w:r>
            <w:r>
              <w:rPr>
                <w:sz w:val="16"/>
              </w:rPr>
              <w:t>1,672,315 complaints; 140,824 explicit monetary-relief responses</w:t>
            </w:r>
          </w:p>
        </w:tc>
      </w:tr>
      <w:tr>
        <w:tc>
          <w:tcPr>
            <w:tcW w:type="dxa" w:w="5040"/>
          </w:tcPr>
          <w:p>
            <w:r>
              <w:rPr>
                <w:sz w:val="16"/>
              </w:rPr>
            </w:r>
            <w:r>
              <w:rPr>
                <w:sz w:val="16"/>
              </w:rPr>
              <w:t>Fraud/Identity Theft</w:t>
            </w:r>
          </w:p>
        </w:tc>
        <w:tc>
          <w:tcPr>
            <w:tcW w:type="dxa" w:w="5040"/>
          </w:tcPr>
          <w:p>
            <w:r>
              <w:rPr>
                <w:sz w:val="16"/>
              </w:rPr>
            </w:r>
            <w:r>
              <w:rPr>
                <w:sz w:val="16"/>
              </w:rPr>
              <w:t>403,121 complaints; 17,115 explicit monetary-relief responses</w:t>
            </w:r>
          </w:p>
        </w:tc>
      </w:tr>
      <w:tr>
        <w:tc>
          <w:tcPr>
            <w:tcW w:type="dxa" w:w="5040"/>
          </w:tcPr>
          <w:p>
            <w:r>
              <w:rPr>
                <w:sz w:val="16"/>
              </w:rPr>
            </w:r>
            <w:r>
              <w:rPr>
                <w:sz w:val="16"/>
              </w:rPr>
              <w:t>Debt Collection Misconduct</w:t>
            </w:r>
          </w:p>
        </w:tc>
        <w:tc>
          <w:tcPr>
            <w:tcW w:type="dxa" w:w="5040"/>
          </w:tcPr>
          <w:p>
            <w:r>
              <w:rPr>
                <w:sz w:val="16"/>
              </w:rPr>
            </w:r>
            <w:r>
              <w:rPr>
                <w:sz w:val="16"/>
              </w:rPr>
              <w:t>1,060,907 complaints; 5,090 explicit monetary-relief responses</w:t>
            </w:r>
          </w:p>
        </w:tc>
      </w:tr>
    </w:tbl>
    <w:p>
      <w:pPr>
        <w:spacing w:after="40"/>
      </w:pPr>
    </w:p>
    <w:p>
      <w:pPr>
        <w:spacing w:after="100"/>
      </w:pPr>
      <w:r>
        <w:t>The category volume distribution reflects the custom ontology's exact phrase rules and precedence. The 15,194,957 Credit Reporting Error records should not be interpreted as confirmed reporting violations. Category counts sum to the 18,531,443 source rows, and their monetary-relief counts sum to 222,483.</w:t>
      </w:r>
    </w:p>
    <w:p>
      <w:pPr>
        <w:pStyle w:val="Heading3"/>
      </w:pPr>
      <w:r>
        <w:t>Companies and states</w:t>
      </w:r>
    </w:p>
    <w:p>
      <w:pPr>
        <w:pStyle w:val="ListBullet"/>
      </w:pPr>
      <w:r>
        <w:t xml:space="preserve">Premier Student Loan Center had the highest observed monetary-relief rate among companies with at least 100 classifiable closed outcomes: </w:t>
      </w:r>
      <w:r>
        <w:rPr>
          <w:b/>
        </w:rPr>
        <w:t>68/130 = 52.31%</w:t>
      </w:r>
      <w:r>
        <w:t>. This is a small denominator and a CFPB outcome proxy.</w:t>
      </w:r>
    </w:p>
    <w:p>
      <w:pPr>
        <w:pStyle w:val="ListBullet"/>
      </w:pPr>
      <w:r>
        <w:t xml:space="preserve">Texas had the highest raw state volume in the exported state table: </w:t>
      </w:r>
      <w:r>
        <w:rPr>
          <w:b/>
        </w:rPr>
        <w:t>2,571,937 complaints</w:t>
      </w:r>
      <w:r>
        <w:t>.</w:t>
      </w:r>
    </w:p>
    <w:p>
      <w:pPr>
        <w:pStyle w:val="ListBullet"/>
      </w:pPr>
      <w:r>
        <w:t>State population and complaints-per-100,000 values are blank because the project owner has not supplied the Census population CSV. No per-capita state ranking is claimed.</w:t>
      </w:r>
    </w:p>
    <w:p>
      <w:pPr>
        <w:pStyle w:val="ListBullet"/>
      </w:pPr>
      <w:r>
        <w:t>Rate ranks are withheld for groups with fewer than 100 classifiable closed outcomes. The cutoff is a project-selected stability guard, not an externally mandated statistical standard.</w:t>
      </w:r>
    </w:p>
    <w:p>
      <w:pPr>
        <w:pStyle w:val="Heading2"/>
      </w:pPr>
      <w:r>
        <w:t>Results table: models</w:t>
      </w:r>
    </w:p>
    <w:tbl>
      <w:tblPr>
        <w:tblStyle w:val="LightShading-Accent1"/>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shd w:fill="12304A"/>
          </w:tcPr>
          <w:p>
            <w:r>
              <w:rPr>
                <w:b/>
                <w:color w:val="FFFFFF"/>
                <w:sz w:val="16"/>
              </w:rPr>
            </w:r>
            <w:r>
              <w:rPr>
                <w:b/>
                <w:color w:val="FFFFFF"/>
                <w:sz w:val="16"/>
              </w:rPr>
              <w:t>Model</w:t>
            </w:r>
          </w:p>
        </w:tc>
        <w:tc>
          <w:tcPr>
            <w:tcW w:type="dxa" w:w="1680"/>
            <w:shd w:fill="12304A"/>
          </w:tcPr>
          <w:p>
            <w:r>
              <w:rPr>
                <w:b/>
                <w:color w:val="FFFFFF"/>
                <w:sz w:val="16"/>
              </w:rPr>
            </w:r>
            <w:r>
              <w:rPr>
                <w:b/>
                <w:color w:val="FFFFFF"/>
                <w:sz w:val="16"/>
              </w:rPr>
              <w:t>Target</w:t>
            </w:r>
          </w:p>
        </w:tc>
        <w:tc>
          <w:tcPr>
            <w:tcW w:type="dxa" w:w="1680"/>
            <w:shd w:fill="12304A"/>
          </w:tcPr>
          <w:p>
            <w:r>
              <w:rPr>
                <w:b/>
                <w:color w:val="FFFFFF"/>
                <w:sz w:val="16"/>
              </w:rPr>
            </w:r>
            <w:r>
              <w:rPr>
                <w:b/>
                <w:color w:val="FFFFFF"/>
                <w:sz w:val="16"/>
              </w:rPr>
              <w:t>Macro-F1</w:t>
            </w:r>
          </w:p>
        </w:tc>
        <w:tc>
          <w:tcPr>
            <w:tcW w:type="dxa" w:w="1680"/>
            <w:shd w:fill="12304A"/>
          </w:tcPr>
          <w:p>
            <w:r>
              <w:rPr>
                <w:b/>
                <w:color w:val="FFFFFF"/>
                <w:sz w:val="16"/>
              </w:rPr>
            </w:r>
            <w:r>
              <w:rPr>
                <w:b/>
                <w:color w:val="FFFFFF"/>
                <w:sz w:val="16"/>
              </w:rPr>
              <w:t>ROC-AUC</w:t>
            </w:r>
          </w:p>
        </w:tc>
        <w:tc>
          <w:tcPr>
            <w:tcW w:type="dxa" w:w="1680"/>
            <w:shd w:fill="12304A"/>
          </w:tcPr>
          <w:p>
            <w:r>
              <w:rPr>
                <w:b/>
                <w:color w:val="FFFFFF"/>
                <w:sz w:val="16"/>
              </w:rPr>
            </w:r>
            <w:r>
              <w:rPr>
                <w:b/>
                <w:color w:val="FFFFFF"/>
                <w:sz w:val="16"/>
              </w:rPr>
              <w:t>Positive-class precision / recall</w:t>
            </w:r>
          </w:p>
        </w:tc>
        <w:tc>
          <w:tcPr>
            <w:tcW w:type="dxa" w:w="1680"/>
            <w:shd w:fill="12304A"/>
          </w:tcPr>
          <w:p>
            <w:r>
              <w:rPr>
                <w:b/>
                <w:color w:val="FFFFFF"/>
                <w:sz w:val="16"/>
              </w:rPr>
            </w:r>
            <w:r>
              <w:rPr>
                <w:b/>
                <w:color w:val="FFFFFF"/>
                <w:sz w:val="16"/>
              </w:rPr>
              <w:t>Status</w:t>
            </w:r>
          </w:p>
        </w:tc>
      </w:tr>
      <w:tr>
        <w:tc>
          <w:tcPr>
            <w:tcW w:type="dxa" w:w="1680"/>
          </w:tcPr>
          <w:p>
            <w:r>
              <w:rPr>
                <w:sz w:val="16"/>
              </w:rPr>
            </w:r>
            <w:r>
              <w:rPr>
                <w:sz w:val="16"/>
              </w:rPr>
              <w:t>TF-IDF Logistic Regression</w:t>
            </w:r>
          </w:p>
        </w:tc>
        <w:tc>
          <w:tcPr>
            <w:tcW w:type="dxa" w:w="1680"/>
          </w:tcPr>
          <w:p>
            <w:r>
              <w:rPr>
                <w:sz w:val="16"/>
              </w:rPr>
            </w:r>
            <w:r>
              <w:rPr>
                <w:sz w:val="16"/>
              </w:rPr>
              <w:t>CFPB Issue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Not run; narrative absent</w:t>
            </w:r>
          </w:p>
        </w:tc>
      </w:tr>
      <w:tr>
        <w:tc>
          <w:tcPr>
            <w:tcW w:type="dxa" w:w="1680"/>
          </w:tcPr>
          <w:p>
            <w:r>
              <w:rPr>
                <w:sz w:val="16"/>
              </w:rPr>
            </w:r>
            <w:r>
              <w:rPr>
                <w:sz w:val="16"/>
              </w:rPr>
              <w:t>TF-IDF Linear SVM</w:t>
            </w:r>
          </w:p>
        </w:tc>
        <w:tc>
          <w:tcPr>
            <w:tcW w:type="dxa" w:w="1680"/>
          </w:tcPr>
          <w:p>
            <w:r>
              <w:rPr>
                <w:sz w:val="16"/>
              </w:rPr>
            </w:r>
            <w:r>
              <w:rPr>
                <w:sz w:val="16"/>
              </w:rPr>
              <w:t>CFPB Issue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Not run; narrative absent</w:t>
            </w:r>
          </w:p>
        </w:tc>
      </w:tr>
      <w:tr>
        <w:tc>
          <w:tcPr>
            <w:tcW w:type="dxa" w:w="1680"/>
          </w:tcPr>
          <w:p>
            <w:r>
              <w:rPr>
                <w:sz w:val="16"/>
              </w:rPr>
            </w:r>
            <w:r>
              <w:rPr>
                <w:sz w:val="16"/>
              </w:rPr>
              <w:t>DistilBERT</w:t>
            </w:r>
          </w:p>
        </w:tc>
        <w:tc>
          <w:tcPr>
            <w:tcW w:type="dxa" w:w="1680"/>
          </w:tcPr>
          <w:p>
            <w:r>
              <w:rPr>
                <w:sz w:val="16"/>
              </w:rPr>
            </w:r>
            <w:r>
              <w:rPr>
                <w:sz w:val="16"/>
              </w:rPr>
              <w:t>CFPB Issue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Not trained; narrative absent</w:t>
            </w:r>
          </w:p>
        </w:tc>
      </w:tr>
      <w:tr>
        <w:tc>
          <w:tcPr>
            <w:tcW w:type="dxa" w:w="1680"/>
          </w:tcPr>
          <w:p>
            <w:r>
              <w:rPr>
                <w:sz w:val="16"/>
              </w:rPr>
            </w:r>
            <w:r>
              <w:rPr>
                <w:sz w:val="16"/>
              </w:rPr>
              <w:t>Stage 6 structured-only Logistic Regression</w:t>
            </w:r>
          </w:p>
        </w:tc>
        <w:tc>
          <w:tcPr>
            <w:tcW w:type="dxa" w:w="1680"/>
          </w:tcPr>
          <w:p>
            <w:r>
              <w:rPr>
                <w:sz w:val="16"/>
              </w:rPr>
            </w:r>
            <w:r>
              <w:rPr>
                <w:sz w:val="16"/>
              </w:rPr>
              <w:t>Explicit monetary-relief response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Model not trained; scikit-learn unavailable and sample run constrained by memory</w:t>
            </w:r>
          </w:p>
        </w:tc>
      </w:tr>
      <w:tr>
        <w:tc>
          <w:tcPr>
            <w:tcW w:type="dxa" w:w="1680"/>
          </w:tcPr>
          <w:p>
            <w:r>
              <w:rPr>
                <w:sz w:val="16"/>
              </w:rPr>
            </w:r>
            <w:r>
              <w:rPr>
                <w:sz w:val="16"/>
              </w:rPr>
              <w:t>Stage 6 text + structured Logistic Regression</w:t>
            </w:r>
          </w:p>
        </w:tc>
        <w:tc>
          <w:tcPr>
            <w:tcW w:type="dxa" w:w="1680"/>
          </w:tcPr>
          <w:p>
            <w:r>
              <w:rPr>
                <w:sz w:val="16"/>
              </w:rPr>
            </w:r>
            <w:r>
              <w:rPr>
                <w:sz w:val="16"/>
              </w:rPr>
              <w:t>Explicit monetary-relief response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Not available</w:t>
            </w:r>
          </w:p>
        </w:tc>
        <w:tc>
          <w:tcPr>
            <w:tcW w:type="dxa" w:w="1680"/>
          </w:tcPr>
          <w:p>
            <w:r>
              <w:rPr>
                <w:sz w:val="16"/>
              </w:rPr>
            </w:r>
            <w:r>
              <w:rPr>
                <w:sz w:val="16"/>
              </w:rPr>
              <w:t>Not possible on this snapshot; narratives absent</w:t>
            </w:r>
          </w:p>
        </w:tc>
      </w:tr>
    </w:tbl>
    <w:p>
      <w:pPr>
        <w:spacing w:after="40"/>
      </w:pPr>
    </w:p>
    <w:p>
      <w:pPr>
        <w:spacing w:after="100"/>
      </w:pPr>
      <w:r>
        <w:t>“Not available” means no evaluation was run; it does not mean zero performance. The models answer different tasks (Issue classification versus relief prediction), so any future comparison must use the appropriate target and evaluation split. Stage 4's comparison must use the same balanced sample and same split for the traditional and transformer models.</w:t>
      </w:r>
    </w:p>
    <w:p>
      <w:pPr>
        <w:pStyle w:val="Heading2"/>
      </w:pPr>
      <w:r>
        <w:t>Dashboard layout and business recommendations</w:t>
      </w:r>
    </w:p>
    <w:p>
      <w:pPr>
        <w:spacing w:after="100"/>
      </w:pPr>
      <w:r>
        <w:t>Suggested Power BI pages:</w:t>
      </w:r>
    </w:p>
    <w:p>
      <w:pPr>
        <w:pStyle w:val="ListNumber"/>
      </w:pPr>
      <w:r>
        <w:rPr>
          <w:b/>
        </w:rPr>
        <w:t>Overview:</w:t>
      </w:r>
      <w:r>
        <w:t xml:space="preserve"> complaint totals; explicit relief count/rate; monthly trend and month-over-month change; product volume.</w:t>
      </w:r>
    </w:p>
    <w:p>
      <w:pPr>
        <w:pStyle w:val="ListNumber"/>
      </w:pPr>
      <w:r>
        <w:rPr>
          <w:b/>
        </w:rPr>
        <w:t>Risk categories:</w:t>
      </w:r>
      <w:r>
        <w:t xml:space="preserve"> category counts, closed-outcome denominators, relief counts/rates, and issue details, with a visible heuristic caveat.</w:t>
      </w:r>
    </w:p>
    <w:p>
      <w:pPr>
        <w:pStyle w:val="ListNumber"/>
      </w:pPr>
      <w:r>
        <w:rPr>
          <w:b/>
        </w:rPr>
        <w:t>Companies and states:</w:t>
      </w:r>
      <w:r>
        <w:t xml:space="preserve"> company relief rate and denominator; state raw count and (once population data exist) population and per-capita rate. Show denominators and do not conceal small samples.</w:t>
      </w:r>
    </w:p>
    <w:p>
      <w:pPr>
        <w:pStyle w:val="ListNumber"/>
      </w:pPr>
      <w:r>
        <w:rPr>
          <w:b/>
        </w:rPr>
        <w:t>Model drivers:</w:t>
      </w:r>
      <w:r>
        <w:t xml:space="preserve"> validated Stage 6 metrics and fitted model drivers only after training. Until then, show the unavailable-status record rather than substituting heuristic ontology matches.</w:t>
      </w:r>
    </w:p>
    <w:p>
      <w:pPr>
        <w:spacing w:after="100"/>
      </w:pPr>
      <w:r>
        <w:t>Number-backed recommendations for a compliance head:</w:t>
      </w:r>
    </w:p>
    <w:p>
      <w:pPr>
        <w:pStyle w:val="ListNumber"/>
      </w:pPr>
      <w:r>
        <w:rPr>
          <w:b/>
        </w:rPr>
        <w:t>Prioritize complaint operations and control testing for the highest-volume product.</w:t>
      </w:r>
      <w:r>
        <w:t xml:space="preserve"> Credit reporting or other personal consumer reports accounts for </w:t>
      </w:r>
      <w:r>
        <w:rPr>
          <w:b/>
        </w:rPr>
        <w:t>12,910,622 complaints</w:t>
      </w:r>
      <w:r>
        <w:t>. Break the workload down by issues and reporting periods before choosing a control intervention.</w:t>
      </w:r>
    </w:p>
    <w:p>
      <w:pPr>
        <w:pStyle w:val="ListNumber"/>
      </w:pPr>
      <w:r>
        <w:rPr>
          <w:b/>
        </w:rPr>
        <w:t>Validate and investigate the largest mapped risk theme.</w:t>
      </w:r>
      <w:r>
        <w:t xml:space="preserve"> The ontology maps </w:t>
      </w:r>
      <w:r>
        <w:rPr>
          <w:b/>
        </w:rPr>
        <w:t>15,194,957 complaints</w:t>
      </w:r>
      <w:r>
        <w:t xml:space="preserve"> to Credit Reporting Error. Review a sample of mapped records and the ontology's rules before treating this as a confirmed error population.</w:t>
      </w:r>
    </w:p>
    <w:p>
      <w:pPr>
        <w:pStyle w:val="ListNumber"/>
      </w:pPr>
      <w:r>
        <w:rPr>
          <w:b/>
        </w:rPr>
        <w:t>Perform a case review of high observed company relief rates.</w:t>
      </w:r>
      <w:r>
        <w:t xml:space="preserve"> Premier Student Loan Center has </w:t>
      </w:r>
      <w:r>
        <w:rPr>
          <w:b/>
        </w:rPr>
        <w:t>68 relief outcomes among 130 classifiable closed complaints (52.31%)</w:t>
      </w:r>
      <w:r>
        <w:t>. Review the underlying dispositions and the small denominator; do not interpret the rate as predicted cost or bank exposure.</w:t>
      </w:r>
    </w:p>
    <w:p>
      <w:pPr>
        <w:pStyle w:val="ListNumber"/>
      </w:pPr>
      <w:r>
        <w:rPr>
          <w:b/>
        </w:rPr>
        <w:t>Use state counts for initial workload planning, then add population context.</w:t>
      </w:r>
      <w:r>
        <w:t xml:space="preserve"> Texas has </w:t>
      </w:r>
      <w:r>
        <w:rPr>
          <w:b/>
        </w:rPr>
        <w:t>2,571,937 complaints</w:t>
      </w:r>
      <w:r>
        <w:t>, but there is no Census denominator in this project yet. Obtain time-appropriate state populations before comparing per-capita rates, and use customer/account exposure for institution-level decisions.</w:t>
      </w:r>
    </w:p>
    <w:p>
      <w:pPr>
        <w:pStyle w:val="Heading2"/>
      </w:pPr>
      <w:r>
        <w:t>Standards and design decisions</w:t>
      </w:r>
    </w:p>
    <w:p>
      <w:pPr>
        <w:pStyle w:val="Heading3"/>
      </w:pPr>
      <w:r>
        <w:t>Common, broadly used methods</w:t>
      </w:r>
    </w:p>
    <w:p>
      <w:pPr>
        <w:pStyle w:val="ListBullet"/>
      </w:pPr>
      <w:r>
        <w:t>Stratified train/test splitting for classification tasks with imbalanced labels.</w:t>
      </w:r>
    </w:p>
    <w:p>
      <w:pPr>
        <w:pStyle w:val="ListBullet"/>
      </w:pPr>
      <w:r>
        <w:t>Splitting before learned preprocessing, with vectorization, imputation, scaling, and encoding fitted within training pipelines.</w:t>
      </w:r>
    </w:p>
    <w:p>
      <w:pPr>
        <w:pStyle w:val="ListBullet"/>
      </w:pPr>
      <w:r>
        <w:t>Training-only cross-validation and a held-out test set for final evaluation.</w:t>
      </w:r>
    </w:p>
    <w:p>
      <w:pPr>
        <w:pStyle w:val="ListBullet"/>
      </w:pPr>
      <w:r>
        <w:t>Macro-F1/per-class metrics for imbalanced multiclass classification, and ROC-AUC plus positive-class precision/recall for binary relief prediction.</w:t>
      </w:r>
    </w:p>
    <w:p>
      <w:pPr>
        <w:pStyle w:val="ListBullet"/>
      </w:pPr>
      <w:r>
        <w:t>Chunked CSV reads and a star schema as common engineering patterns for large data and reporting systems.</w:t>
      </w:r>
    </w:p>
    <w:p>
      <w:pPr>
        <w:pStyle w:val="ListBullet"/>
      </w:pPr>
      <w:r>
        <w:t>Displaying outcome-rate denominators and using population-normalized rates when comparing geographic complaint counts.</w:t>
      </w:r>
    </w:p>
    <w:p>
      <w:pPr>
        <w:spacing w:after="100"/>
      </w:pPr>
      <w:r>
        <w:t>These practices are conventional choices; their use does not itself establish regulatory compliance or certify model validity.</w:t>
      </w:r>
    </w:p>
    <w:p>
      <w:pPr>
        <w:pStyle w:val="Heading3"/>
      </w:pPr>
      <w:r>
        <w:t>Explicitly project-specific choices</w:t>
      </w:r>
    </w:p>
    <w:p>
      <w:pPr>
        <w:pStyle w:val="ListBullet"/>
      </w:pPr>
      <w:r>
        <w:t>The exact response-to-binary-target mapping and exclusion rules.</w:t>
      </w:r>
    </w:p>
    <w:p>
      <w:pPr>
        <w:pStyle w:val="ListBullet"/>
      </w:pPr>
      <w:r>
        <w:t>Five ontology categories, phrase dictionaries, matching precedence, and product fallbacks.</w:t>
      </w:r>
    </w:p>
    <w:p>
      <w:pPr>
        <w:pStyle w:val="ListBullet"/>
      </w:pPr>
      <w:r>
        <w:t>Seed 42, the Stage 4 balanced sample cap, and the Stage 6 proportional sample cap.</w:t>
      </w:r>
    </w:p>
    <w:p>
      <w:pPr>
        <w:pStyle w:val="ListBullet"/>
      </w:pPr>
      <w:r>
        <w:t>The default probability threshold of 0.5 and the 100-outcome cutoff for company/state relief-rate ranking.</w:t>
      </w:r>
    </w:p>
    <w:p>
      <w:pPr>
        <w:pStyle w:val="ListBullet"/>
      </w:pPr>
      <w:r>
        <w:t>Complaints per 100,000 residents as the selected geographic descriptive rate.</w:t>
      </w:r>
    </w:p>
    <w:p>
      <w:pPr>
        <w:pStyle w:val="ListBullet"/>
      </w:pPr>
      <w:r>
        <w:t>Logistic Regression, TF-IDF, DistilBERT, model hyperparameter grids, and the selected feature set.</w:t>
      </w:r>
    </w:p>
    <w:p>
      <w:pPr>
        <w:spacing w:after="100"/>
      </w:pPr>
      <w:r>
        <w:t>None of these project choices should be described as a CFPB standard or a regulatory requirement. The ontology is not an official taxonomy, and model coefficients (when eventually produced) would not be causal explanations.</w:t>
      </w:r>
    </w:p>
    <w:p>
      <w:pPr>
        <w:pStyle w:val="Heading2"/>
      </w:pPr>
      <w:r>
        <w:t>Limitations, privacy, and responsible use</w:t>
      </w:r>
    </w:p>
    <w:p>
      <w:pPr>
        <w:pStyle w:val="ListNumber"/>
      </w:pPr>
      <w:r>
        <w:rPr>
          <w:b/>
        </w:rPr>
        <w:t>No narratives:</w:t>
      </w:r>
      <w:r>
        <w:t xml:space="preserve"> Stages 2–4 and text-based lift in Stage 6 cannot be evaluated on this snapshot. A separate narrative-bearing export is needed, and narratives may contain personal information.</w:t>
      </w:r>
    </w:p>
    <w:p>
      <w:pPr>
        <w:pStyle w:val="ListNumber"/>
      </w:pPr>
      <w:r>
        <w:rPr>
          <w:b/>
        </w:rPr>
        <w:t>No trained model metrics:</w:t>
      </w:r>
      <w:r>
        <w:t xml:space="preserve"> no baseline, transformer, or Stage 6 score is available. Synthetic unit tests verify selected code behavior, not generalization to real complaint outcomes.</w:t>
      </w:r>
    </w:p>
    <w:p>
      <w:pPr>
        <w:pStyle w:val="ListNumber"/>
      </w:pPr>
      <w:r>
        <w:rPr>
          <w:b/>
        </w:rPr>
        <w:t>Outcome proxy, not cost:</w:t>
      </w:r>
      <w:r>
        <w:t xml:space="preserve"> the CFPB disposition </w:t>
      </w:r>
      <w:r>
        <w:rPr>
          <w:rFonts w:ascii="Cascadia Code" w:hAnsi="Cascadia Code"/>
          <w:color w:val="693B7D"/>
          <w:sz w:val="18"/>
        </w:rPr>
        <w:t>Closed with monetary relief</w:t>
      </w:r>
      <w:r>
        <w:t xml:space="preserve"> does not encode the bank's actual cost, amount paid, or future relief likelihood.</w:t>
      </w:r>
    </w:p>
    <w:p>
      <w:pPr>
        <w:pStyle w:val="ListNumber"/>
      </w:pPr>
      <w:r>
        <w:rPr>
          <w:b/>
        </w:rPr>
        <w:t>Historical timing:</w:t>
      </w:r>
      <w:r>
        <w:t xml:space="preserve"> the outcome is observed after complaint handling; the project is not validated as an intake-time prediction. Define a prediction timestamp and enforce feature availability if forecasting.</w:t>
      </w:r>
    </w:p>
    <w:p>
      <w:pPr>
        <w:pStyle w:val="ListNumber"/>
      </w:pPr>
      <w:r>
        <w:rPr>
          <w:b/>
        </w:rPr>
        <w:t>Heuristic labels:</w:t>
      </w:r>
      <w:r>
        <w:t xml:space="preserve"> ontology categories are imperfect phrase mappings; issue/sub-issue coverage and prevalence need human review. Fraud is not adjudicated by this mapping.</w:t>
      </w:r>
    </w:p>
    <w:p>
      <w:pPr>
        <w:pStyle w:val="ListNumber"/>
      </w:pPr>
      <w:r>
        <w:rPr>
          <w:b/>
        </w:rPr>
        <w:t>No Census denominator:</w:t>
      </w:r>
      <w:r>
        <w:t xml:space="preserve"> state per-capita fields are unavailable without population data. Even when added, state population is not the bank's customer base, and reporting access/behavior may differ by location.</w:t>
      </w:r>
    </w:p>
    <w:p>
      <w:pPr>
        <w:pStyle w:val="ListNumber"/>
      </w:pPr>
      <w:r>
        <w:rPr>
          <w:b/>
        </w:rPr>
        <w:t>Snapshot and source provenance:</w:t>
      </w:r>
      <w:r>
        <w:t xml:space="preserve"> exact download date and request parameters were not recorded; complaint taxonomies, reporting periods, and company names can change over time.</w:t>
      </w:r>
    </w:p>
    <w:p>
      <w:pPr>
        <w:pStyle w:val="ListNumber"/>
      </w:pPr>
      <w:r>
        <w:rPr>
          <w:b/>
        </w:rPr>
        <w:t>Confounding and representation:</w:t>
      </w:r>
      <w:r>
        <w:t xml:space="preserve"> complaint volume is affected by product mix, consumer access, awareness, reporting behavior, and company size. High counts do not establish a higher underlying violation rate.</w:t>
      </w:r>
    </w:p>
    <w:p>
      <w:pPr>
        <w:pStyle w:val="ListNumber"/>
      </w:pPr>
      <w:r>
        <w:rPr>
          <w:b/>
        </w:rPr>
        <w:t>No causal claims:</w:t>
      </w:r>
      <w:r>
        <w:t xml:space="preserve"> the descriptive tables and any future predictive scores can prioritize review; they do not prove that a company or product caused harm or violated law.</w:t>
      </w:r>
    </w:p>
    <w:p>
      <w:pPr>
        <w:pStyle w:val="ListNumber"/>
      </w:pPr>
      <w:r>
        <w:rPr>
          <w:b/>
        </w:rPr>
        <w:t>Resource constraints:</w:t>
      </w:r>
      <w:r>
        <w:t xml:space="preserve"> scikit-learn was missing in the development environment and an attempted full-data sample was constrained by memory. Training should occur in an environment provisioned for the selected sample and model.</w:t>
      </w:r>
    </w:p>
    <w:p>
      <w:pPr>
        <w:pStyle w:val="Heading2"/>
      </w:pPr>
      <w:r>
        <w:t>Validation record and next steps</w:t>
      </w:r>
    </w:p>
    <w:p>
      <w:pPr>
        <w:pStyle w:val="ListBullet"/>
      </w:pPr>
      <w:r>
        <w:t xml:space="preserve">Stage 7 processed all </w:t>
      </w:r>
      <w:r>
        <w:rPr>
          <w:b/>
        </w:rPr>
        <w:t>18,531,443</w:t>
      </w:r>
      <w:r>
        <w:t xml:space="preserve"> supplied records. Category complaint counts reconcile to the input row total; category positive counts reconcile to </w:t>
      </w:r>
      <w:r>
        <w:rPr>
          <w:b/>
        </w:rPr>
        <w:t>222,483</w:t>
      </w:r>
      <w:r>
        <w:t>.</w:t>
      </w:r>
    </w:p>
    <w:p>
      <w:pPr>
        <w:pStyle w:val="ListBullet"/>
      </w:pPr>
      <w:r>
        <w:t>Stage 7 unit tests cover gzip input, chunk-boundary aggregation, monthly zero-fill, relief rate denominators, Census population joins, missing population behavior, and the explicit unavailable-model-driver status.</w:t>
      </w:r>
    </w:p>
    <w:p>
      <w:pPr>
        <w:pStyle w:val="ListBullet"/>
      </w:pPr>
      <w:r>
        <w:t>Other existing tests cover regex extraction, ontology mapping, sampling, and relief-label leakage rules. Tests use synthetic data where the actual snapshot lacks required narrative or Census fields.</w:t>
      </w:r>
    </w:p>
    <w:p>
      <w:pPr>
        <w:pStyle w:val="ListBullet"/>
      </w:pPr>
      <w:r>
        <w:t>Model-training, MySQL integration, and Power BI Desktop rendering were not validated in this environment.</w:t>
      </w:r>
    </w:p>
    <w:p>
      <w:pPr>
        <w:spacing w:after="100"/>
      </w:pPr>
      <w:r>
        <w:t>Recommended follow-up sequence:</w:t>
      </w:r>
    </w:p>
    <w:p>
      <w:pPr>
        <w:pStyle w:val="ListNumber"/>
      </w:pPr>
      <w:r>
        <w:t>Record the CFPB export date and query parameters, and obtain a narrative export only if privacy and permitted-use requirements allow it.</w:t>
      </w:r>
    </w:p>
    <w:p>
      <w:pPr>
        <w:pStyle w:val="ListNumber"/>
      </w:pPr>
      <w:r>
        <w:t>Obtain Census state population estimates that match the complaint period, then regenerate the state per-capita export.</w:t>
      </w:r>
    </w:p>
    <w:p>
      <w:pPr>
        <w:pStyle w:val="ListNumber"/>
      </w:pPr>
      <w:r>
        <w:t>Install dependencies in a suitable environment and run Stage 3/4 on a narrative sample with the documented shared split.</w:t>
      </w:r>
    </w:p>
    <w:p>
      <w:pPr>
        <w:pStyle w:val="ListNumber"/>
      </w:pPr>
      <w:r>
        <w:t>Train Stage 6 with a feasible sample, inspect class-specific metrics and calibration, and validate features against the prediction timestamp.</w:t>
      </w:r>
    </w:p>
    <w:p>
      <w:pPr>
        <w:pStyle w:val="ListNumber"/>
      </w:pPr>
      <w:r>
        <w:t>Review ontology mappings with compliance subject-matter experts and evaluate rates with appropriate denominators before operational use.</w:t>
      </w:r>
    </w:p>
    <w:p>
      <w:pPr>
        <w:pStyle w:val="ListNumber"/>
      </w:pPr>
      <w:r>
        <w:t>Build the Power BI report from the generated aggregate CSVs and validate filters, sorting, and interpretation with stakeholders.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Portfolio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CONSUMER COMPLAINT RISK INTELLIGENCE PLATFORM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2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Complaint Risk Intelligence Platform ? Project Report</dc:title>
  <dc:subject>CFPB complaint data project methodology, findings, limitations, and recommendations</dc:subject>
  <dc:creator>Consumer Complaint Risk Intelligence Platform</dc:creator>
  <cp:keywords/>
  <dc:description>generated by python-docx</dc:description>
  <cp:lastModifiedBy/>
  <cp:revision>1</cp:revision>
  <dcterms:created xsi:type="dcterms:W3CDTF">2013-12-23T23:15:00Z</dcterms:created>
  <dcterms:modified xsi:type="dcterms:W3CDTF">2013-12-23T23:15:00Z</dcterms:modified>
  <cp:category/>
</cp:coreProperties>
</file>