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62CDB" w14:textId="77777777" w:rsidR="0079436D" w:rsidRDefault="004E45BE">
      <w:pPr>
        <w:jc w:val="center"/>
      </w:pPr>
      <w:r>
        <w:rPr>
          <w:b/>
          <w:sz w:val="30"/>
        </w:rPr>
        <w:t>Extending RiC-CM to Capture Digital Preservation Purposes</w:t>
      </w:r>
    </w:p>
    <w:p w14:paraId="7505B9C8" w14:textId="77777777" w:rsidR="0025481E" w:rsidRDefault="0025481E">
      <w:pPr>
        <w:spacing w:after="0"/>
        <w:jc w:val="center"/>
        <w:rPr>
          <w:b/>
          <w:sz w:val="19"/>
        </w:rPr>
      </w:pPr>
    </w:p>
    <w:p w14:paraId="7311393C" w14:textId="4CF9D181" w:rsidR="00DB6380" w:rsidRDefault="004E45BE" w:rsidP="00DB6380">
      <w:pPr>
        <w:spacing w:after="0"/>
        <w:jc w:val="center"/>
        <w:rPr>
          <w:sz w:val="19"/>
        </w:rPr>
      </w:pPr>
      <w:r>
        <w:rPr>
          <w:b/>
          <w:sz w:val="19"/>
        </w:rPr>
        <w:t>Evangelia Thanou</w:t>
      </w:r>
      <w:r w:rsidR="00DB6380">
        <w:rPr>
          <w:b/>
          <w:sz w:val="19"/>
        </w:rPr>
        <w:t xml:space="preserve"> </w:t>
      </w:r>
    </w:p>
    <w:p w14:paraId="326BD042" w14:textId="740EB3B6" w:rsidR="00DB6380" w:rsidRPr="00DB6380" w:rsidRDefault="00DB6380" w:rsidP="00DB6380">
      <w:pPr>
        <w:spacing w:after="0"/>
        <w:jc w:val="center"/>
      </w:pPr>
      <w:r w:rsidRPr="00DB6380">
        <w:rPr>
          <w:sz w:val="19"/>
          <w:lang w:val="en-GB"/>
        </w:rPr>
        <w:t>Department of Archives, Library Science and Museology</w:t>
      </w:r>
    </w:p>
    <w:p w14:paraId="3EBE807C" w14:textId="2E43842C" w:rsidR="0079436D" w:rsidRDefault="004E45BE">
      <w:pPr>
        <w:spacing w:after="0"/>
        <w:jc w:val="center"/>
        <w:rPr>
          <w:sz w:val="19"/>
        </w:rPr>
      </w:pPr>
      <w:r>
        <w:rPr>
          <w:sz w:val="19"/>
        </w:rPr>
        <w:t>I</w:t>
      </w:r>
      <w:r>
        <w:rPr>
          <w:sz w:val="19"/>
        </w:rPr>
        <w:t>onian University</w:t>
      </w:r>
    </w:p>
    <w:p w14:paraId="62E1FD73" w14:textId="77777777" w:rsidR="00DB6380" w:rsidRDefault="00DB6380">
      <w:pPr>
        <w:spacing w:after="0"/>
        <w:jc w:val="center"/>
      </w:pPr>
    </w:p>
    <w:p w14:paraId="2D53DF3A" w14:textId="77777777" w:rsidR="0079436D" w:rsidRDefault="004E45BE">
      <w:pPr>
        <w:spacing w:after="0"/>
        <w:jc w:val="center"/>
      </w:pPr>
      <w:r>
        <w:rPr>
          <w:b/>
          <w:sz w:val="19"/>
        </w:rPr>
        <w:t>Matthaios Damigos</w:t>
      </w:r>
    </w:p>
    <w:p w14:paraId="04C6D410" w14:textId="77777777" w:rsidR="00DB6380" w:rsidRDefault="00743D86" w:rsidP="00DB6380">
      <w:pPr>
        <w:spacing w:after="0"/>
        <w:jc w:val="center"/>
        <w:rPr>
          <w:sz w:val="19"/>
        </w:rPr>
      </w:pPr>
      <w:r>
        <w:rPr>
          <w:sz w:val="19"/>
        </w:rPr>
        <w:t xml:space="preserve">Assistant </w:t>
      </w:r>
      <w:r w:rsidR="004E45BE">
        <w:rPr>
          <w:sz w:val="19"/>
        </w:rPr>
        <w:t>Professor</w:t>
      </w:r>
      <w:r w:rsidR="00DB6380">
        <w:rPr>
          <w:sz w:val="19"/>
        </w:rPr>
        <w:t xml:space="preserve"> </w:t>
      </w:r>
    </w:p>
    <w:p w14:paraId="4CE0BCDB" w14:textId="24FFCF77" w:rsidR="00DB6380" w:rsidRPr="00DB6380" w:rsidRDefault="00DB6380" w:rsidP="00DB6380">
      <w:pPr>
        <w:spacing w:after="0"/>
        <w:jc w:val="center"/>
      </w:pPr>
      <w:r w:rsidRPr="00DB6380">
        <w:rPr>
          <w:sz w:val="19"/>
          <w:lang w:val="en-GB"/>
        </w:rPr>
        <w:t>Department of Archives, Library Science and Museology</w:t>
      </w:r>
    </w:p>
    <w:p w14:paraId="64B9FE97" w14:textId="77777777" w:rsidR="00DB6380" w:rsidRDefault="00DB6380" w:rsidP="00DB6380">
      <w:pPr>
        <w:spacing w:after="0"/>
        <w:jc w:val="center"/>
      </w:pPr>
      <w:r>
        <w:rPr>
          <w:sz w:val="19"/>
        </w:rPr>
        <w:t>Ionian University</w:t>
      </w:r>
    </w:p>
    <w:p w14:paraId="05A7872B" w14:textId="4E68C950" w:rsidR="0079436D" w:rsidRDefault="0079436D">
      <w:pPr>
        <w:spacing w:after="0"/>
        <w:jc w:val="center"/>
      </w:pPr>
    </w:p>
    <w:p w14:paraId="06F940F6" w14:textId="77777777" w:rsidR="0079436D" w:rsidRDefault="004E45BE">
      <w:pPr>
        <w:pStyle w:val="Heading1"/>
      </w:pPr>
      <w:r>
        <w:t>Abstract</w:t>
      </w:r>
    </w:p>
    <w:p w14:paraId="233DC3A8" w14:textId="77777777" w:rsidR="0079436D" w:rsidRDefault="004E45BE" w:rsidP="00743D86">
      <w:pPr>
        <w:spacing w:line="276" w:lineRule="auto"/>
        <w:jc w:val="both"/>
      </w:pPr>
      <w:r>
        <w:t>Digital preservation requires metadata that can describe not only what a digital record is, but also the technical, procedural, organizational, and evidential conditions that allow it to remain authentic, understandable, and accessible over time. Records in Contexts (RiC-CM) provides an entity-centric framework for representing archival records and their contextual relationships, while PREMIS provides detailed preservation metadata for documenting digital objects, events, agents, rights, integrity, and tech</w:t>
      </w:r>
      <w:r>
        <w:t>nical dependencies. This paper investigates whether RiC-CM, through its ontology implementation RiC-O, can be extended to represent core digital preservation requirements without changing its relationship-oriented archival philosophy. A qualitative conceptual methodology is employed. Concepts and properties from RiC-O and PREMIS are collected, organized, and mapped according to semantic function rather than lexical similarity. The mapping shows direct correspondences for concepts such as Agent and Identifie</w:t>
      </w:r>
      <w:r>
        <w:t>r, close but non-equivalent correspondences for concepts such as Object/RecordResource and Event/Activity, and important gaps for Fixity, Dependency, StorageLocation, preservation outcomes, and preservation policies. Based on these gaps, the paper proposes a lightweight extension centered on preservation-oriented relationships, including hasFixity, hasDependency, hasOutcomeStatus, wasAssociatedWithSoftwareAgent, actsAsMechanism, and wasGeneratedByActivity. Illustrative scenarios involving a historical photo</w:t>
      </w:r>
      <w:r>
        <w:t>graph, a video testimony, and OCR-based processing of government records show how the extension can connect archival context with preservation evidence. The contribution is a conceptual integration framework rather than a replacement for PREMIS, with future work directed toward an OWL implementation, automated mapping, and evaluation in real repositories.</w:t>
      </w:r>
    </w:p>
    <w:p w14:paraId="1387D6E8" w14:textId="77777777" w:rsidR="0079436D" w:rsidRDefault="004E45BE" w:rsidP="00743D86">
      <w:pPr>
        <w:spacing w:line="276" w:lineRule="auto"/>
        <w:jc w:val="both"/>
      </w:pPr>
      <w:r>
        <w:t>Keywords: RiC-CM; RiC-O; digital preservation; PREMIS; semantic interoperability; ontology mapping; archival metadata</w:t>
      </w:r>
    </w:p>
    <w:p w14:paraId="5D4C31B6" w14:textId="77777777" w:rsidR="0079436D" w:rsidRDefault="004E45BE">
      <w:pPr>
        <w:pStyle w:val="Heading1"/>
      </w:pPr>
      <w:r>
        <w:t>1 Introduction</w:t>
      </w:r>
    </w:p>
    <w:p w14:paraId="4F1BEC22" w14:textId="77777777" w:rsidR="0079436D" w:rsidRDefault="004E45BE" w:rsidP="00743D86">
      <w:pPr>
        <w:spacing w:line="276" w:lineRule="auto"/>
        <w:jc w:val="both"/>
      </w:pPr>
      <w:r>
        <w:t>Digital records are no longer static objects that can be adequately described by a title, creator, date, and location. Their long-term survival depends on a network of technical and organizational conditions: file formats, software, hardware, storage environments, integrity checks, preservation actions, rights, and the evidence documenting those actions. This makes digital preservation a metadata and semantic interoperability problem as well as a storage problem. The archival community therefore needs model</w:t>
      </w:r>
      <w:r>
        <w:t>s capable of representing both the contextual meaning of records and the processes through which their digital manifestations are maintained.</w:t>
      </w:r>
    </w:p>
    <w:p w14:paraId="7D3EA618" w14:textId="77777777" w:rsidR="0079436D" w:rsidRDefault="004E45BE" w:rsidP="00743D86">
      <w:pPr>
        <w:spacing w:line="276" w:lineRule="auto"/>
        <w:jc w:val="both"/>
      </w:pPr>
      <w:r>
        <w:t xml:space="preserve">Records in Contexts (RiC) was developed to move archival description away from isolated hierarchical descriptions toward an entity-centric and relationship-oriented representation of records, agents, activities, events, functions, and other contextual entities (ICA 2021; ICA 2023a). RiC-CM provides the conceptual model, while RiC-O expresses its concepts through RDF and OWL, making them suitable for Linked Data environments (ICA 2023b). This semantic orientation is particularly relevant to digital archives </w:t>
      </w:r>
      <w:r>
        <w:t>because preservation information is distributed across heterogeneous systems and can benefit from explicit links between records, actions, people, software, policies, and evidence.</w:t>
      </w:r>
    </w:p>
    <w:p w14:paraId="6776ED70" w14:textId="77777777" w:rsidR="0079436D" w:rsidRDefault="004E45BE" w:rsidP="00743D86">
      <w:pPr>
        <w:spacing w:line="276" w:lineRule="auto"/>
        <w:jc w:val="both"/>
      </w:pPr>
      <w:r>
        <w:t>PREMIS, by contrast, was designed specifically for preservation metadata. Its conceptual structure emphasizes digital Objects, Events, Agents, and Rights, together with detailed information about fixity, formats, dependencies, outcomes, and preservation actions (PREMIS Editorial Committee 2015). PREMIS therefore captures the operational history and technical conditions that a general archival description model does not necessarily represent. The two models consequently address complementary dimensions of th</w:t>
      </w:r>
      <w:r>
        <w:t>e same information environment: RiC emphasizes archival context, while PREMIS emphasizes preservation management.</w:t>
      </w:r>
    </w:p>
    <w:p w14:paraId="587FD24E" w14:textId="77777777" w:rsidR="0079436D" w:rsidRDefault="004E45BE" w:rsidP="00743D86">
      <w:pPr>
        <w:spacing w:line="276" w:lineRule="auto"/>
        <w:jc w:val="both"/>
      </w:pPr>
      <w:r>
        <w:t>The central problem addressed by this paper is the conceptual separation between these dimensions. If archival description and preservation metadata remain isolated, a repository may know that a record exists and who created it, while storing preservation events and technical evidence elsewhere without a direct semantic bridge. Conversely, a preservation system may record a checksum, migration, or software dependency without representing the archival context that gives the preserved object evidential meanin</w:t>
      </w:r>
      <w:r>
        <w:t>g.</w:t>
      </w:r>
    </w:p>
    <w:p w14:paraId="3AB3D467" w14:textId="77777777" w:rsidR="0079436D" w:rsidRDefault="004E45BE" w:rsidP="00743D86">
      <w:pPr>
        <w:spacing w:line="276" w:lineRule="auto"/>
        <w:jc w:val="both"/>
      </w:pPr>
      <w:r>
        <w:t>This study asks four questions: (1) to what extent can existing RiC-CM entities and relationships represent digital preservation information; (2) which PREMIS concepts reveal gaps in RiC-CM; (3) which semantic extensions can cover these gaps while preserving the core RiC-CM philosophy; and (4) how can the extension improve interoperability between archival description and preservation systems? The contribution is a systematic conceptual mapping and a proposal for a small set of preservation-oriented relatio</w:t>
      </w:r>
      <w:r>
        <w:t>nships.</w:t>
      </w:r>
    </w:p>
    <w:p w14:paraId="1FE833A2" w14:textId="77777777" w:rsidR="0079436D" w:rsidRDefault="004E45BE">
      <w:pPr>
        <w:pStyle w:val="Heading1"/>
      </w:pPr>
      <w:r>
        <w:lastRenderedPageBreak/>
        <w:t>2 Related Work</w:t>
      </w:r>
    </w:p>
    <w:p w14:paraId="2A119AE1" w14:textId="1B61F598" w:rsidR="0079436D" w:rsidRDefault="004E45BE" w:rsidP="00743D86">
      <w:pPr>
        <w:spacing w:line="276" w:lineRule="auto"/>
        <w:jc w:val="both"/>
      </w:pPr>
      <w:r>
        <w:t>The literature on semantic interoperability in archives increasingly treats archival models as knowledge representation frameworks rather than as fixed descriptive forms. RiC-CM responds to the limitations of traditional standards by representing records through entities and relationships and by supporting contextual networks (Gueguen et al. 20</w:t>
      </w:r>
      <w:r w:rsidR="00743D86">
        <w:t>13</w:t>
      </w:r>
      <w:r>
        <w:t>; Dancy 2024). The approach has also been examined in relation to CIDOC CRM, demonstrating that conceptual correspondences can support interoperability across cultural heritage systems (Bountouri et al. 2023; Oliveira de Cardoso et al. 2024). Such work is important for the present study because it shows that RiC-CM can participate in mappings across models without requiring a single vocabulary to replace all others.</w:t>
      </w:r>
    </w:p>
    <w:p w14:paraId="006F7917" w14:textId="1ECC4807" w:rsidR="0079436D" w:rsidRDefault="004E45BE" w:rsidP="00743D86">
      <w:pPr>
        <w:spacing w:line="276" w:lineRule="auto"/>
        <w:jc w:val="both"/>
      </w:pPr>
      <w:r>
        <w:t xml:space="preserve">RiC-O further strengthens this potential by implementing RiC-CM through Semantic Web technologies. Clavaud and Wildi's work demonstrated the role of RiC-O in Linked Open Data, while the RiC-O Converter showed that existing EAD and EAC-CPF descriptions can be transformed into RDF datasets compatible with RiC-O (Clavaud and Wildi 2021; </w:t>
      </w:r>
      <w:proofErr w:type="spellStart"/>
      <w:r>
        <w:t>Clavaud</w:t>
      </w:r>
      <w:proofErr w:type="spellEnd"/>
      <w:r>
        <w:t>, Francart and Charbonnier</w:t>
      </w:r>
      <w:r w:rsidR="00743D86">
        <w:t>,</w:t>
      </w:r>
      <w:r>
        <w:t xml:space="preserve"> 2023). Applications of RiC to concrete archival collections have also shown its capacity to model complex relationships between records, agents, activities, and historical contexts. These developments suggest that RiC is suitable as a semantic backbone for archival information, including specialized extensions.</w:t>
      </w:r>
    </w:p>
    <w:p w14:paraId="4F85288B" w14:textId="1DF3ED0B" w:rsidR="0079436D" w:rsidRDefault="004E45BE" w:rsidP="00743D86">
      <w:pPr>
        <w:spacing w:line="276" w:lineRule="auto"/>
        <w:jc w:val="both"/>
      </w:pPr>
      <w:r>
        <w:t>PREMIS addresses a different layer of the information environment. Its Data Dictionary defines preservation metadata required to maintain digital objects over time, including technical characteristics, preservation events, agents, rights, and integrity information (PREMIS Editorial Committee</w:t>
      </w:r>
      <w:r w:rsidR="00743D86">
        <w:t>,</w:t>
      </w:r>
      <w:r>
        <w:t xml:space="preserve"> 2015). Practical implementation studies have shown the usefulness of PREMIS for tracking preservation processes, while PREMIS OWL has extended the standard toward semantic representation (Coppens et al. 2015). The development of semantic representations is especially relevant because both RiC-O and PREMIS can be discussed within an RDF/OWL environment rather than only as independent XML or database structures.</w:t>
      </w:r>
    </w:p>
    <w:p w14:paraId="42713763" w14:textId="77777777" w:rsidR="0079436D" w:rsidRDefault="004E45BE" w:rsidP="00743D86">
      <w:pPr>
        <w:spacing w:line="276" w:lineRule="auto"/>
        <w:jc w:val="both"/>
      </w:pPr>
      <w:r>
        <w:t>The literature nevertheless leaves an integration gap. Existing research has examined archival interoperability, PREMIS implementation, and semantic representations separately, but the thesis underlying this paper identifies no established systematic mapping that combines RiC-O's contextual expressiveness with PREMIS's preservation specificity. This gap motivates a mapping based on semantic function and a targeted extension rather than a wholesale redesign of RiC-CM.</w:t>
      </w:r>
    </w:p>
    <w:p w14:paraId="0C669C92" w14:textId="77777777" w:rsidR="0079436D" w:rsidRDefault="004E45BE">
      <w:pPr>
        <w:pStyle w:val="Heading1"/>
      </w:pPr>
      <w:r>
        <w:t>3 Conceptual Background</w:t>
      </w:r>
    </w:p>
    <w:p w14:paraId="57914B14" w14:textId="77777777" w:rsidR="0079436D" w:rsidRDefault="004E45BE">
      <w:pPr>
        <w:pStyle w:val="Heading2"/>
      </w:pPr>
      <w:r>
        <w:t>3.1 Semantic representation and interoperability</w:t>
      </w:r>
    </w:p>
    <w:p w14:paraId="7BFA2763" w14:textId="7DCA2078" w:rsidR="0079436D" w:rsidRDefault="004E45BE" w:rsidP="00743D86">
      <w:pPr>
        <w:spacing w:line="276" w:lineRule="auto"/>
        <w:jc w:val="both"/>
      </w:pPr>
      <w:r>
        <w:t>Ontologies provide formal vocabularies for representing concepts, properties, and relationships in a domain (Gruber</w:t>
      </w:r>
      <w:r w:rsidR="00743D86">
        <w:t>,</w:t>
      </w:r>
      <w:r>
        <w:t>1993). In the Semantic Web architecture, RDF represents information as subject-predicate-object triples, RDFS supports classes and hierarchies, and OWL provides richer logical constructs for equivalence, specialization, restrictions, and reasoning (W3C 2014a; W3C 2014b; W3C 2012). These technologies matter for archival interoperability because mappings can be expressed explicitly and machine-processably. A semantic relation can therefore distinguish equivalence from specialization or documentation instead o</w:t>
      </w:r>
      <w:r>
        <w:t>f treating two similarly named metadata fields as automatically identical.</w:t>
      </w:r>
    </w:p>
    <w:p w14:paraId="46C5FB19" w14:textId="77777777" w:rsidR="0079436D" w:rsidRDefault="004E45BE" w:rsidP="00743D86">
      <w:pPr>
        <w:pStyle w:val="Heading2"/>
        <w:spacing w:line="276" w:lineRule="auto"/>
        <w:jc w:val="both"/>
      </w:pPr>
      <w:r>
        <w:t>3.2 RiC-CM and RiC-O</w:t>
      </w:r>
    </w:p>
    <w:p w14:paraId="343ECAEB" w14:textId="6E071B93" w:rsidR="0079436D" w:rsidRDefault="004E45BE" w:rsidP="00743D86">
      <w:pPr>
        <w:spacing w:line="276" w:lineRule="auto"/>
        <w:jc w:val="both"/>
      </w:pPr>
      <w:r>
        <w:t>RiC-CM organizes archival information around entities such as Record/Record Set, Agent, Function, Activity, Event, Place, and Date. Its central strength is the representation of context through relationships: agents create or manage records; activities produce or affect records; events occur in time and place; and records document functions and activities (ICA</w:t>
      </w:r>
      <w:r w:rsidR="00743D86">
        <w:t>,</w:t>
      </w:r>
      <w:r>
        <w:t xml:space="preserve"> 2021; ICA</w:t>
      </w:r>
      <w:r w:rsidR="00743D86">
        <w:t>,</w:t>
      </w:r>
      <w:r>
        <w:t xml:space="preserve"> 2023a). RiC-O translates these concepts into an ontology. Core classes include RecordResource, RecordSet, Agent, Function, Activity, Event, Place, Date, and Concept, with object and datatype properties used to construct a graph of archival knowledge.</w:t>
      </w:r>
    </w:p>
    <w:p w14:paraId="67FB753B" w14:textId="77777777" w:rsidR="0079436D" w:rsidRDefault="004E45BE" w:rsidP="00743D86">
      <w:pPr>
        <w:pStyle w:val="Heading2"/>
        <w:spacing w:line="276" w:lineRule="auto"/>
        <w:jc w:val="both"/>
      </w:pPr>
      <w:r>
        <w:t>3.3 PREMIS</w:t>
      </w:r>
    </w:p>
    <w:p w14:paraId="34CD4CCC" w14:textId="77777777" w:rsidR="0079436D" w:rsidRDefault="004E45BE" w:rsidP="00743D86">
      <w:pPr>
        <w:spacing w:line="276" w:lineRule="auto"/>
        <w:jc w:val="both"/>
      </w:pPr>
      <w:r>
        <w:t>PREMIS is oriented toward the long-term preservation of digital objects. Its core entities are Object, Event, Agent, and Rights, supported by detailed semantic units. Object information can include identifiers, format, size, creating application, and fixity; Event information captures preservation actions and their outcomes; Agent information identifies persons, organizations, or software; and Rights information records permissions and restrictions. PREMIS can therefore preserve the technical and procedural</w:t>
      </w:r>
      <w:r>
        <w:t xml:space="preserve"> evidence needed to understand what happened to a digital object and under which conditions.</w:t>
      </w:r>
    </w:p>
    <w:p w14:paraId="43080B52" w14:textId="77777777" w:rsidR="0079436D" w:rsidRDefault="004E45BE" w:rsidP="00743D86">
      <w:pPr>
        <w:pStyle w:val="Heading1"/>
        <w:spacing w:line="276" w:lineRule="auto"/>
        <w:jc w:val="both"/>
      </w:pPr>
      <w:r>
        <w:t>4 Methodology</w:t>
      </w:r>
    </w:p>
    <w:p w14:paraId="26A72122" w14:textId="77777777" w:rsidR="0079436D" w:rsidRDefault="004E45BE" w:rsidP="00743D86">
      <w:pPr>
        <w:spacing w:line="276" w:lineRule="auto"/>
        <w:jc w:val="both"/>
      </w:pPr>
      <w:r>
        <w:t>The study follows a qualitative and conceptual methodology. It does not evaluate an operational repository or measure system performance; instead, it examines whether the semantic structures of RiC-O can accommodate preservation concepts derived from PREMIS. The methodology consists of four stages.</w:t>
      </w:r>
    </w:p>
    <w:p w14:paraId="74AECEBE" w14:textId="77777777" w:rsidR="0079436D" w:rsidRDefault="004E45BE" w:rsidP="00743D86">
      <w:pPr>
        <w:spacing w:line="276" w:lineRule="auto"/>
        <w:jc w:val="both"/>
      </w:pPr>
      <w:r>
        <w:t>• Model inspection and data collection: the classes, object properties, and datatype properties of RiC-O and the preservation-relevant concepts of PREMIS were identified and organized systematically.</w:t>
      </w:r>
    </w:p>
    <w:p w14:paraId="713E5478" w14:textId="77777777" w:rsidR="0079436D" w:rsidRDefault="004E45BE" w:rsidP="00743D86">
      <w:pPr>
        <w:spacing w:line="276" w:lineRule="auto"/>
        <w:jc w:val="both"/>
      </w:pPr>
      <w:r>
        <w:t>• Semantic mapping: candidate correspondences were assessed according to conceptual function, scope, and level of abstraction rather than by lexical similarity alone.</w:t>
      </w:r>
    </w:p>
    <w:p w14:paraId="7F3B6CC3" w14:textId="77777777" w:rsidR="0079436D" w:rsidRDefault="004E45BE" w:rsidP="00743D86">
      <w:pPr>
        <w:spacing w:line="276" w:lineRule="auto"/>
        <w:jc w:val="both"/>
      </w:pPr>
      <w:r>
        <w:t>• Gap analysis: concepts with no direct counterpart, or concepts whose meaning could only be represented indirectly through archival records, were identified as conceptual gaps.</w:t>
      </w:r>
    </w:p>
    <w:p w14:paraId="25C867B5" w14:textId="77777777" w:rsidR="0079436D" w:rsidRDefault="004E45BE" w:rsidP="00743D86">
      <w:pPr>
        <w:spacing w:line="276" w:lineRule="auto"/>
        <w:jc w:val="both"/>
      </w:pPr>
      <w:r>
        <w:t>• Extension design and scenarios: preservation-oriented relationships were proposed and then tested conceptually through three illustrative workflows.</w:t>
      </w:r>
    </w:p>
    <w:p w14:paraId="143F4FC4" w14:textId="77777777" w:rsidR="0079436D" w:rsidRDefault="004E45BE" w:rsidP="00743D86">
      <w:pPr>
        <w:spacing w:line="276" w:lineRule="auto"/>
        <w:jc w:val="both"/>
      </w:pPr>
      <w:r>
        <w:lastRenderedPageBreak/>
        <w:t>The mapping distinguishes several semantic outcomes. A relationship may be treated as equivalence when the concepts have essentially the same meaning; as specialization when one concept is narrower than another; as close conceptual correspondence when the two concepts overlap but operate at different abstraction levels; or as indirect documentation when one model represents the concept itself while the other represents a record that documents it. This distinction is important because a naive one-to-one mapp</w:t>
      </w:r>
      <w:r>
        <w:t>ing would hide the conceptual asymmetry between archival description and preservation metadata.</w:t>
      </w:r>
    </w:p>
    <w:p w14:paraId="5BE3D0D8" w14:textId="77777777" w:rsidR="0079436D" w:rsidRDefault="004E45BE" w:rsidP="00743D86">
      <w:pPr>
        <w:pStyle w:val="Heading1"/>
        <w:spacing w:line="276" w:lineRule="auto"/>
        <w:jc w:val="both"/>
      </w:pPr>
      <w:r>
        <w:t>5 Mapping RiC-O and PREMIS</w:t>
      </w:r>
    </w:p>
    <w:p w14:paraId="4DCFC29D" w14:textId="77777777" w:rsidR="0079436D" w:rsidRDefault="004E45BE" w:rsidP="00743D86">
      <w:pPr>
        <w:spacing w:line="276" w:lineRule="auto"/>
        <w:jc w:val="both"/>
      </w:pPr>
      <w:r>
        <w:t>The mapping shows substantial overlap, but not uniform equivalence. Some entities can be connected directly, while others require a contextual or documentary relationship. The most relevant correspondences are summarized in Table 1.</w:t>
      </w:r>
    </w:p>
    <w:p w14:paraId="3669DA33" w14:textId="77777777" w:rsidR="0079436D" w:rsidRDefault="004E45BE" w:rsidP="00743D86">
      <w:pPr>
        <w:spacing w:line="276" w:lineRule="auto"/>
        <w:jc w:val="both"/>
      </w:pPr>
      <w:r>
        <w:t>The Object/RecordResource relationship illustrates the principal semantic difference. PREMIS Object emphasizes the digital object as something that a preservation system manages. RiC-O RecordResource emphasizes the archival resource as evidence embedded in context. A PDF dissertation can therefore be a PREMIS Object because it is technically preserved, while the same resource is a RiC-O RecordResource because it documents an academic activity and has provenance and custodial context. Treating the two as str</w:t>
      </w:r>
      <w:r>
        <w:t>ictly equivalent would lose this distinction; a close correspondence is more appropriate.</w:t>
      </w:r>
    </w:p>
    <w:p w14:paraId="15E4B637" w14:textId="77777777" w:rsidR="0079436D" w:rsidRDefault="004E45BE" w:rsidP="00743D86">
      <w:pPr>
        <w:spacing w:line="276" w:lineRule="auto"/>
        <w:jc w:val="both"/>
      </w:pPr>
      <w:r>
        <w:t>The Event/Activity relationship is similarly asymmetric. A PREMIS Event records a preservation action such as migration, validation, backup, or ingestion. RiC-O Activity is broader and may represent administrative, operational, or archival processes that are not preservation events. Consequently, preservation events can be interpreted as a specialized subset or semantically related form of RiC-O activity, but not every RiC-O activity is a PREMIS event.</w:t>
      </w:r>
    </w:p>
    <w:p w14:paraId="022F0DBD" w14:textId="77777777" w:rsidR="0079436D" w:rsidRDefault="004E45BE" w:rsidP="00743D86">
      <w:pPr>
        <w:spacing w:line="276" w:lineRule="auto"/>
        <w:jc w:val="both"/>
      </w:pPr>
      <w:r>
        <w:t>Agent and Identifier are stronger mappings. Both models require persistent identification of entities and both use agents to connect responsibility with actions. Person and Organization reveal the value of specialization: a PREMIS Person can be treated as a RiC-O Person/Agent, while a PREMIS Organization can be represented under the broader RiC-O Group concept.</w:t>
      </w:r>
    </w:p>
    <w:p w14:paraId="622EB026" w14:textId="77777777" w:rsidR="0079436D" w:rsidRDefault="004E45BE" w:rsidP="00743D86">
      <w:pPr>
        <w:spacing w:line="276" w:lineRule="auto"/>
        <w:jc w:val="both"/>
      </w:pPr>
      <w:r>
        <w:t xml:space="preserve">The most significant gaps concern preservation-specific evidence. Fixity records checksums and verification information; Dependency captures software, codecs, operating systems, or other requirements; StorageLocation records where a digital object is stored; and OutcomeStatus records whether an action succeeded, failed, or produced another result. RiC-O can document these concepts indirectly through records and activities, but it does not provide the same explicit preservation semantics. Policies and legal </w:t>
      </w:r>
      <w:r>
        <w:t>information also reveal a difference in emphasis: PREMIS models preservation rights and policies as preservation metadata, while RiC-O can treat the relevant documents as archival records and rules.</w:t>
      </w:r>
    </w:p>
    <w:p w14:paraId="34288D41" w14:textId="77777777" w:rsidR="0079436D" w:rsidRDefault="004E45BE" w:rsidP="00743D86">
      <w:pPr>
        <w:pStyle w:val="Heading2"/>
        <w:spacing w:line="276" w:lineRule="auto"/>
        <w:jc w:val="both"/>
      </w:pPr>
      <w:r>
        <w:t>5.1 Detailed Semantic Correspondences</w:t>
      </w:r>
    </w:p>
    <w:p w14:paraId="12BFD33A" w14:textId="6EF0619F" w:rsidR="0079436D" w:rsidRDefault="004E45BE" w:rsidP="00743D86">
      <w:pPr>
        <w:pStyle w:val="ListParagraph"/>
        <w:numPr>
          <w:ilvl w:val="0"/>
          <w:numId w:val="10"/>
        </w:numPr>
        <w:spacing w:line="276" w:lineRule="auto"/>
        <w:jc w:val="both"/>
      </w:pPr>
      <w:r w:rsidRPr="00E257AB">
        <w:rPr>
          <w:b/>
          <w:bCs/>
        </w:rPr>
        <w:t xml:space="preserve">IntellectualEntity and </w:t>
      </w:r>
      <w:proofErr w:type="spellStart"/>
      <w:proofErr w:type="gramStart"/>
      <w:r w:rsidRPr="00E257AB">
        <w:rPr>
          <w:b/>
          <w:bCs/>
        </w:rPr>
        <w:t>RecordResource</w:t>
      </w:r>
      <w:proofErr w:type="spellEnd"/>
      <w:r w:rsidR="00743D86">
        <w:t xml:space="preserve"> :</w:t>
      </w:r>
      <w:proofErr w:type="gramEnd"/>
      <w:r>
        <w:t xml:space="preserve"> The thesis distinguishes the conceptual identity of a work from its archival documentary identity. PREMIS IntellectualEntity describes the intellectual or conceptual object being preserved, while RiC-O RecordResource represents an archival resource embedded in relationships with creators, activities, functions and other contextual entities. The mapping is therefore close rather than equivalent. A dissertation, for example, can remain one intellectual work while being represented by multiple digital or phys</w:t>
      </w:r>
      <w:r>
        <w:t>ical resources.</w:t>
      </w:r>
    </w:p>
    <w:p w14:paraId="64171F07" w14:textId="76F26A68" w:rsidR="0079436D" w:rsidRDefault="004E45BE" w:rsidP="00743D86">
      <w:pPr>
        <w:pStyle w:val="ListParagraph"/>
        <w:numPr>
          <w:ilvl w:val="0"/>
          <w:numId w:val="10"/>
        </w:numPr>
        <w:spacing w:line="276" w:lineRule="auto"/>
        <w:jc w:val="both"/>
      </w:pPr>
      <w:r w:rsidRPr="00E257AB">
        <w:rPr>
          <w:b/>
          <w:bCs/>
        </w:rPr>
        <w:t xml:space="preserve">Event and </w:t>
      </w:r>
      <w:proofErr w:type="gramStart"/>
      <w:r w:rsidRPr="00E257AB">
        <w:rPr>
          <w:b/>
          <w:bCs/>
        </w:rPr>
        <w:t>Activity</w:t>
      </w:r>
      <w:r w:rsidR="00743D86">
        <w:t xml:space="preserve"> :</w:t>
      </w:r>
      <w:proofErr w:type="gramEnd"/>
      <w:r>
        <w:t xml:space="preserve"> PREMIS Event is oriented toward actions affecting or relating to preservation objects, including migration, validation, backup and ingestion. RiC-O Activity is broader and may describe administrative, operational, historical or preservation-related activity. A preservation event can therefore be linked to an archival activity, but the reverse is not necessarily true. The thesis treats this as a close semantic relationship.</w:t>
      </w:r>
    </w:p>
    <w:p w14:paraId="660E29E8" w14:textId="0D3A5A92" w:rsidR="0079436D" w:rsidRDefault="004E45BE" w:rsidP="00743D86">
      <w:pPr>
        <w:pStyle w:val="ListParagraph"/>
        <w:numPr>
          <w:ilvl w:val="0"/>
          <w:numId w:val="10"/>
        </w:numPr>
        <w:spacing w:line="276" w:lineRule="auto"/>
        <w:jc w:val="both"/>
      </w:pPr>
      <w:proofErr w:type="gramStart"/>
      <w:r w:rsidRPr="00E257AB">
        <w:rPr>
          <w:b/>
          <w:bCs/>
        </w:rPr>
        <w:t>Identifier</w:t>
      </w:r>
      <w:r w:rsidR="00743D86">
        <w:t xml:space="preserve"> :</w:t>
      </w:r>
      <w:proofErr w:type="gramEnd"/>
      <w:r w:rsidR="00743D86">
        <w:t xml:space="preserve"> </w:t>
      </w:r>
      <w:r>
        <w:t>The identifier concepts provide one of the strongest interoperability anchors. Both models use identifiers to distinguish entities and enable stable references. This makes identifier alignment particularly suitable for linking a PREMIS record with its RiC-O counterpart without changing the meaning of either model.</w:t>
      </w:r>
    </w:p>
    <w:p w14:paraId="486A855E" w14:textId="279B9A43" w:rsidR="0079436D" w:rsidRDefault="004E45BE" w:rsidP="00743D86">
      <w:pPr>
        <w:pStyle w:val="ListParagraph"/>
        <w:numPr>
          <w:ilvl w:val="0"/>
          <w:numId w:val="10"/>
        </w:numPr>
        <w:spacing w:line="276" w:lineRule="auto"/>
        <w:jc w:val="both"/>
      </w:pPr>
      <w:r w:rsidRPr="00E257AB">
        <w:rPr>
          <w:b/>
          <w:bCs/>
        </w:rPr>
        <w:t xml:space="preserve">Agent, Person and </w:t>
      </w:r>
      <w:proofErr w:type="gramStart"/>
      <w:r w:rsidRPr="00E257AB">
        <w:rPr>
          <w:b/>
          <w:bCs/>
        </w:rPr>
        <w:t>Organization</w:t>
      </w:r>
      <w:r w:rsidR="00743D86">
        <w:t xml:space="preserve"> :</w:t>
      </w:r>
      <w:proofErr w:type="gramEnd"/>
      <w:r w:rsidR="00743D86">
        <w:t xml:space="preserve"> </w:t>
      </w:r>
      <w:r>
        <w:t>Agents participate in preservation and archival activities. Person and Organization provide more specific cases, while RiC-O uses a broader agent structure that includes persons and collective entities. The thesis therefore treats Person and Organization as specialization mappings rather than assuming unrestricted equivalence between every agent class.</w:t>
      </w:r>
    </w:p>
    <w:p w14:paraId="398B4A0E" w14:textId="7FD3287B" w:rsidR="0079436D" w:rsidRDefault="004E45BE" w:rsidP="00743D86">
      <w:pPr>
        <w:pStyle w:val="ListParagraph"/>
        <w:numPr>
          <w:ilvl w:val="0"/>
          <w:numId w:val="10"/>
        </w:numPr>
        <w:spacing w:line="276" w:lineRule="auto"/>
        <w:jc w:val="both"/>
      </w:pPr>
      <w:r w:rsidRPr="00E257AB">
        <w:rPr>
          <w:b/>
          <w:bCs/>
        </w:rPr>
        <w:t xml:space="preserve">Object and </w:t>
      </w:r>
      <w:proofErr w:type="spellStart"/>
      <w:proofErr w:type="gramStart"/>
      <w:r w:rsidRPr="00E257AB">
        <w:rPr>
          <w:b/>
          <w:bCs/>
        </w:rPr>
        <w:t>RecordResource</w:t>
      </w:r>
      <w:proofErr w:type="spellEnd"/>
      <w:r w:rsidR="00743D86">
        <w:t xml:space="preserve"> :</w:t>
      </w:r>
      <w:proofErr w:type="gramEnd"/>
      <w:r w:rsidR="00743D86">
        <w:t xml:space="preserve"> </w:t>
      </w:r>
      <w:r>
        <w:t>PREMIS Object is centered on the digital object managed by a preservation system; RiC-O RecordResource is centered on an archival resource and its documentary context. The same digital artifact can therefore legitimately participate in both descriptions. This is a central reason for using an interoperability relation rather than collapsing the two classes.</w:t>
      </w:r>
    </w:p>
    <w:p w14:paraId="2FA4CBEF" w14:textId="7E20ABED" w:rsidR="0079436D" w:rsidRDefault="004E45BE" w:rsidP="00743D86">
      <w:pPr>
        <w:pStyle w:val="ListParagraph"/>
        <w:numPr>
          <w:ilvl w:val="0"/>
          <w:numId w:val="10"/>
        </w:numPr>
        <w:spacing w:line="276" w:lineRule="auto"/>
        <w:jc w:val="both"/>
      </w:pPr>
      <w:r w:rsidRPr="00E257AB">
        <w:rPr>
          <w:b/>
          <w:bCs/>
        </w:rPr>
        <w:t xml:space="preserve">File, Bitstream, Representation and </w:t>
      </w:r>
      <w:proofErr w:type="gramStart"/>
      <w:r w:rsidRPr="00E257AB">
        <w:rPr>
          <w:b/>
          <w:bCs/>
        </w:rPr>
        <w:t>Instantiation</w:t>
      </w:r>
      <w:r w:rsidR="00743D86">
        <w:t xml:space="preserve"> :</w:t>
      </w:r>
      <w:proofErr w:type="gramEnd"/>
      <w:r w:rsidR="00743D86">
        <w:t xml:space="preserve"> </w:t>
      </w:r>
      <w:r>
        <w:t xml:space="preserve">PREMIS distinguishes levels of digital realization, whereas RiC-O uses Instantiation to describe a particular embodiment of an archival resource. The concepts are close because both address concrete realizations, but their exact semantics should be tested formally before asserting </w:t>
      </w:r>
      <w:proofErr w:type="gramStart"/>
      <w:r>
        <w:t>owl:equivalentClass</w:t>
      </w:r>
      <w:proofErr w:type="gramEnd"/>
      <w:r>
        <w:t>.</w:t>
      </w:r>
    </w:p>
    <w:p w14:paraId="60306949" w14:textId="124185A5" w:rsidR="0079436D" w:rsidRDefault="004E45BE" w:rsidP="00743D86">
      <w:pPr>
        <w:pStyle w:val="ListParagraph"/>
        <w:numPr>
          <w:ilvl w:val="0"/>
          <w:numId w:val="10"/>
        </w:numPr>
        <w:spacing w:line="276" w:lineRule="auto"/>
        <w:jc w:val="both"/>
      </w:pPr>
      <w:r w:rsidRPr="00E257AB">
        <w:rPr>
          <w:b/>
          <w:bCs/>
        </w:rPr>
        <w:t xml:space="preserve">StorageMedium and </w:t>
      </w:r>
      <w:proofErr w:type="spellStart"/>
      <w:proofErr w:type="gramStart"/>
      <w:r w:rsidRPr="00E257AB">
        <w:rPr>
          <w:b/>
          <w:bCs/>
        </w:rPr>
        <w:t>CarrierTyp</w:t>
      </w:r>
      <w:r w:rsidR="00743D86" w:rsidRPr="00E257AB">
        <w:rPr>
          <w:b/>
          <w:bCs/>
        </w:rPr>
        <w:t>e</w:t>
      </w:r>
      <w:proofErr w:type="spellEnd"/>
      <w:r w:rsidR="00743D86">
        <w:t xml:space="preserve"> :</w:t>
      </w:r>
      <w:proofErr w:type="gramEnd"/>
      <w:r>
        <w:t xml:space="preserve"> Both concepts concern the material or technical means through which information is stored or carried. The thesis treats them as semantically related but not necessarily identical because PREMIS approaches the medium from preservation management while RiC approaches the carrier from archival description.</w:t>
      </w:r>
    </w:p>
    <w:p w14:paraId="3C441114" w14:textId="45FC0D07" w:rsidR="0079436D" w:rsidRDefault="004E45BE" w:rsidP="00743D86">
      <w:pPr>
        <w:pStyle w:val="ListParagraph"/>
        <w:numPr>
          <w:ilvl w:val="0"/>
          <w:numId w:val="10"/>
        </w:numPr>
        <w:spacing w:line="276" w:lineRule="auto"/>
        <w:jc w:val="both"/>
      </w:pPr>
      <w:r w:rsidRPr="00E257AB">
        <w:rPr>
          <w:b/>
          <w:bCs/>
        </w:rPr>
        <w:t xml:space="preserve">Dependency, Fixity and </w:t>
      </w:r>
      <w:proofErr w:type="spellStart"/>
      <w:proofErr w:type="gramStart"/>
      <w:r w:rsidRPr="00E257AB">
        <w:rPr>
          <w:b/>
          <w:bCs/>
        </w:rPr>
        <w:t>OutcomeStatus</w:t>
      </w:r>
      <w:proofErr w:type="spellEnd"/>
      <w:r w:rsidR="00743D86">
        <w:t xml:space="preserve"> :</w:t>
      </w:r>
      <w:proofErr w:type="gramEnd"/>
      <w:r w:rsidR="00743D86">
        <w:t xml:space="preserve"> </w:t>
      </w:r>
      <w:r>
        <w:t>These concepts expose the clearest gaps. Dependency expresses technical requirements; Fixity expresses integrity evidence; OutcomeStatus expresses the result of a preservation action. RiC can document each through records and activities, but the preservation-specific semantics are not explicit. This observation motivates the proposed extension.</w:t>
      </w:r>
    </w:p>
    <w:p w14:paraId="1A4FF3E6" w14:textId="6A18CB41" w:rsidR="0079436D" w:rsidRDefault="004E45BE" w:rsidP="00743D86">
      <w:pPr>
        <w:pStyle w:val="ListParagraph"/>
        <w:numPr>
          <w:ilvl w:val="0"/>
          <w:numId w:val="10"/>
        </w:numPr>
        <w:spacing w:line="276" w:lineRule="auto"/>
        <w:jc w:val="both"/>
      </w:pPr>
      <w:r w:rsidRPr="00E257AB">
        <w:rPr>
          <w:b/>
          <w:bCs/>
        </w:rPr>
        <w:lastRenderedPageBreak/>
        <w:t xml:space="preserve">Policy, Rule, </w:t>
      </w:r>
      <w:proofErr w:type="spellStart"/>
      <w:r w:rsidRPr="00E257AB">
        <w:rPr>
          <w:b/>
          <w:bCs/>
        </w:rPr>
        <w:t>SoftwareAgent</w:t>
      </w:r>
      <w:proofErr w:type="spellEnd"/>
      <w:r w:rsidRPr="00E257AB">
        <w:rPr>
          <w:b/>
          <w:bCs/>
        </w:rPr>
        <w:t xml:space="preserve"> and </w:t>
      </w:r>
      <w:proofErr w:type="spellStart"/>
      <w:proofErr w:type="gramStart"/>
      <w:r w:rsidRPr="00E257AB">
        <w:rPr>
          <w:b/>
          <w:bCs/>
        </w:rPr>
        <w:t>HardwareAgent</w:t>
      </w:r>
      <w:proofErr w:type="spellEnd"/>
      <w:r w:rsidR="00743D86">
        <w:t xml:space="preserve"> :</w:t>
      </w:r>
      <w:proofErr w:type="gramEnd"/>
      <w:r w:rsidR="00743D86">
        <w:t xml:space="preserve"> </w:t>
      </w:r>
      <w:r>
        <w:t xml:space="preserve">The thesis shows that preservation policies, legal rules, software and hardware can often be documented through RiC records and agents. However, documentation is not identical to semantic representation. The extension therefore focuses on making the preservation role of these entities explicit while retaining </w:t>
      </w:r>
      <w:proofErr w:type="spellStart"/>
      <w:r>
        <w:t>RiC</w:t>
      </w:r>
      <w:proofErr w:type="spellEnd"/>
      <w:r>
        <w:t xml:space="preserve"> contextual semantics.</w:t>
      </w:r>
    </w:p>
    <w:p w14:paraId="38E0CDDD" w14:textId="77777777" w:rsidR="00743D86" w:rsidRDefault="00743D86" w:rsidP="00743D86">
      <w:pPr>
        <w:spacing w:line="276" w:lineRule="auto"/>
        <w:jc w:val="both"/>
      </w:pPr>
    </w:p>
    <w:p w14:paraId="5CF95221" w14:textId="77777777" w:rsidR="00743D86" w:rsidRDefault="00743D86" w:rsidP="00743D86">
      <w:pPr>
        <w:spacing w:line="276" w:lineRule="auto"/>
        <w:jc w:val="both"/>
      </w:pPr>
    </w:p>
    <w:p w14:paraId="084C8AE9" w14:textId="77777777" w:rsidR="0079436D" w:rsidRDefault="004E45BE" w:rsidP="00743D86">
      <w:pPr>
        <w:pStyle w:val="Heading2"/>
        <w:spacing w:line="276" w:lineRule="auto"/>
      </w:pPr>
      <w:r>
        <w:t>5.2 Representative Mapping Table</w:t>
      </w:r>
    </w:p>
    <w:tbl>
      <w:tblPr>
        <w:tblStyle w:val="TableGrid"/>
        <w:tblW w:w="0" w:type="auto"/>
        <w:jc w:val="center"/>
        <w:tblLook w:val="04A0" w:firstRow="1" w:lastRow="0" w:firstColumn="1" w:lastColumn="0" w:noHBand="0" w:noVBand="1"/>
      </w:tblPr>
      <w:tblGrid>
        <w:gridCol w:w="2509"/>
        <w:gridCol w:w="2509"/>
        <w:gridCol w:w="2509"/>
        <w:gridCol w:w="2509"/>
      </w:tblGrid>
      <w:tr w:rsidR="0079436D" w14:paraId="0C34953E" w14:textId="77777777">
        <w:trPr>
          <w:jc w:val="center"/>
        </w:trPr>
        <w:tc>
          <w:tcPr>
            <w:tcW w:w="2509" w:type="dxa"/>
          </w:tcPr>
          <w:p w14:paraId="7B79C3A3" w14:textId="77777777" w:rsidR="0079436D" w:rsidRPr="00743D86" w:rsidRDefault="004E45BE" w:rsidP="00743D86">
            <w:pPr>
              <w:spacing w:after="0" w:line="276" w:lineRule="auto"/>
              <w:rPr>
                <w:szCs w:val="18"/>
              </w:rPr>
            </w:pPr>
            <w:r w:rsidRPr="00743D86">
              <w:rPr>
                <w:szCs w:val="18"/>
              </w:rPr>
              <w:t>PREMIS concept</w:t>
            </w:r>
          </w:p>
        </w:tc>
        <w:tc>
          <w:tcPr>
            <w:tcW w:w="2509" w:type="dxa"/>
          </w:tcPr>
          <w:p w14:paraId="095350DC" w14:textId="77777777" w:rsidR="0079436D" w:rsidRPr="00743D86" w:rsidRDefault="004E45BE" w:rsidP="00743D86">
            <w:pPr>
              <w:spacing w:after="0" w:line="276" w:lineRule="auto"/>
              <w:rPr>
                <w:szCs w:val="18"/>
              </w:rPr>
            </w:pPr>
            <w:r w:rsidRPr="00743D86">
              <w:rPr>
                <w:szCs w:val="18"/>
              </w:rPr>
              <w:t>RiC-O/RiC-CM</w:t>
            </w:r>
          </w:p>
        </w:tc>
        <w:tc>
          <w:tcPr>
            <w:tcW w:w="2509" w:type="dxa"/>
          </w:tcPr>
          <w:p w14:paraId="5C51B926" w14:textId="77777777" w:rsidR="0079436D" w:rsidRPr="00743D86" w:rsidRDefault="004E45BE" w:rsidP="00743D86">
            <w:pPr>
              <w:spacing w:after="0" w:line="276" w:lineRule="auto"/>
              <w:rPr>
                <w:szCs w:val="18"/>
              </w:rPr>
            </w:pPr>
            <w:r w:rsidRPr="00743D86">
              <w:rPr>
                <w:szCs w:val="18"/>
              </w:rPr>
              <w:t>Mapping type</w:t>
            </w:r>
          </w:p>
        </w:tc>
        <w:tc>
          <w:tcPr>
            <w:tcW w:w="2509" w:type="dxa"/>
          </w:tcPr>
          <w:p w14:paraId="4638CD9B" w14:textId="77777777" w:rsidR="0079436D" w:rsidRPr="00743D86" w:rsidRDefault="004E45BE" w:rsidP="00743D86">
            <w:pPr>
              <w:spacing w:after="0" w:line="276" w:lineRule="auto"/>
              <w:rPr>
                <w:szCs w:val="18"/>
              </w:rPr>
            </w:pPr>
            <w:r w:rsidRPr="00743D86">
              <w:rPr>
                <w:szCs w:val="18"/>
              </w:rPr>
              <w:t>Interpretation</w:t>
            </w:r>
          </w:p>
        </w:tc>
      </w:tr>
      <w:tr w:rsidR="0079436D" w14:paraId="62A2C314" w14:textId="77777777">
        <w:trPr>
          <w:jc w:val="center"/>
        </w:trPr>
        <w:tc>
          <w:tcPr>
            <w:tcW w:w="2509" w:type="dxa"/>
          </w:tcPr>
          <w:p w14:paraId="584E2E82" w14:textId="77777777" w:rsidR="0079436D" w:rsidRPr="00743D86" w:rsidRDefault="004E45BE" w:rsidP="00743D86">
            <w:pPr>
              <w:spacing w:after="0" w:line="276" w:lineRule="auto"/>
              <w:rPr>
                <w:szCs w:val="18"/>
              </w:rPr>
            </w:pPr>
            <w:r w:rsidRPr="00743D86">
              <w:rPr>
                <w:szCs w:val="18"/>
              </w:rPr>
              <w:t>Identifier</w:t>
            </w:r>
          </w:p>
        </w:tc>
        <w:tc>
          <w:tcPr>
            <w:tcW w:w="2509" w:type="dxa"/>
          </w:tcPr>
          <w:p w14:paraId="4A5B19E7" w14:textId="77777777" w:rsidR="0079436D" w:rsidRPr="00743D86" w:rsidRDefault="004E45BE" w:rsidP="00743D86">
            <w:pPr>
              <w:spacing w:after="0" w:line="276" w:lineRule="auto"/>
              <w:rPr>
                <w:szCs w:val="18"/>
              </w:rPr>
            </w:pPr>
            <w:r w:rsidRPr="00743D86">
              <w:rPr>
                <w:szCs w:val="18"/>
              </w:rPr>
              <w:t>Identifier</w:t>
            </w:r>
          </w:p>
        </w:tc>
        <w:tc>
          <w:tcPr>
            <w:tcW w:w="2509" w:type="dxa"/>
          </w:tcPr>
          <w:p w14:paraId="23FD833E" w14:textId="77777777" w:rsidR="0079436D" w:rsidRPr="00743D86" w:rsidRDefault="004E45BE" w:rsidP="00743D86">
            <w:pPr>
              <w:spacing w:after="0" w:line="276" w:lineRule="auto"/>
              <w:rPr>
                <w:szCs w:val="18"/>
              </w:rPr>
            </w:pPr>
            <w:r w:rsidRPr="00743D86">
              <w:rPr>
                <w:szCs w:val="18"/>
              </w:rPr>
              <w:t>Direct</w:t>
            </w:r>
          </w:p>
        </w:tc>
        <w:tc>
          <w:tcPr>
            <w:tcW w:w="2509" w:type="dxa"/>
          </w:tcPr>
          <w:p w14:paraId="4FA0B092" w14:textId="77777777" w:rsidR="0079436D" w:rsidRPr="00743D86" w:rsidRDefault="004E45BE" w:rsidP="00743D86">
            <w:pPr>
              <w:spacing w:after="0" w:line="276" w:lineRule="auto"/>
              <w:rPr>
                <w:szCs w:val="18"/>
              </w:rPr>
            </w:pPr>
            <w:r w:rsidRPr="00743D86">
              <w:rPr>
                <w:szCs w:val="18"/>
              </w:rPr>
              <w:t>Stable identification is semantically aligned.</w:t>
            </w:r>
          </w:p>
        </w:tc>
      </w:tr>
      <w:tr w:rsidR="0079436D" w14:paraId="4265CE16" w14:textId="77777777">
        <w:trPr>
          <w:jc w:val="center"/>
        </w:trPr>
        <w:tc>
          <w:tcPr>
            <w:tcW w:w="2509" w:type="dxa"/>
          </w:tcPr>
          <w:p w14:paraId="1922C1A4" w14:textId="77777777" w:rsidR="0079436D" w:rsidRPr="00743D86" w:rsidRDefault="004E45BE" w:rsidP="00743D86">
            <w:pPr>
              <w:spacing w:after="0" w:line="276" w:lineRule="auto"/>
              <w:rPr>
                <w:szCs w:val="18"/>
              </w:rPr>
            </w:pPr>
            <w:r w:rsidRPr="00743D86">
              <w:rPr>
                <w:szCs w:val="18"/>
              </w:rPr>
              <w:t>Agent</w:t>
            </w:r>
          </w:p>
        </w:tc>
        <w:tc>
          <w:tcPr>
            <w:tcW w:w="2509" w:type="dxa"/>
          </w:tcPr>
          <w:p w14:paraId="656B6F37" w14:textId="77777777" w:rsidR="0079436D" w:rsidRPr="00743D86" w:rsidRDefault="004E45BE" w:rsidP="00743D86">
            <w:pPr>
              <w:spacing w:after="0" w:line="276" w:lineRule="auto"/>
              <w:rPr>
                <w:szCs w:val="18"/>
              </w:rPr>
            </w:pPr>
            <w:r w:rsidRPr="00743D86">
              <w:rPr>
                <w:szCs w:val="18"/>
              </w:rPr>
              <w:t>Agent</w:t>
            </w:r>
          </w:p>
        </w:tc>
        <w:tc>
          <w:tcPr>
            <w:tcW w:w="2509" w:type="dxa"/>
          </w:tcPr>
          <w:p w14:paraId="65968B7C" w14:textId="77777777" w:rsidR="0079436D" w:rsidRPr="00743D86" w:rsidRDefault="004E45BE" w:rsidP="00743D86">
            <w:pPr>
              <w:spacing w:after="0" w:line="276" w:lineRule="auto"/>
              <w:rPr>
                <w:szCs w:val="18"/>
              </w:rPr>
            </w:pPr>
            <w:r w:rsidRPr="00743D86">
              <w:rPr>
                <w:szCs w:val="18"/>
              </w:rPr>
              <w:t>Direct/close</w:t>
            </w:r>
          </w:p>
        </w:tc>
        <w:tc>
          <w:tcPr>
            <w:tcW w:w="2509" w:type="dxa"/>
          </w:tcPr>
          <w:p w14:paraId="5B721393" w14:textId="77777777" w:rsidR="0079436D" w:rsidRPr="00743D86" w:rsidRDefault="004E45BE" w:rsidP="00743D86">
            <w:pPr>
              <w:spacing w:after="0" w:line="276" w:lineRule="auto"/>
              <w:rPr>
                <w:szCs w:val="18"/>
              </w:rPr>
            </w:pPr>
            <w:r w:rsidRPr="00743D86">
              <w:rPr>
                <w:szCs w:val="18"/>
              </w:rPr>
              <w:t>Both represent participating or responsible agents; scope must be validated formally.</w:t>
            </w:r>
          </w:p>
        </w:tc>
      </w:tr>
      <w:tr w:rsidR="0079436D" w14:paraId="7BF0411A" w14:textId="77777777">
        <w:trPr>
          <w:jc w:val="center"/>
        </w:trPr>
        <w:tc>
          <w:tcPr>
            <w:tcW w:w="2509" w:type="dxa"/>
          </w:tcPr>
          <w:p w14:paraId="569FFA1B" w14:textId="77777777" w:rsidR="0079436D" w:rsidRPr="00743D86" w:rsidRDefault="004E45BE" w:rsidP="00743D86">
            <w:pPr>
              <w:spacing w:after="0" w:line="276" w:lineRule="auto"/>
              <w:rPr>
                <w:szCs w:val="18"/>
              </w:rPr>
            </w:pPr>
            <w:r w:rsidRPr="00743D86">
              <w:rPr>
                <w:szCs w:val="18"/>
              </w:rPr>
              <w:t>Person</w:t>
            </w:r>
          </w:p>
        </w:tc>
        <w:tc>
          <w:tcPr>
            <w:tcW w:w="2509" w:type="dxa"/>
          </w:tcPr>
          <w:p w14:paraId="524ACF06" w14:textId="77777777" w:rsidR="0079436D" w:rsidRPr="00743D86" w:rsidRDefault="004E45BE" w:rsidP="00743D86">
            <w:pPr>
              <w:spacing w:after="0" w:line="276" w:lineRule="auto"/>
              <w:rPr>
                <w:szCs w:val="18"/>
              </w:rPr>
            </w:pPr>
            <w:r w:rsidRPr="00743D86">
              <w:rPr>
                <w:szCs w:val="18"/>
              </w:rPr>
              <w:t>Person / Agent</w:t>
            </w:r>
          </w:p>
        </w:tc>
        <w:tc>
          <w:tcPr>
            <w:tcW w:w="2509" w:type="dxa"/>
          </w:tcPr>
          <w:p w14:paraId="1AF504A1" w14:textId="77777777" w:rsidR="0079436D" w:rsidRPr="00743D86" w:rsidRDefault="004E45BE" w:rsidP="00743D86">
            <w:pPr>
              <w:spacing w:after="0" w:line="276" w:lineRule="auto"/>
              <w:rPr>
                <w:szCs w:val="18"/>
              </w:rPr>
            </w:pPr>
            <w:r w:rsidRPr="00743D86">
              <w:rPr>
                <w:szCs w:val="18"/>
              </w:rPr>
              <w:t>Specialization</w:t>
            </w:r>
          </w:p>
        </w:tc>
        <w:tc>
          <w:tcPr>
            <w:tcW w:w="2509" w:type="dxa"/>
          </w:tcPr>
          <w:p w14:paraId="44BF5A19" w14:textId="77777777" w:rsidR="0079436D" w:rsidRPr="00743D86" w:rsidRDefault="004E45BE" w:rsidP="00743D86">
            <w:pPr>
              <w:spacing w:after="0" w:line="276" w:lineRule="auto"/>
              <w:rPr>
                <w:szCs w:val="18"/>
              </w:rPr>
            </w:pPr>
            <w:r w:rsidRPr="00743D86">
              <w:rPr>
                <w:szCs w:val="18"/>
              </w:rPr>
              <w:t>Natural person fits within the broader agent structure.</w:t>
            </w:r>
          </w:p>
        </w:tc>
      </w:tr>
      <w:tr w:rsidR="0079436D" w14:paraId="6136B4F2" w14:textId="77777777">
        <w:trPr>
          <w:jc w:val="center"/>
        </w:trPr>
        <w:tc>
          <w:tcPr>
            <w:tcW w:w="2509" w:type="dxa"/>
          </w:tcPr>
          <w:p w14:paraId="4AFE8259" w14:textId="77777777" w:rsidR="0079436D" w:rsidRPr="00743D86" w:rsidRDefault="004E45BE" w:rsidP="00743D86">
            <w:pPr>
              <w:spacing w:after="0" w:line="276" w:lineRule="auto"/>
              <w:rPr>
                <w:szCs w:val="18"/>
              </w:rPr>
            </w:pPr>
            <w:r w:rsidRPr="00743D86">
              <w:rPr>
                <w:szCs w:val="18"/>
              </w:rPr>
              <w:t>Organization</w:t>
            </w:r>
          </w:p>
        </w:tc>
        <w:tc>
          <w:tcPr>
            <w:tcW w:w="2509" w:type="dxa"/>
          </w:tcPr>
          <w:p w14:paraId="20DB6C92" w14:textId="77777777" w:rsidR="0079436D" w:rsidRPr="00743D86" w:rsidRDefault="004E45BE" w:rsidP="00743D86">
            <w:pPr>
              <w:spacing w:after="0" w:line="276" w:lineRule="auto"/>
              <w:rPr>
                <w:szCs w:val="18"/>
              </w:rPr>
            </w:pPr>
            <w:r w:rsidRPr="00743D86">
              <w:rPr>
                <w:szCs w:val="18"/>
              </w:rPr>
              <w:t>Group / Agent</w:t>
            </w:r>
          </w:p>
        </w:tc>
        <w:tc>
          <w:tcPr>
            <w:tcW w:w="2509" w:type="dxa"/>
          </w:tcPr>
          <w:p w14:paraId="1CE0E785" w14:textId="77777777" w:rsidR="0079436D" w:rsidRPr="00743D86" w:rsidRDefault="004E45BE" w:rsidP="00743D86">
            <w:pPr>
              <w:spacing w:after="0" w:line="276" w:lineRule="auto"/>
              <w:rPr>
                <w:szCs w:val="18"/>
              </w:rPr>
            </w:pPr>
            <w:r w:rsidRPr="00743D86">
              <w:rPr>
                <w:szCs w:val="18"/>
              </w:rPr>
              <w:t>Specialization</w:t>
            </w:r>
          </w:p>
        </w:tc>
        <w:tc>
          <w:tcPr>
            <w:tcW w:w="2509" w:type="dxa"/>
          </w:tcPr>
          <w:p w14:paraId="7B1EA1EB" w14:textId="77777777" w:rsidR="0079436D" w:rsidRPr="00743D86" w:rsidRDefault="004E45BE" w:rsidP="00743D86">
            <w:pPr>
              <w:spacing w:after="0" w:line="276" w:lineRule="auto"/>
              <w:rPr>
                <w:szCs w:val="18"/>
              </w:rPr>
            </w:pPr>
            <w:r w:rsidRPr="00743D86">
              <w:rPr>
                <w:szCs w:val="18"/>
              </w:rPr>
              <w:t>Collective entity represented at a broader archival level.</w:t>
            </w:r>
          </w:p>
        </w:tc>
      </w:tr>
      <w:tr w:rsidR="0079436D" w14:paraId="028663A1" w14:textId="77777777">
        <w:trPr>
          <w:jc w:val="center"/>
        </w:trPr>
        <w:tc>
          <w:tcPr>
            <w:tcW w:w="2509" w:type="dxa"/>
          </w:tcPr>
          <w:p w14:paraId="0AC89C6E" w14:textId="77777777" w:rsidR="0079436D" w:rsidRPr="00743D86" w:rsidRDefault="004E45BE" w:rsidP="00743D86">
            <w:pPr>
              <w:spacing w:after="0" w:line="276" w:lineRule="auto"/>
              <w:rPr>
                <w:szCs w:val="18"/>
              </w:rPr>
            </w:pPr>
            <w:r w:rsidRPr="00743D86">
              <w:rPr>
                <w:szCs w:val="18"/>
              </w:rPr>
              <w:t>IntellectualEntity</w:t>
            </w:r>
          </w:p>
        </w:tc>
        <w:tc>
          <w:tcPr>
            <w:tcW w:w="2509" w:type="dxa"/>
          </w:tcPr>
          <w:p w14:paraId="4D25ECBF" w14:textId="77777777" w:rsidR="0079436D" w:rsidRPr="00743D86" w:rsidRDefault="004E45BE" w:rsidP="00743D86">
            <w:pPr>
              <w:spacing w:after="0" w:line="276" w:lineRule="auto"/>
              <w:rPr>
                <w:szCs w:val="18"/>
              </w:rPr>
            </w:pPr>
            <w:r w:rsidRPr="00743D86">
              <w:rPr>
                <w:szCs w:val="18"/>
              </w:rPr>
              <w:t>RecordResource</w:t>
            </w:r>
          </w:p>
        </w:tc>
        <w:tc>
          <w:tcPr>
            <w:tcW w:w="2509" w:type="dxa"/>
          </w:tcPr>
          <w:p w14:paraId="42F82B7C" w14:textId="77777777" w:rsidR="0079436D" w:rsidRPr="00743D86" w:rsidRDefault="004E45BE" w:rsidP="00743D86">
            <w:pPr>
              <w:spacing w:after="0" w:line="276" w:lineRule="auto"/>
              <w:rPr>
                <w:szCs w:val="18"/>
              </w:rPr>
            </w:pPr>
            <w:r w:rsidRPr="00743D86">
              <w:rPr>
                <w:szCs w:val="18"/>
              </w:rPr>
              <w:t>Close</w:t>
            </w:r>
          </w:p>
        </w:tc>
        <w:tc>
          <w:tcPr>
            <w:tcW w:w="2509" w:type="dxa"/>
          </w:tcPr>
          <w:p w14:paraId="45A9148E" w14:textId="77777777" w:rsidR="0079436D" w:rsidRPr="00743D86" w:rsidRDefault="004E45BE" w:rsidP="00743D86">
            <w:pPr>
              <w:spacing w:after="0" w:line="276" w:lineRule="auto"/>
              <w:rPr>
                <w:szCs w:val="18"/>
              </w:rPr>
            </w:pPr>
            <w:r w:rsidRPr="00743D86">
              <w:rPr>
                <w:szCs w:val="18"/>
              </w:rPr>
              <w:t>Conceptual identity differs from archival/documentary identity.</w:t>
            </w:r>
          </w:p>
        </w:tc>
      </w:tr>
      <w:tr w:rsidR="0079436D" w14:paraId="7834A90E" w14:textId="77777777">
        <w:trPr>
          <w:jc w:val="center"/>
        </w:trPr>
        <w:tc>
          <w:tcPr>
            <w:tcW w:w="2509" w:type="dxa"/>
          </w:tcPr>
          <w:p w14:paraId="78A8DB5F" w14:textId="77777777" w:rsidR="0079436D" w:rsidRPr="00743D86" w:rsidRDefault="004E45BE" w:rsidP="00743D86">
            <w:pPr>
              <w:spacing w:after="0" w:line="276" w:lineRule="auto"/>
              <w:rPr>
                <w:szCs w:val="18"/>
              </w:rPr>
            </w:pPr>
            <w:r w:rsidRPr="00743D86">
              <w:rPr>
                <w:szCs w:val="18"/>
              </w:rPr>
              <w:t>Object</w:t>
            </w:r>
          </w:p>
        </w:tc>
        <w:tc>
          <w:tcPr>
            <w:tcW w:w="2509" w:type="dxa"/>
          </w:tcPr>
          <w:p w14:paraId="00F4BB16" w14:textId="77777777" w:rsidR="0079436D" w:rsidRPr="00743D86" w:rsidRDefault="004E45BE" w:rsidP="00743D86">
            <w:pPr>
              <w:spacing w:after="0" w:line="276" w:lineRule="auto"/>
              <w:rPr>
                <w:szCs w:val="18"/>
              </w:rPr>
            </w:pPr>
            <w:r w:rsidRPr="00743D86">
              <w:rPr>
                <w:szCs w:val="18"/>
              </w:rPr>
              <w:t>RecordResource</w:t>
            </w:r>
          </w:p>
        </w:tc>
        <w:tc>
          <w:tcPr>
            <w:tcW w:w="2509" w:type="dxa"/>
          </w:tcPr>
          <w:p w14:paraId="47B9F0DE" w14:textId="77777777" w:rsidR="0079436D" w:rsidRPr="00743D86" w:rsidRDefault="004E45BE" w:rsidP="00743D86">
            <w:pPr>
              <w:spacing w:after="0" w:line="276" w:lineRule="auto"/>
              <w:rPr>
                <w:szCs w:val="18"/>
              </w:rPr>
            </w:pPr>
            <w:r w:rsidRPr="00743D86">
              <w:rPr>
                <w:szCs w:val="18"/>
              </w:rPr>
              <w:t>Close</w:t>
            </w:r>
          </w:p>
        </w:tc>
        <w:tc>
          <w:tcPr>
            <w:tcW w:w="2509" w:type="dxa"/>
          </w:tcPr>
          <w:p w14:paraId="435A3F21" w14:textId="77777777" w:rsidR="0079436D" w:rsidRPr="00743D86" w:rsidRDefault="004E45BE" w:rsidP="00743D86">
            <w:pPr>
              <w:spacing w:after="0" w:line="276" w:lineRule="auto"/>
              <w:rPr>
                <w:szCs w:val="18"/>
              </w:rPr>
            </w:pPr>
            <w:r w:rsidRPr="00743D86">
              <w:rPr>
                <w:szCs w:val="18"/>
              </w:rPr>
              <w:t>Preservation-managed digital object vs archival resource.</w:t>
            </w:r>
          </w:p>
        </w:tc>
      </w:tr>
      <w:tr w:rsidR="0079436D" w14:paraId="3B27AFAD" w14:textId="77777777">
        <w:trPr>
          <w:jc w:val="center"/>
        </w:trPr>
        <w:tc>
          <w:tcPr>
            <w:tcW w:w="2509" w:type="dxa"/>
          </w:tcPr>
          <w:p w14:paraId="174676A6" w14:textId="77777777" w:rsidR="0079436D" w:rsidRPr="00743D86" w:rsidRDefault="004E45BE" w:rsidP="00743D86">
            <w:pPr>
              <w:spacing w:after="0" w:line="276" w:lineRule="auto"/>
              <w:rPr>
                <w:szCs w:val="18"/>
              </w:rPr>
            </w:pPr>
            <w:r w:rsidRPr="00743D86">
              <w:rPr>
                <w:szCs w:val="18"/>
              </w:rPr>
              <w:t>File / Bitstream / Representation</w:t>
            </w:r>
          </w:p>
        </w:tc>
        <w:tc>
          <w:tcPr>
            <w:tcW w:w="2509" w:type="dxa"/>
          </w:tcPr>
          <w:p w14:paraId="05427BD3" w14:textId="77777777" w:rsidR="0079436D" w:rsidRPr="00743D86" w:rsidRDefault="004E45BE" w:rsidP="00743D86">
            <w:pPr>
              <w:spacing w:after="0" w:line="276" w:lineRule="auto"/>
              <w:rPr>
                <w:szCs w:val="18"/>
              </w:rPr>
            </w:pPr>
            <w:r w:rsidRPr="00743D86">
              <w:rPr>
                <w:szCs w:val="18"/>
              </w:rPr>
              <w:t>Instantiation</w:t>
            </w:r>
          </w:p>
        </w:tc>
        <w:tc>
          <w:tcPr>
            <w:tcW w:w="2509" w:type="dxa"/>
          </w:tcPr>
          <w:p w14:paraId="629505FF" w14:textId="77777777" w:rsidR="0079436D" w:rsidRPr="00743D86" w:rsidRDefault="004E45BE" w:rsidP="00743D86">
            <w:pPr>
              <w:spacing w:after="0" w:line="276" w:lineRule="auto"/>
              <w:rPr>
                <w:szCs w:val="18"/>
              </w:rPr>
            </w:pPr>
            <w:r w:rsidRPr="00743D86">
              <w:rPr>
                <w:szCs w:val="18"/>
              </w:rPr>
              <w:t>Close</w:t>
            </w:r>
          </w:p>
        </w:tc>
        <w:tc>
          <w:tcPr>
            <w:tcW w:w="2509" w:type="dxa"/>
          </w:tcPr>
          <w:p w14:paraId="0A13F842" w14:textId="77777777" w:rsidR="0079436D" w:rsidRPr="00743D86" w:rsidRDefault="004E45BE" w:rsidP="00743D86">
            <w:pPr>
              <w:spacing w:after="0" w:line="276" w:lineRule="auto"/>
              <w:rPr>
                <w:szCs w:val="18"/>
              </w:rPr>
            </w:pPr>
            <w:r w:rsidRPr="00743D86">
              <w:rPr>
                <w:szCs w:val="18"/>
              </w:rPr>
              <w:t>Concrete realization; not automatically equivalent.</w:t>
            </w:r>
          </w:p>
        </w:tc>
      </w:tr>
      <w:tr w:rsidR="0079436D" w14:paraId="53FD5C1D" w14:textId="77777777">
        <w:trPr>
          <w:jc w:val="center"/>
        </w:trPr>
        <w:tc>
          <w:tcPr>
            <w:tcW w:w="2509" w:type="dxa"/>
          </w:tcPr>
          <w:p w14:paraId="7C8B666C" w14:textId="77777777" w:rsidR="0079436D" w:rsidRPr="00743D86" w:rsidRDefault="004E45BE" w:rsidP="00743D86">
            <w:pPr>
              <w:spacing w:after="0" w:line="276" w:lineRule="auto"/>
              <w:rPr>
                <w:szCs w:val="18"/>
              </w:rPr>
            </w:pPr>
            <w:r w:rsidRPr="00743D86">
              <w:rPr>
                <w:szCs w:val="18"/>
              </w:rPr>
              <w:t>Event</w:t>
            </w:r>
          </w:p>
        </w:tc>
        <w:tc>
          <w:tcPr>
            <w:tcW w:w="2509" w:type="dxa"/>
          </w:tcPr>
          <w:p w14:paraId="0AE530A1" w14:textId="77777777" w:rsidR="0079436D" w:rsidRPr="00743D86" w:rsidRDefault="004E45BE" w:rsidP="00743D86">
            <w:pPr>
              <w:spacing w:after="0" w:line="276" w:lineRule="auto"/>
              <w:rPr>
                <w:szCs w:val="18"/>
              </w:rPr>
            </w:pPr>
            <w:r w:rsidRPr="00743D86">
              <w:rPr>
                <w:szCs w:val="18"/>
              </w:rPr>
              <w:t>Activity / Event</w:t>
            </w:r>
          </w:p>
        </w:tc>
        <w:tc>
          <w:tcPr>
            <w:tcW w:w="2509" w:type="dxa"/>
          </w:tcPr>
          <w:p w14:paraId="1587397A" w14:textId="77777777" w:rsidR="0079436D" w:rsidRPr="00743D86" w:rsidRDefault="004E45BE" w:rsidP="00743D86">
            <w:pPr>
              <w:spacing w:after="0" w:line="276" w:lineRule="auto"/>
              <w:rPr>
                <w:szCs w:val="18"/>
              </w:rPr>
            </w:pPr>
            <w:r w:rsidRPr="00743D86">
              <w:rPr>
                <w:szCs w:val="18"/>
              </w:rPr>
              <w:t>Close</w:t>
            </w:r>
          </w:p>
        </w:tc>
        <w:tc>
          <w:tcPr>
            <w:tcW w:w="2509" w:type="dxa"/>
          </w:tcPr>
          <w:p w14:paraId="7FB4BE81" w14:textId="77777777" w:rsidR="0079436D" w:rsidRPr="00743D86" w:rsidRDefault="004E45BE" w:rsidP="00743D86">
            <w:pPr>
              <w:spacing w:after="0" w:line="276" w:lineRule="auto"/>
              <w:rPr>
                <w:szCs w:val="18"/>
              </w:rPr>
            </w:pPr>
            <w:r w:rsidRPr="00743D86">
              <w:rPr>
                <w:szCs w:val="18"/>
              </w:rPr>
              <w:t>Preservation event vs broader archival activity/event.</w:t>
            </w:r>
          </w:p>
        </w:tc>
      </w:tr>
      <w:tr w:rsidR="0079436D" w14:paraId="60903FCD" w14:textId="77777777">
        <w:trPr>
          <w:jc w:val="center"/>
        </w:trPr>
        <w:tc>
          <w:tcPr>
            <w:tcW w:w="2509" w:type="dxa"/>
          </w:tcPr>
          <w:p w14:paraId="39C3AB1D" w14:textId="77777777" w:rsidR="0079436D" w:rsidRPr="00743D86" w:rsidRDefault="004E45BE" w:rsidP="00743D86">
            <w:pPr>
              <w:spacing w:after="0" w:line="276" w:lineRule="auto"/>
              <w:rPr>
                <w:szCs w:val="18"/>
              </w:rPr>
            </w:pPr>
            <w:r w:rsidRPr="00743D86">
              <w:rPr>
                <w:szCs w:val="18"/>
              </w:rPr>
              <w:t>StorageMedium</w:t>
            </w:r>
          </w:p>
        </w:tc>
        <w:tc>
          <w:tcPr>
            <w:tcW w:w="2509" w:type="dxa"/>
          </w:tcPr>
          <w:p w14:paraId="22884490" w14:textId="77777777" w:rsidR="0079436D" w:rsidRPr="00743D86" w:rsidRDefault="004E45BE" w:rsidP="00743D86">
            <w:pPr>
              <w:spacing w:after="0" w:line="276" w:lineRule="auto"/>
              <w:rPr>
                <w:szCs w:val="18"/>
              </w:rPr>
            </w:pPr>
            <w:r w:rsidRPr="00743D86">
              <w:rPr>
                <w:szCs w:val="18"/>
              </w:rPr>
              <w:t>CarrierType</w:t>
            </w:r>
          </w:p>
        </w:tc>
        <w:tc>
          <w:tcPr>
            <w:tcW w:w="2509" w:type="dxa"/>
          </w:tcPr>
          <w:p w14:paraId="60BB17A9" w14:textId="77777777" w:rsidR="0079436D" w:rsidRPr="00743D86" w:rsidRDefault="004E45BE" w:rsidP="00743D86">
            <w:pPr>
              <w:spacing w:after="0" w:line="276" w:lineRule="auto"/>
              <w:rPr>
                <w:szCs w:val="18"/>
              </w:rPr>
            </w:pPr>
            <w:r w:rsidRPr="00743D86">
              <w:rPr>
                <w:szCs w:val="18"/>
              </w:rPr>
              <w:t>Close</w:t>
            </w:r>
          </w:p>
        </w:tc>
        <w:tc>
          <w:tcPr>
            <w:tcW w:w="2509" w:type="dxa"/>
          </w:tcPr>
          <w:p w14:paraId="048795F3" w14:textId="77777777" w:rsidR="0079436D" w:rsidRPr="00743D86" w:rsidRDefault="004E45BE" w:rsidP="00743D86">
            <w:pPr>
              <w:spacing w:after="0" w:line="276" w:lineRule="auto"/>
              <w:rPr>
                <w:szCs w:val="18"/>
              </w:rPr>
            </w:pPr>
            <w:r w:rsidRPr="00743D86">
              <w:rPr>
                <w:szCs w:val="18"/>
              </w:rPr>
              <w:t>Related carrier concepts at different abstraction levels.</w:t>
            </w:r>
          </w:p>
        </w:tc>
      </w:tr>
      <w:tr w:rsidR="0079436D" w14:paraId="4EC1725F" w14:textId="77777777">
        <w:trPr>
          <w:jc w:val="center"/>
        </w:trPr>
        <w:tc>
          <w:tcPr>
            <w:tcW w:w="2509" w:type="dxa"/>
          </w:tcPr>
          <w:p w14:paraId="18EC81FA" w14:textId="77777777" w:rsidR="0079436D" w:rsidRPr="00743D86" w:rsidRDefault="004E45BE" w:rsidP="00743D86">
            <w:pPr>
              <w:spacing w:after="0" w:line="276" w:lineRule="auto"/>
              <w:rPr>
                <w:szCs w:val="18"/>
              </w:rPr>
            </w:pPr>
            <w:r w:rsidRPr="00743D86">
              <w:rPr>
                <w:szCs w:val="18"/>
              </w:rPr>
              <w:t>Dependency</w:t>
            </w:r>
          </w:p>
        </w:tc>
        <w:tc>
          <w:tcPr>
            <w:tcW w:w="2509" w:type="dxa"/>
          </w:tcPr>
          <w:p w14:paraId="444319E1" w14:textId="77777777" w:rsidR="0079436D" w:rsidRPr="00743D86" w:rsidRDefault="004E45BE" w:rsidP="00743D86">
            <w:pPr>
              <w:spacing w:after="0" w:line="276" w:lineRule="auto"/>
              <w:rPr>
                <w:szCs w:val="18"/>
              </w:rPr>
            </w:pPr>
            <w:r w:rsidRPr="00743D86">
              <w:rPr>
                <w:szCs w:val="18"/>
              </w:rPr>
              <w:t>Record / proposed relation</w:t>
            </w:r>
          </w:p>
        </w:tc>
        <w:tc>
          <w:tcPr>
            <w:tcW w:w="2509" w:type="dxa"/>
          </w:tcPr>
          <w:p w14:paraId="5D44A035" w14:textId="77777777" w:rsidR="0079436D" w:rsidRPr="00743D86" w:rsidRDefault="004E45BE" w:rsidP="00743D86">
            <w:pPr>
              <w:spacing w:after="0" w:line="276" w:lineRule="auto"/>
              <w:rPr>
                <w:szCs w:val="18"/>
              </w:rPr>
            </w:pPr>
            <w:r w:rsidRPr="00743D86">
              <w:rPr>
                <w:szCs w:val="18"/>
              </w:rPr>
              <w:t>Indirect/gap</w:t>
            </w:r>
          </w:p>
        </w:tc>
        <w:tc>
          <w:tcPr>
            <w:tcW w:w="2509" w:type="dxa"/>
          </w:tcPr>
          <w:p w14:paraId="2CC2F86F" w14:textId="77777777" w:rsidR="0079436D" w:rsidRPr="00743D86" w:rsidRDefault="004E45BE" w:rsidP="00743D86">
            <w:pPr>
              <w:spacing w:after="0" w:line="276" w:lineRule="auto"/>
              <w:rPr>
                <w:szCs w:val="18"/>
              </w:rPr>
            </w:pPr>
            <w:r w:rsidRPr="00743D86">
              <w:rPr>
                <w:szCs w:val="18"/>
              </w:rPr>
              <w:t>Technical dependency lacks a dedicated RiC preservation relation.</w:t>
            </w:r>
          </w:p>
        </w:tc>
      </w:tr>
      <w:tr w:rsidR="0079436D" w14:paraId="1E51ECDE" w14:textId="77777777">
        <w:trPr>
          <w:jc w:val="center"/>
        </w:trPr>
        <w:tc>
          <w:tcPr>
            <w:tcW w:w="2509" w:type="dxa"/>
          </w:tcPr>
          <w:p w14:paraId="6E4D7B41" w14:textId="77777777" w:rsidR="0079436D" w:rsidRPr="00743D86" w:rsidRDefault="004E45BE" w:rsidP="00743D86">
            <w:pPr>
              <w:spacing w:after="0" w:line="276" w:lineRule="auto"/>
              <w:rPr>
                <w:szCs w:val="18"/>
              </w:rPr>
            </w:pPr>
            <w:r w:rsidRPr="00743D86">
              <w:rPr>
                <w:szCs w:val="18"/>
              </w:rPr>
              <w:t>Fixity</w:t>
            </w:r>
          </w:p>
        </w:tc>
        <w:tc>
          <w:tcPr>
            <w:tcW w:w="2509" w:type="dxa"/>
          </w:tcPr>
          <w:p w14:paraId="2D7E572A" w14:textId="77777777" w:rsidR="0079436D" w:rsidRPr="00743D86" w:rsidRDefault="004E45BE" w:rsidP="00743D86">
            <w:pPr>
              <w:spacing w:after="0" w:line="276" w:lineRule="auto"/>
              <w:rPr>
                <w:szCs w:val="18"/>
              </w:rPr>
            </w:pPr>
            <w:r w:rsidRPr="00743D86">
              <w:rPr>
                <w:szCs w:val="18"/>
              </w:rPr>
              <w:t>Record / proposed relation</w:t>
            </w:r>
          </w:p>
        </w:tc>
        <w:tc>
          <w:tcPr>
            <w:tcW w:w="2509" w:type="dxa"/>
          </w:tcPr>
          <w:p w14:paraId="62E2A51F" w14:textId="77777777" w:rsidR="0079436D" w:rsidRPr="00743D86" w:rsidRDefault="004E45BE" w:rsidP="00743D86">
            <w:pPr>
              <w:spacing w:after="0" w:line="276" w:lineRule="auto"/>
              <w:rPr>
                <w:szCs w:val="18"/>
              </w:rPr>
            </w:pPr>
            <w:r w:rsidRPr="00743D86">
              <w:rPr>
                <w:szCs w:val="18"/>
              </w:rPr>
              <w:t>Gap</w:t>
            </w:r>
          </w:p>
        </w:tc>
        <w:tc>
          <w:tcPr>
            <w:tcW w:w="2509" w:type="dxa"/>
          </w:tcPr>
          <w:p w14:paraId="2BE57F50" w14:textId="77777777" w:rsidR="0079436D" w:rsidRPr="00743D86" w:rsidRDefault="004E45BE" w:rsidP="00743D86">
            <w:pPr>
              <w:spacing w:after="0" w:line="276" w:lineRule="auto"/>
              <w:rPr>
                <w:szCs w:val="18"/>
              </w:rPr>
            </w:pPr>
            <w:r w:rsidRPr="00743D86">
              <w:rPr>
                <w:szCs w:val="18"/>
              </w:rPr>
              <w:t>Integrity evidence requires explicit preservation semantics.</w:t>
            </w:r>
          </w:p>
        </w:tc>
      </w:tr>
      <w:tr w:rsidR="0079436D" w14:paraId="6F467A23" w14:textId="77777777">
        <w:trPr>
          <w:jc w:val="center"/>
        </w:trPr>
        <w:tc>
          <w:tcPr>
            <w:tcW w:w="2509" w:type="dxa"/>
          </w:tcPr>
          <w:p w14:paraId="47F8BB18" w14:textId="77777777" w:rsidR="0079436D" w:rsidRPr="00743D86" w:rsidRDefault="004E45BE" w:rsidP="00743D86">
            <w:pPr>
              <w:spacing w:after="0" w:line="276" w:lineRule="auto"/>
              <w:rPr>
                <w:szCs w:val="18"/>
              </w:rPr>
            </w:pPr>
            <w:r w:rsidRPr="00743D86">
              <w:rPr>
                <w:szCs w:val="18"/>
              </w:rPr>
              <w:t>OutcomeStatus</w:t>
            </w:r>
          </w:p>
        </w:tc>
        <w:tc>
          <w:tcPr>
            <w:tcW w:w="2509" w:type="dxa"/>
          </w:tcPr>
          <w:p w14:paraId="2C2E5545" w14:textId="77777777" w:rsidR="0079436D" w:rsidRPr="00743D86" w:rsidRDefault="004E45BE" w:rsidP="00743D86">
            <w:pPr>
              <w:spacing w:after="0" w:line="276" w:lineRule="auto"/>
              <w:rPr>
                <w:szCs w:val="18"/>
              </w:rPr>
            </w:pPr>
            <w:r w:rsidRPr="00743D86">
              <w:rPr>
                <w:szCs w:val="18"/>
              </w:rPr>
              <w:t>Activity / proposed relation</w:t>
            </w:r>
          </w:p>
        </w:tc>
        <w:tc>
          <w:tcPr>
            <w:tcW w:w="2509" w:type="dxa"/>
          </w:tcPr>
          <w:p w14:paraId="088A11D6" w14:textId="77777777" w:rsidR="0079436D" w:rsidRPr="00743D86" w:rsidRDefault="004E45BE" w:rsidP="00743D86">
            <w:pPr>
              <w:spacing w:after="0" w:line="276" w:lineRule="auto"/>
              <w:rPr>
                <w:szCs w:val="18"/>
              </w:rPr>
            </w:pPr>
            <w:r w:rsidRPr="00743D86">
              <w:rPr>
                <w:szCs w:val="18"/>
              </w:rPr>
              <w:t>Gap</w:t>
            </w:r>
          </w:p>
        </w:tc>
        <w:tc>
          <w:tcPr>
            <w:tcW w:w="2509" w:type="dxa"/>
          </w:tcPr>
          <w:p w14:paraId="33DAE315" w14:textId="77777777" w:rsidR="0079436D" w:rsidRPr="00743D86" w:rsidRDefault="004E45BE" w:rsidP="00743D86">
            <w:pPr>
              <w:spacing w:after="0" w:line="276" w:lineRule="auto"/>
              <w:rPr>
                <w:szCs w:val="18"/>
              </w:rPr>
            </w:pPr>
            <w:r w:rsidRPr="00743D86">
              <w:rPr>
                <w:szCs w:val="18"/>
              </w:rPr>
              <w:t xml:space="preserve">Preservation </w:t>
            </w:r>
            <w:proofErr w:type="gramStart"/>
            <w:r w:rsidRPr="00743D86">
              <w:rPr>
                <w:szCs w:val="18"/>
              </w:rPr>
              <w:t>result needs</w:t>
            </w:r>
            <w:proofErr w:type="gramEnd"/>
            <w:r w:rsidRPr="00743D86">
              <w:rPr>
                <w:szCs w:val="18"/>
              </w:rPr>
              <w:t xml:space="preserve"> an explicit semantic link.</w:t>
            </w:r>
          </w:p>
        </w:tc>
      </w:tr>
      <w:tr w:rsidR="0079436D" w14:paraId="6B4D4AC1" w14:textId="77777777">
        <w:trPr>
          <w:jc w:val="center"/>
        </w:trPr>
        <w:tc>
          <w:tcPr>
            <w:tcW w:w="2509" w:type="dxa"/>
          </w:tcPr>
          <w:p w14:paraId="7DC884ED" w14:textId="77777777" w:rsidR="0079436D" w:rsidRPr="00743D86" w:rsidRDefault="004E45BE" w:rsidP="00743D86">
            <w:pPr>
              <w:spacing w:after="0" w:line="276" w:lineRule="auto"/>
              <w:rPr>
                <w:szCs w:val="18"/>
              </w:rPr>
            </w:pPr>
            <w:r w:rsidRPr="00743D86">
              <w:rPr>
                <w:szCs w:val="18"/>
              </w:rPr>
              <w:t>StorageLocation</w:t>
            </w:r>
          </w:p>
        </w:tc>
        <w:tc>
          <w:tcPr>
            <w:tcW w:w="2509" w:type="dxa"/>
          </w:tcPr>
          <w:p w14:paraId="10A06DD0" w14:textId="77777777" w:rsidR="0079436D" w:rsidRPr="00743D86" w:rsidRDefault="004E45BE" w:rsidP="00743D86">
            <w:pPr>
              <w:spacing w:after="0" w:line="276" w:lineRule="auto"/>
              <w:rPr>
                <w:szCs w:val="18"/>
              </w:rPr>
            </w:pPr>
            <w:r w:rsidRPr="00743D86">
              <w:rPr>
                <w:szCs w:val="18"/>
              </w:rPr>
              <w:t>—</w:t>
            </w:r>
          </w:p>
        </w:tc>
        <w:tc>
          <w:tcPr>
            <w:tcW w:w="2509" w:type="dxa"/>
          </w:tcPr>
          <w:p w14:paraId="75A185D2" w14:textId="77777777" w:rsidR="0079436D" w:rsidRPr="00743D86" w:rsidRDefault="004E45BE" w:rsidP="00743D86">
            <w:pPr>
              <w:spacing w:after="0" w:line="276" w:lineRule="auto"/>
              <w:rPr>
                <w:szCs w:val="18"/>
              </w:rPr>
            </w:pPr>
            <w:r w:rsidRPr="00743D86">
              <w:rPr>
                <w:szCs w:val="18"/>
              </w:rPr>
              <w:t>Gap</w:t>
            </w:r>
          </w:p>
        </w:tc>
        <w:tc>
          <w:tcPr>
            <w:tcW w:w="2509" w:type="dxa"/>
          </w:tcPr>
          <w:p w14:paraId="5097D182" w14:textId="77777777" w:rsidR="0079436D" w:rsidRPr="00743D86" w:rsidRDefault="004E45BE" w:rsidP="00743D86">
            <w:pPr>
              <w:spacing w:after="0" w:line="276" w:lineRule="auto"/>
              <w:rPr>
                <w:szCs w:val="18"/>
              </w:rPr>
            </w:pPr>
            <w:r w:rsidRPr="00743D86">
              <w:rPr>
                <w:szCs w:val="18"/>
              </w:rPr>
              <w:t>No direct preservation-specific counterpart identified.</w:t>
            </w:r>
          </w:p>
        </w:tc>
      </w:tr>
      <w:tr w:rsidR="0079436D" w14:paraId="7DE38C4B" w14:textId="77777777">
        <w:trPr>
          <w:jc w:val="center"/>
        </w:trPr>
        <w:tc>
          <w:tcPr>
            <w:tcW w:w="2509" w:type="dxa"/>
          </w:tcPr>
          <w:p w14:paraId="0F39C8D9" w14:textId="77777777" w:rsidR="0079436D" w:rsidRPr="00743D86" w:rsidRDefault="004E45BE" w:rsidP="00743D86">
            <w:pPr>
              <w:spacing w:after="0" w:line="276" w:lineRule="auto"/>
              <w:rPr>
                <w:szCs w:val="18"/>
              </w:rPr>
            </w:pPr>
            <w:r w:rsidRPr="00743D86">
              <w:rPr>
                <w:szCs w:val="18"/>
              </w:rPr>
              <w:t>Policy / Rule evidence</w:t>
            </w:r>
          </w:p>
        </w:tc>
        <w:tc>
          <w:tcPr>
            <w:tcW w:w="2509" w:type="dxa"/>
          </w:tcPr>
          <w:p w14:paraId="36DAF4B0" w14:textId="77777777" w:rsidR="0079436D" w:rsidRPr="00743D86" w:rsidRDefault="004E45BE" w:rsidP="00743D86">
            <w:pPr>
              <w:spacing w:after="0" w:line="276" w:lineRule="auto"/>
              <w:rPr>
                <w:szCs w:val="18"/>
              </w:rPr>
            </w:pPr>
            <w:r w:rsidRPr="00743D86">
              <w:rPr>
                <w:szCs w:val="18"/>
              </w:rPr>
              <w:t>Rule / Record</w:t>
            </w:r>
          </w:p>
        </w:tc>
        <w:tc>
          <w:tcPr>
            <w:tcW w:w="2509" w:type="dxa"/>
          </w:tcPr>
          <w:p w14:paraId="08E9E533" w14:textId="77777777" w:rsidR="0079436D" w:rsidRPr="00743D86" w:rsidRDefault="004E45BE" w:rsidP="00743D86">
            <w:pPr>
              <w:spacing w:after="0" w:line="276" w:lineRule="auto"/>
              <w:rPr>
                <w:szCs w:val="18"/>
              </w:rPr>
            </w:pPr>
            <w:r w:rsidRPr="00743D86">
              <w:rPr>
                <w:szCs w:val="18"/>
              </w:rPr>
              <w:t>Indirect</w:t>
            </w:r>
          </w:p>
        </w:tc>
        <w:tc>
          <w:tcPr>
            <w:tcW w:w="2509" w:type="dxa"/>
          </w:tcPr>
          <w:p w14:paraId="100A802A" w14:textId="77777777" w:rsidR="0079436D" w:rsidRPr="00743D86" w:rsidRDefault="004E45BE" w:rsidP="00743D86">
            <w:pPr>
              <w:spacing w:after="0" w:line="276" w:lineRule="auto"/>
              <w:rPr>
                <w:szCs w:val="18"/>
              </w:rPr>
            </w:pPr>
            <w:r w:rsidRPr="00743D86">
              <w:rPr>
                <w:szCs w:val="18"/>
              </w:rPr>
              <w:t>Policies can be documented, but preservation role is not explicit.</w:t>
            </w:r>
          </w:p>
        </w:tc>
      </w:tr>
      <w:tr w:rsidR="0079436D" w14:paraId="0D6BF753" w14:textId="77777777">
        <w:trPr>
          <w:jc w:val="center"/>
        </w:trPr>
        <w:tc>
          <w:tcPr>
            <w:tcW w:w="2509" w:type="dxa"/>
          </w:tcPr>
          <w:p w14:paraId="1D8A0C90" w14:textId="77777777" w:rsidR="0079436D" w:rsidRPr="00743D86" w:rsidRDefault="004E45BE" w:rsidP="00743D86">
            <w:pPr>
              <w:spacing w:after="0" w:line="276" w:lineRule="auto"/>
              <w:rPr>
                <w:szCs w:val="18"/>
              </w:rPr>
            </w:pPr>
            <w:r w:rsidRPr="00743D86">
              <w:rPr>
                <w:szCs w:val="18"/>
              </w:rPr>
              <w:t>SoftwareAgent</w:t>
            </w:r>
          </w:p>
        </w:tc>
        <w:tc>
          <w:tcPr>
            <w:tcW w:w="2509" w:type="dxa"/>
          </w:tcPr>
          <w:p w14:paraId="5410B8C4" w14:textId="77777777" w:rsidR="0079436D" w:rsidRPr="00743D86" w:rsidRDefault="004E45BE" w:rsidP="00743D86">
            <w:pPr>
              <w:spacing w:after="0" w:line="276" w:lineRule="auto"/>
              <w:rPr>
                <w:szCs w:val="18"/>
              </w:rPr>
            </w:pPr>
            <w:r w:rsidRPr="00743D86">
              <w:rPr>
                <w:szCs w:val="18"/>
              </w:rPr>
              <w:t>Agent / proposed relation</w:t>
            </w:r>
          </w:p>
        </w:tc>
        <w:tc>
          <w:tcPr>
            <w:tcW w:w="2509" w:type="dxa"/>
          </w:tcPr>
          <w:p w14:paraId="208D29D8" w14:textId="77777777" w:rsidR="0079436D" w:rsidRPr="00743D86" w:rsidRDefault="004E45BE" w:rsidP="00743D86">
            <w:pPr>
              <w:spacing w:after="0" w:line="276" w:lineRule="auto"/>
              <w:rPr>
                <w:szCs w:val="18"/>
              </w:rPr>
            </w:pPr>
            <w:r w:rsidRPr="00743D86">
              <w:rPr>
                <w:szCs w:val="18"/>
              </w:rPr>
              <w:t>Close/gap</w:t>
            </w:r>
          </w:p>
        </w:tc>
        <w:tc>
          <w:tcPr>
            <w:tcW w:w="2509" w:type="dxa"/>
          </w:tcPr>
          <w:p w14:paraId="628B19DC" w14:textId="77777777" w:rsidR="0079436D" w:rsidRPr="00743D86" w:rsidRDefault="004E45BE" w:rsidP="00743D86">
            <w:pPr>
              <w:spacing w:after="0" w:line="276" w:lineRule="auto"/>
              <w:rPr>
                <w:szCs w:val="18"/>
              </w:rPr>
            </w:pPr>
            <w:r w:rsidRPr="00743D86">
              <w:rPr>
                <w:szCs w:val="18"/>
              </w:rPr>
              <w:t>Participation can be represented, but software role needs clarification.</w:t>
            </w:r>
          </w:p>
        </w:tc>
      </w:tr>
    </w:tbl>
    <w:p w14:paraId="01FBDBEF" w14:textId="77777777" w:rsidR="0079436D" w:rsidRDefault="004E45BE" w:rsidP="00743D86">
      <w:pPr>
        <w:pStyle w:val="Heading2"/>
        <w:spacing w:line="276" w:lineRule="auto"/>
      </w:pPr>
      <w:r>
        <w:t>5.3 Interpretation of the Mapping</w:t>
      </w:r>
    </w:p>
    <w:p w14:paraId="36311CD1" w14:textId="77777777" w:rsidR="0079436D" w:rsidRDefault="004E45BE" w:rsidP="00743D86">
      <w:pPr>
        <w:spacing w:line="276" w:lineRule="auto"/>
        <w:jc w:val="both"/>
      </w:pPr>
      <w:r>
        <w:t>The table should be read conservatively. A close mapping does not imply that two classes are interchangeable. In particular, the thesis shows that the strongest interoperability strategy is to retain the original semantics of each model and connect them through typed relationships. This is preferable to declaring broad equivalence where the models operate at different levels of abstraction.</w:t>
      </w:r>
    </w:p>
    <w:p w14:paraId="152B523A" w14:textId="77777777" w:rsidR="0079436D" w:rsidRDefault="004E45BE" w:rsidP="00743D86">
      <w:pPr>
        <w:spacing w:line="276" w:lineRule="auto"/>
        <w:jc w:val="both"/>
      </w:pPr>
      <w:r>
        <w:t>The thesis also demonstrates that several PREMIS concepts are represented in RiC not by equivalent preservation classes, but through records that document them. This is useful as an archival documentation strategy, but it should be distinguished from ontology equivalence. The proposed extension therefore treats documentary links and semantic equivalence as different mapping outcomes.</w:t>
      </w:r>
    </w:p>
    <w:p w14:paraId="39FE2C73" w14:textId="77777777" w:rsidR="0079436D" w:rsidRDefault="004E45BE" w:rsidP="00743D86">
      <w:pPr>
        <w:pStyle w:val="Heading1"/>
        <w:spacing w:line="276" w:lineRule="auto"/>
        <w:jc w:val="both"/>
      </w:pPr>
      <w:r>
        <w:lastRenderedPageBreak/>
        <w:t>6 Proposed Conceptual Extension</w:t>
      </w:r>
    </w:p>
    <w:p w14:paraId="66FC0626" w14:textId="77777777" w:rsidR="0079436D" w:rsidRDefault="004E45BE" w:rsidP="00743D86">
      <w:pPr>
        <w:spacing w:line="276" w:lineRule="auto"/>
        <w:jc w:val="both"/>
      </w:pPr>
      <w:r>
        <w:t>The proposed extension follows a conservative principle: preserve RiC-CM's existing entities and relationship-oriented logic while adding a small number of semantic links for preservation-specific information. The intention is not to reproduce the full PREMIS Data Dictionary inside RiC-CM. Instead, the extension creates explicit bridges to preservation evidence so that a RiC-based graph can connect archival context with technical and procedural metadata.</w:t>
      </w:r>
    </w:p>
    <w:p w14:paraId="6D84DFDB" w14:textId="77777777" w:rsidR="0079436D" w:rsidRDefault="004E45BE" w:rsidP="00743D86">
      <w:pPr>
        <w:pStyle w:val="Heading2"/>
        <w:spacing w:line="276" w:lineRule="auto"/>
        <w:jc w:val="both"/>
      </w:pPr>
      <w:r>
        <w:t>6.1 Integrity and fixity</w:t>
      </w:r>
    </w:p>
    <w:p w14:paraId="1D8CBEA9" w14:textId="77777777" w:rsidR="0079436D" w:rsidRDefault="004E45BE" w:rsidP="00743D86">
      <w:pPr>
        <w:spacing w:line="276" w:lineRule="auto"/>
        <w:jc w:val="both"/>
      </w:pPr>
      <w:r>
        <w:t>The hasFixity relationship addresses one of the clearest gaps. A Record or Instantiation can be linked to a fixity resource containing a checksum, hashing algorithm, verification timestamp, and audit result. This preserves the archival context while making integrity evidence explicit. For example, an SHA-256 value can be represented as preservation evidence linked to the digital instantiation rather than merely embedded in a generic technical report.</w:t>
      </w:r>
    </w:p>
    <w:p w14:paraId="3B7B14AA" w14:textId="77777777" w:rsidR="0079436D" w:rsidRDefault="004E45BE" w:rsidP="00743D86">
      <w:pPr>
        <w:pStyle w:val="Heading2"/>
        <w:spacing w:line="276" w:lineRule="auto"/>
        <w:jc w:val="both"/>
      </w:pPr>
      <w:r>
        <w:t>6.2 Technical dependencies</w:t>
      </w:r>
    </w:p>
    <w:p w14:paraId="7BD48B3B" w14:textId="77777777" w:rsidR="0079436D" w:rsidRDefault="004E45BE" w:rsidP="00743D86">
      <w:pPr>
        <w:spacing w:line="276" w:lineRule="auto"/>
        <w:jc w:val="both"/>
      </w:pPr>
      <w:r>
        <w:t>The hasDependency relationship makes technical requirements first-class semantic links. A digital video may depend on the FFV1 codec or on software such as FFmpeg; a PDF may depend on rendering software; a CAD file may require a specific application. By linking the digital resource to a dependency entity, future preservation planning can identify which technical environments are necessary for continued access.</w:t>
      </w:r>
    </w:p>
    <w:p w14:paraId="23EE4F98" w14:textId="77777777" w:rsidR="0079436D" w:rsidRDefault="004E45BE" w:rsidP="00743D86">
      <w:pPr>
        <w:pStyle w:val="Heading2"/>
        <w:spacing w:line="276" w:lineRule="auto"/>
        <w:jc w:val="both"/>
      </w:pPr>
      <w:r>
        <w:t>6.3 Preservation activities and outcomes</w:t>
      </w:r>
    </w:p>
    <w:p w14:paraId="0870491F" w14:textId="77777777" w:rsidR="0079436D" w:rsidRDefault="004E45BE" w:rsidP="00743D86">
      <w:pPr>
        <w:spacing w:line="276" w:lineRule="auto"/>
        <w:jc w:val="both"/>
      </w:pPr>
      <w:r>
        <w:t>RiC-O already represents activities, events, and agents, so the extension does not need a new generic preservation-process class. Instead, hasOutcomeStatus makes the result of a preservation activity explicit. Migration, normalization, validation, replication, or OCR can therefore be modeled as activities associated with responsible agents and software, and each activity can be connected to a result such as successful completion, failure, or completion with warnings.</w:t>
      </w:r>
    </w:p>
    <w:p w14:paraId="56B1E800" w14:textId="77777777" w:rsidR="0079436D" w:rsidRDefault="004E45BE" w:rsidP="00743D86">
      <w:pPr>
        <w:pStyle w:val="Heading2"/>
        <w:spacing w:line="276" w:lineRule="auto"/>
        <w:jc w:val="both"/>
      </w:pPr>
      <w:r>
        <w:t>6.4 Policies, software, and mechanisms</w:t>
      </w:r>
    </w:p>
    <w:p w14:paraId="021E3B9E" w14:textId="77777777" w:rsidR="0079436D" w:rsidRDefault="004E45BE" w:rsidP="00743D86">
      <w:pPr>
        <w:spacing w:line="276" w:lineRule="auto"/>
        <w:jc w:val="both"/>
      </w:pPr>
      <w:r>
        <w:t>Policies can continue to be represented through RiC-O Rule and Record entities, while preservation-specific policy concepts remain semantically linked to the archival documentation that expresses them. Software agents require additional precision because a software application can be both an agent and the mechanism through which an activity is executed. The proposed wasAssociatedWithSoftwareAgent and actsAsMechanism relationships make this role explicit. Finally, wasGeneratedByActivity connects logs and rep</w:t>
      </w:r>
      <w:r>
        <w:t>orts to the activity that produced them, strengthening traceability.</w:t>
      </w:r>
    </w:p>
    <w:p w14:paraId="5CE1DA4A" w14:textId="77777777" w:rsidR="0079436D" w:rsidRDefault="004E45BE" w:rsidP="00743D86">
      <w:pPr>
        <w:pStyle w:val="Heading2"/>
        <w:spacing w:line="276" w:lineRule="auto"/>
        <w:jc w:val="both"/>
      </w:pPr>
      <w:r>
        <w:t>6.5 Proposed Extension Summary</w:t>
      </w:r>
    </w:p>
    <w:tbl>
      <w:tblPr>
        <w:tblStyle w:val="TableGrid"/>
        <w:tblW w:w="0" w:type="auto"/>
        <w:jc w:val="center"/>
        <w:tblLook w:val="04A0" w:firstRow="1" w:lastRow="0" w:firstColumn="1" w:lastColumn="0" w:noHBand="0" w:noVBand="1"/>
      </w:tblPr>
      <w:tblGrid>
        <w:gridCol w:w="3346"/>
        <w:gridCol w:w="3346"/>
        <w:gridCol w:w="3346"/>
      </w:tblGrid>
      <w:tr w:rsidR="0079436D" w14:paraId="1318114D" w14:textId="77777777">
        <w:trPr>
          <w:jc w:val="center"/>
        </w:trPr>
        <w:tc>
          <w:tcPr>
            <w:tcW w:w="3346" w:type="dxa"/>
          </w:tcPr>
          <w:p w14:paraId="5F802412" w14:textId="77777777" w:rsidR="0079436D" w:rsidRPr="00743D86" w:rsidRDefault="004E45BE" w:rsidP="00743D86">
            <w:pPr>
              <w:spacing w:after="0" w:line="276" w:lineRule="auto"/>
              <w:jc w:val="both"/>
              <w:rPr>
                <w:szCs w:val="18"/>
              </w:rPr>
            </w:pPr>
            <w:r w:rsidRPr="00743D86">
              <w:rPr>
                <w:szCs w:val="18"/>
              </w:rPr>
              <w:t>Proposed relation</w:t>
            </w:r>
          </w:p>
        </w:tc>
        <w:tc>
          <w:tcPr>
            <w:tcW w:w="3346" w:type="dxa"/>
          </w:tcPr>
          <w:p w14:paraId="51F4B98E" w14:textId="77777777" w:rsidR="0079436D" w:rsidRPr="00743D86" w:rsidRDefault="004E45BE" w:rsidP="00743D86">
            <w:pPr>
              <w:spacing w:after="0" w:line="276" w:lineRule="auto"/>
              <w:jc w:val="both"/>
              <w:rPr>
                <w:szCs w:val="18"/>
              </w:rPr>
            </w:pPr>
            <w:r w:rsidRPr="00743D86">
              <w:rPr>
                <w:szCs w:val="18"/>
              </w:rPr>
              <w:t>Domain → Range</w:t>
            </w:r>
          </w:p>
        </w:tc>
        <w:tc>
          <w:tcPr>
            <w:tcW w:w="3346" w:type="dxa"/>
          </w:tcPr>
          <w:p w14:paraId="347F4F75" w14:textId="77777777" w:rsidR="0079436D" w:rsidRPr="00743D86" w:rsidRDefault="004E45BE" w:rsidP="00743D86">
            <w:pPr>
              <w:spacing w:after="0" w:line="276" w:lineRule="auto"/>
              <w:jc w:val="both"/>
              <w:rPr>
                <w:szCs w:val="18"/>
              </w:rPr>
            </w:pPr>
            <w:r w:rsidRPr="00743D86">
              <w:rPr>
                <w:szCs w:val="18"/>
              </w:rPr>
              <w:t>Purpose</w:t>
            </w:r>
          </w:p>
        </w:tc>
      </w:tr>
      <w:tr w:rsidR="0079436D" w14:paraId="18A6B5C5" w14:textId="77777777">
        <w:trPr>
          <w:jc w:val="center"/>
        </w:trPr>
        <w:tc>
          <w:tcPr>
            <w:tcW w:w="3346" w:type="dxa"/>
          </w:tcPr>
          <w:p w14:paraId="1D5C69A0" w14:textId="77777777" w:rsidR="0079436D" w:rsidRPr="00743D86" w:rsidRDefault="004E45BE" w:rsidP="00743D86">
            <w:pPr>
              <w:spacing w:after="0" w:line="276" w:lineRule="auto"/>
              <w:jc w:val="both"/>
              <w:rPr>
                <w:szCs w:val="18"/>
              </w:rPr>
            </w:pPr>
            <w:r w:rsidRPr="00743D86">
              <w:rPr>
                <w:szCs w:val="18"/>
              </w:rPr>
              <w:t>hasFixity</w:t>
            </w:r>
          </w:p>
        </w:tc>
        <w:tc>
          <w:tcPr>
            <w:tcW w:w="3346" w:type="dxa"/>
          </w:tcPr>
          <w:p w14:paraId="7D4CF0DE" w14:textId="77777777" w:rsidR="0079436D" w:rsidRPr="00743D86" w:rsidRDefault="004E45BE" w:rsidP="00743D86">
            <w:pPr>
              <w:spacing w:after="0" w:line="276" w:lineRule="auto"/>
              <w:jc w:val="both"/>
              <w:rPr>
                <w:szCs w:val="18"/>
              </w:rPr>
            </w:pPr>
            <w:r w:rsidRPr="00743D86">
              <w:rPr>
                <w:szCs w:val="18"/>
              </w:rPr>
              <w:t>RecordResource/Instantiation → Fixity evidence</w:t>
            </w:r>
          </w:p>
        </w:tc>
        <w:tc>
          <w:tcPr>
            <w:tcW w:w="3346" w:type="dxa"/>
          </w:tcPr>
          <w:p w14:paraId="0BC17B5F" w14:textId="77777777" w:rsidR="0079436D" w:rsidRPr="00743D86" w:rsidRDefault="004E45BE" w:rsidP="00743D86">
            <w:pPr>
              <w:spacing w:after="0" w:line="276" w:lineRule="auto"/>
              <w:jc w:val="both"/>
              <w:rPr>
                <w:szCs w:val="18"/>
              </w:rPr>
            </w:pPr>
            <w:r w:rsidRPr="00743D86">
              <w:rPr>
                <w:szCs w:val="18"/>
              </w:rPr>
              <w:t xml:space="preserve">Connect checksum, </w:t>
            </w:r>
            <w:proofErr w:type="gramStart"/>
            <w:r w:rsidRPr="00743D86">
              <w:rPr>
                <w:szCs w:val="18"/>
              </w:rPr>
              <w:t>algorithm</w:t>
            </w:r>
            <w:proofErr w:type="gramEnd"/>
            <w:r w:rsidRPr="00743D86">
              <w:rPr>
                <w:szCs w:val="18"/>
              </w:rPr>
              <w:t>, verification and audit information.</w:t>
            </w:r>
          </w:p>
        </w:tc>
      </w:tr>
      <w:tr w:rsidR="0079436D" w14:paraId="3F73A66C" w14:textId="77777777">
        <w:trPr>
          <w:jc w:val="center"/>
        </w:trPr>
        <w:tc>
          <w:tcPr>
            <w:tcW w:w="3346" w:type="dxa"/>
          </w:tcPr>
          <w:p w14:paraId="4E97FA44" w14:textId="77777777" w:rsidR="0079436D" w:rsidRPr="00743D86" w:rsidRDefault="004E45BE" w:rsidP="00743D86">
            <w:pPr>
              <w:spacing w:after="0" w:line="276" w:lineRule="auto"/>
              <w:jc w:val="both"/>
              <w:rPr>
                <w:szCs w:val="18"/>
              </w:rPr>
            </w:pPr>
            <w:r w:rsidRPr="00743D86">
              <w:rPr>
                <w:szCs w:val="18"/>
              </w:rPr>
              <w:t>hasDependency</w:t>
            </w:r>
          </w:p>
        </w:tc>
        <w:tc>
          <w:tcPr>
            <w:tcW w:w="3346" w:type="dxa"/>
          </w:tcPr>
          <w:p w14:paraId="3768E948" w14:textId="77777777" w:rsidR="0079436D" w:rsidRPr="00743D86" w:rsidRDefault="004E45BE" w:rsidP="00743D86">
            <w:pPr>
              <w:spacing w:after="0" w:line="276" w:lineRule="auto"/>
              <w:jc w:val="both"/>
              <w:rPr>
                <w:szCs w:val="18"/>
              </w:rPr>
            </w:pPr>
            <w:r w:rsidRPr="00743D86">
              <w:rPr>
                <w:szCs w:val="18"/>
              </w:rPr>
              <w:t>Digital resource → Technical environment</w:t>
            </w:r>
          </w:p>
        </w:tc>
        <w:tc>
          <w:tcPr>
            <w:tcW w:w="3346" w:type="dxa"/>
          </w:tcPr>
          <w:p w14:paraId="4ECA3C2F" w14:textId="77777777" w:rsidR="0079436D" w:rsidRPr="00743D86" w:rsidRDefault="004E45BE" w:rsidP="00743D86">
            <w:pPr>
              <w:spacing w:after="0" w:line="276" w:lineRule="auto"/>
              <w:jc w:val="both"/>
              <w:rPr>
                <w:szCs w:val="18"/>
              </w:rPr>
            </w:pPr>
            <w:r w:rsidRPr="00743D86">
              <w:rPr>
                <w:szCs w:val="18"/>
              </w:rPr>
              <w:t xml:space="preserve">Connect software, </w:t>
            </w:r>
            <w:proofErr w:type="gramStart"/>
            <w:r w:rsidRPr="00743D86">
              <w:rPr>
                <w:szCs w:val="18"/>
              </w:rPr>
              <w:t>codec</w:t>
            </w:r>
            <w:proofErr w:type="gramEnd"/>
            <w:r w:rsidRPr="00743D86">
              <w:rPr>
                <w:szCs w:val="18"/>
              </w:rPr>
              <w:t>, hardware or other interpretation requirements.</w:t>
            </w:r>
          </w:p>
        </w:tc>
      </w:tr>
      <w:tr w:rsidR="0079436D" w14:paraId="5C401C13" w14:textId="77777777">
        <w:trPr>
          <w:jc w:val="center"/>
        </w:trPr>
        <w:tc>
          <w:tcPr>
            <w:tcW w:w="3346" w:type="dxa"/>
          </w:tcPr>
          <w:p w14:paraId="52C464C9" w14:textId="77777777" w:rsidR="0079436D" w:rsidRPr="00743D86" w:rsidRDefault="004E45BE" w:rsidP="00743D86">
            <w:pPr>
              <w:spacing w:after="0" w:line="276" w:lineRule="auto"/>
              <w:jc w:val="both"/>
              <w:rPr>
                <w:szCs w:val="18"/>
              </w:rPr>
            </w:pPr>
            <w:r w:rsidRPr="00743D86">
              <w:rPr>
                <w:szCs w:val="18"/>
              </w:rPr>
              <w:t>hasOutcomeStatus</w:t>
            </w:r>
          </w:p>
        </w:tc>
        <w:tc>
          <w:tcPr>
            <w:tcW w:w="3346" w:type="dxa"/>
          </w:tcPr>
          <w:p w14:paraId="535B4DE8" w14:textId="77777777" w:rsidR="0079436D" w:rsidRPr="00743D86" w:rsidRDefault="004E45BE" w:rsidP="00743D86">
            <w:pPr>
              <w:spacing w:after="0" w:line="276" w:lineRule="auto"/>
              <w:jc w:val="both"/>
              <w:rPr>
                <w:szCs w:val="18"/>
              </w:rPr>
            </w:pPr>
            <w:r w:rsidRPr="00743D86">
              <w:rPr>
                <w:szCs w:val="18"/>
              </w:rPr>
              <w:t>Activity → Outcome</w:t>
            </w:r>
          </w:p>
        </w:tc>
        <w:tc>
          <w:tcPr>
            <w:tcW w:w="3346" w:type="dxa"/>
          </w:tcPr>
          <w:p w14:paraId="70C8A3C8" w14:textId="77777777" w:rsidR="0079436D" w:rsidRPr="00743D86" w:rsidRDefault="004E45BE" w:rsidP="00743D86">
            <w:pPr>
              <w:spacing w:after="0" w:line="276" w:lineRule="auto"/>
              <w:jc w:val="both"/>
              <w:rPr>
                <w:szCs w:val="18"/>
              </w:rPr>
            </w:pPr>
            <w:r w:rsidRPr="00743D86">
              <w:rPr>
                <w:szCs w:val="18"/>
              </w:rPr>
              <w:t>Record successful, failed or warning outcomes.</w:t>
            </w:r>
          </w:p>
        </w:tc>
      </w:tr>
      <w:tr w:rsidR="0079436D" w14:paraId="7AEB1C2B" w14:textId="77777777">
        <w:trPr>
          <w:jc w:val="center"/>
        </w:trPr>
        <w:tc>
          <w:tcPr>
            <w:tcW w:w="3346" w:type="dxa"/>
          </w:tcPr>
          <w:p w14:paraId="2281FED0" w14:textId="77777777" w:rsidR="0079436D" w:rsidRPr="00743D86" w:rsidRDefault="004E45BE" w:rsidP="00743D86">
            <w:pPr>
              <w:spacing w:after="0" w:line="276" w:lineRule="auto"/>
              <w:jc w:val="both"/>
              <w:rPr>
                <w:szCs w:val="18"/>
              </w:rPr>
            </w:pPr>
            <w:r w:rsidRPr="00743D86">
              <w:rPr>
                <w:szCs w:val="18"/>
              </w:rPr>
              <w:t>wasAssociatedWith</w:t>
            </w:r>
          </w:p>
        </w:tc>
        <w:tc>
          <w:tcPr>
            <w:tcW w:w="3346" w:type="dxa"/>
          </w:tcPr>
          <w:p w14:paraId="70193957" w14:textId="77777777" w:rsidR="0079436D" w:rsidRPr="00743D86" w:rsidRDefault="004E45BE" w:rsidP="00743D86">
            <w:pPr>
              <w:spacing w:after="0" w:line="276" w:lineRule="auto"/>
              <w:jc w:val="both"/>
              <w:rPr>
                <w:szCs w:val="18"/>
              </w:rPr>
            </w:pPr>
            <w:r w:rsidRPr="00743D86">
              <w:rPr>
                <w:szCs w:val="18"/>
              </w:rPr>
              <w:t>Activity → Software Agent</w:t>
            </w:r>
          </w:p>
        </w:tc>
        <w:tc>
          <w:tcPr>
            <w:tcW w:w="3346" w:type="dxa"/>
          </w:tcPr>
          <w:p w14:paraId="12B9BF43" w14:textId="77777777" w:rsidR="0079436D" w:rsidRPr="00743D86" w:rsidRDefault="004E45BE" w:rsidP="00743D86">
            <w:pPr>
              <w:spacing w:after="0" w:line="276" w:lineRule="auto"/>
              <w:jc w:val="both"/>
              <w:rPr>
                <w:szCs w:val="18"/>
              </w:rPr>
            </w:pPr>
            <w:r w:rsidRPr="00743D86">
              <w:rPr>
                <w:szCs w:val="18"/>
              </w:rPr>
              <w:t>Identify software participating in preservation activity.</w:t>
            </w:r>
          </w:p>
        </w:tc>
      </w:tr>
      <w:tr w:rsidR="0079436D" w14:paraId="142A0774" w14:textId="77777777">
        <w:trPr>
          <w:jc w:val="center"/>
        </w:trPr>
        <w:tc>
          <w:tcPr>
            <w:tcW w:w="3346" w:type="dxa"/>
          </w:tcPr>
          <w:p w14:paraId="28A48B9E" w14:textId="77777777" w:rsidR="0079436D" w:rsidRPr="00743D86" w:rsidRDefault="004E45BE" w:rsidP="00743D86">
            <w:pPr>
              <w:spacing w:after="0" w:line="276" w:lineRule="auto"/>
              <w:jc w:val="both"/>
              <w:rPr>
                <w:szCs w:val="18"/>
              </w:rPr>
            </w:pPr>
            <w:r w:rsidRPr="00743D86">
              <w:rPr>
                <w:szCs w:val="18"/>
              </w:rPr>
              <w:t>actsAs</w:t>
            </w:r>
          </w:p>
        </w:tc>
        <w:tc>
          <w:tcPr>
            <w:tcW w:w="3346" w:type="dxa"/>
          </w:tcPr>
          <w:p w14:paraId="4B8CF8C0" w14:textId="77777777" w:rsidR="0079436D" w:rsidRPr="00743D86" w:rsidRDefault="004E45BE" w:rsidP="00743D86">
            <w:pPr>
              <w:spacing w:after="0" w:line="276" w:lineRule="auto"/>
              <w:jc w:val="both"/>
              <w:rPr>
                <w:szCs w:val="18"/>
              </w:rPr>
            </w:pPr>
            <w:r w:rsidRPr="00743D86">
              <w:rPr>
                <w:szCs w:val="18"/>
              </w:rPr>
              <w:t>Software Agent → Mechanism</w:t>
            </w:r>
          </w:p>
        </w:tc>
        <w:tc>
          <w:tcPr>
            <w:tcW w:w="3346" w:type="dxa"/>
          </w:tcPr>
          <w:p w14:paraId="7A2FBB1C" w14:textId="77777777" w:rsidR="0079436D" w:rsidRPr="00743D86" w:rsidRDefault="004E45BE" w:rsidP="00743D86">
            <w:pPr>
              <w:spacing w:after="0" w:line="276" w:lineRule="auto"/>
              <w:jc w:val="both"/>
              <w:rPr>
                <w:szCs w:val="18"/>
              </w:rPr>
            </w:pPr>
            <w:r w:rsidRPr="00743D86">
              <w:rPr>
                <w:szCs w:val="18"/>
              </w:rPr>
              <w:t>Represent software as the technical means of an activity.</w:t>
            </w:r>
          </w:p>
        </w:tc>
      </w:tr>
      <w:tr w:rsidR="0079436D" w14:paraId="7410689A" w14:textId="77777777">
        <w:trPr>
          <w:jc w:val="center"/>
        </w:trPr>
        <w:tc>
          <w:tcPr>
            <w:tcW w:w="3346" w:type="dxa"/>
          </w:tcPr>
          <w:p w14:paraId="2B6C9E5F" w14:textId="77777777" w:rsidR="0079436D" w:rsidRPr="00743D86" w:rsidRDefault="004E45BE" w:rsidP="00743D86">
            <w:pPr>
              <w:spacing w:after="0" w:line="276" w:lineRule="auto"/>
              <w:jc w:val="both"/>
              <w:rPr>
                <w:szCs w:val="18"/>
              </w:rPr>
            </w:pPr>
            <w:r w:rsidRPr="00743D86">
              <w:rPr>
                <w:szCs w:val="18"/>
              </w:rPr>
              <w:t>wasGeneratedBy</w:t>
            </w:r>
          </w:p>
        </w:tc>
        <w:tc>
          <w:tcPr>
            <w:tcW w:w="3346" w:type="dxa"/>
          </w:tcPr>
          <w:p w14:paraId="010462F4" w14:textId="77777777" w:rsidR="0079436D" w:rsidRPr="00743D86" w:rsidRDefault="004E45BE" w:rsidP="00743D86">
            <w:pPr>
              <w:spacing w:after="0" w:line="276" w:lineRule="auto"/>
              <w:jc w:val="both"/>
              <w:rPr>
                <w:szCs w:val="18"/>
              </w:rPr>
            </w:pPr>
            <w:r w:rsidRPr="00743D86">
              <w:rPr>
                <w:szCs w:val="18"/>
              </w:rPr>
              <w:t>Log/Report → Activity</w:t>
            </w:r>
          </w:p>
        </w:tc>
        <w:tc>
          <w:tcPr>
            <w:tcW w:w="3346" w:type="dxa"/>
          </w:tcPr>
          <w:p w14:paraId="2054E636" w14:textId="77777777" w:rsidR="0079436D" w:rsidRPr="00743D86" w:rsidRDefault="004E45BE" w:rsidP="00743D86">
            <w:pPr>
              <w:spacing w:after="0" w:line="276" w:lineRule="auto"/>
              <w:jc w:val="both"/>
              <w:rPr>
                <w:szCs w:val="18"/>
              </w:rPr>
            </w:pPr>
            <w:r w:rsidRPr="00743D86">
              <w:rPr>
                <w:szCs w:val="18"/>
              </w:rPr>
              <w:t>Connect preservation evidence to the activity that produced it.</w:t>
            </w:r>
          </w:p>
        </w:tc>
      </w:tr>
    </w:tbl>
    <w:p w14:paraId="3489D01F" w14:textId="77777777" w:rsidR="0079436D" w:rsidRDefault="004E45BE" w:rsidP="00743D86">
      <w:pPr>
        <w:pStyle w:val="Heading2"/>
        <w:spacing w:line="276" w:lineRule="auto"/>
        <w:jc w:val="both"/>
      </w:pPr>
      <w:r>
        <w:t>6.6 RDF/OWL Representation and Formalization Principles</w:t>
      </w:r>
    </w:p>
    <w:p w14:paraId="26021459" w14:textId="77777777" w:rsidR="0079436D" w:rsidRDefault="004E45BE" w:rsidP="00743D86">
      <w:pPr>
        <w:spacing w:line="276" w:lineRule="auto"/>
        <w:jc w:val="both"/>
      </w:pPr>
      <w:r>
        <w:t>A future RDF representation can connect a preservation object to an archival resource through an explicit interoperability property. For example, a digital object can be typed as a PREMIS Object and related to a RiC-O RecordResource. A preservation event can similarly be linked to a RiC-O Activity, while an outcome resource can be attached through hasOutcomeStatus. These statements form a graph in which technical and archival perspectives coexist.</w:t>
      </w:r>
    </w:p>
    <w:p w14:paraId="38D36111" w14:textId="77777777" w:rsidR="0079436D" w:rsidRDefault="004E45BE" w:rsidP="00743D86">
      <w:pPr>
        <w:spacing w:line="276" w:lineRule="auto"/>
        <w:jc w:val="both"/>
      </w:pPr>
      <w:r>
        <w:t>The same pattern can be used for generated evidence. A migration log can be represented as an archival resource and connected to the activity that generated it. A fixity record can be linked to the digital instantiation it verifies. A technical note can document a dependency. The important point is that the target of the relation is a semantic resource with its own provenance, rather than an unqualified literal attached to a record.</w:t>
      </w:r>
    </w:p>
    <w:p w14:paraId="203F8EA3" w14:textId="77777777" w:rsidR="0079436D" w:rsidRDefault="004E45BE" w:rsidP="00743D86">
      <w:pPr>
        <w:spacing w:line="276" w:lineRule="auto"/>
        <w:jc w:val="both"/>
      </w:pPr>
      <w:r>
        <w:t>OWL formalization should be conservative. The proposed relations should not be declared owl:equivalentProperty to existing RiC-O properties unless their semantics are demonstrated to be identical. Likewise, class equivalence should be reserved for mappings that survive domain, range and scope analysis. Where a relationship is merely contextual, an explicit object property with documented semantics is preferable.</w:t>
      </w:r>
    </w:p>
    <w:p w14:paraId="414FC54D" w14:textId="77777777" w:rsidR="0079436D" w:rsidRDefault="004E45BE" w:rsidP="00743D86">
      <w:pPr>
        <w:spacing w:line="276" w:lineRule="auto"/>
        <w:jc w:val="both"/>
      </w:pPr>
      <w:r>
        <w:t>The proposed relations should be introduced in a separate extension namespace rather than presented as existing RiC-O vocabulary. A future OWL implementation should define domains, ranges, inverse relations where justified, and any temporal or cardinality constraints. The extension should also specify whether each relation is intended as an object property between semantic resources or as a link to a documentary record. This distinction is especially important for hasFixity and hasDependency, because the ta</w:t>
      </w:r>
      <w:r>
        <w:t>rget may be modeled as a dedicated evidence resource or as a preservation record.</w:t>
      </w:r>
    </w:p>
    <w:p w14:paraId="2C50FCC1" w14:textId="77777777" w:rsidR="0079436D" w:rsidRDefault="004E45BE" w:rsidP="00743D86">
      <w:pPr>
        <w:pStyle w:val="Heading1"/>
        <w:spacing w:line="276" w:lineRule="auto"/>
        <w:jc w:val="both"/>
      </w:pPr>
      <w:r>
        <w:lastRenderedPageBreak/>
        <w:t>7 Illustrative Preservation Scenarios</w:t>
      </w:r>
    </w:p>
    <w:p w14:paraId="39FD5387" w14:textId="77777777" w:rsidR="0079436D" w:rsidRDefault="004E45BE" w:rsidP="00743D86">
      <w:pPr>
        <w:spacing w:line="276" w:lineRule="auto"/>
        <w:jc w:val="both"/>
      </w:pPr>
      <w:r>
        <w:t>The proposed model was examined conceptually through three scenarios derived from the thesis. The scenarios are not intended as performance evaluations; their purpose is to test whether the proposed relationships can connect archival entities with preservation evidence in realistic workflows.</w:t>
      </w:r>
    </w:p>
    <w:p w14:paraId="467A2C99" w14:textId="77777777" w:rsidR="0079436D" w:rsidRDefault="004E45BE" w:rsidP="00743D86">
      <w:pPr>
        <w:pStyle w:val="Heading2"/>
        <w:spacing w:line="276" w:lineRule="auto"/>
        <w:jc w:val="both"/>
      </w:pPr>
      <w:r>
        <w:t>7.1 Historical photograph</w:t>
      </w:r>
    </w:p>
    <w:p w14:paraId="580DB928" w14:textId="77777777" w:rsidR="0079436D" w:rsidRDefault="004E45BE" w:rsidP="00743D86">
      <w:pPr>
        <w:spacing w:line="276" w:lineRule="auto"/>
        <w:jc w:val="both"/>
      </w:pPr>
      <w:r>
        <w:t>A historical photograph, “Liberation of Thessaloniki,” is represented as an intellectual entity and linked to a RiC-O RecordResource. Its digitized high-resolution TIFF is represented as a digital object/instantiation. A digitization event is associated with an ingestion activity and with both a human archivist and ImageMagick as the software tool. A Fixity Log stores the SHA-256 checksum, while a Copyright Document and Preservation Decision provide legal and policy context. The proposed hasFixity relations</w:t>
      </w:r>
      <w:r>
        <w:t>hip connects the digital instantiation to its integrity evidence, while wasAssociatedWithSoftwareAgent and actsAsMechanism identify the software role. The resulting graph captures provenance, technical execution, integrity, and policy in a single contextual network.</w:t>
      </w:r>
    </w:p>
    <w:p w14:paraId="218509A0" w14:textId="77777777" w:rsidR="0079436D" w:rsidRDefault="004E45BE" w:rsidP="00743D86">
      <w:pPr>
        <w:pStyle w:val="Heading2"/>
        <w:spacing w:line="276" w:lineRule="auto"/>
        <w:jc w:val="both"/>
      </w:pPr>
      <w:r>
        <w:t>7.2 Video testimony</w:t>
      </w:r>
    </w:p>
    <w:p w14:paraId="07CF0DA7" w14:textId="77777777" w:rsidR="0079436D" w:rsidRDefault="004E45BE" w:rsidP="00743D86">
      <w:pPr>
        <w:spacing w:line="276" w:lineRule="auto"/>
        <w:jc w:val="both"/>
      </w:pPr>
      <w:r>
        <w:t>A video testimony titled “Testimony of Eleni A.” is represented as an Intellectual Entity documented by a Video Record. A Technical Format Note records the preservation environment and is linked through hasDependency to the FFV1 codec. A Migration Log documents conversion from AVI to MKV. The migration is modeled as an activity associated with FFmpeg and a preservation technician. The software acts as a mechanism, and the migration documentation is generated by the corresponding activity. A copyright docume</w:t>
      </w:r>
      <w:r>
        <w:t>nt documents the applicable rule. This scenario demonstrates how technical dependency, migration history, software provenance, and legal context can coexist with archival description.</w:t>
      </w:r>
    </w:p>
    <w:p w14:paraId="2D4B80EF" w14:textId="77777777" w:rsidR="0079436D" w:rsidRDefault="004E45BE" w:rsidP="00743D86">
      <w:pPr>
        <w:pStyle w:val="Heading2"/>
        <w:spacing w:line="276" w:lineRule="auto"/>
        <w:jc w:val="both"/>
      </w:pPr>
      <w:r>
        <w:t>7.3 Government records and OCR</w:t>
      </w:r>
    </w:p>
    <w:p w14:paraId="449E0C51" w14:textId="77777777" w:rsidR="0079436D" w:rsidRDefault="004E45BE" w:rsidP="00743D86">
      <w:pPr>
        <w:spacing w:line="276" w:lineRule="auto"/>
        <w:jc w:val="both"/>
      </w:pPr>
      <w:r>
        <w:t xml:space="preserve">A government record, represented by a Government Gazette, is processed through an OCR activity. The activity is associated with an OCR software agent and a scanner as hardware infrastructure. Technical information about the scanner is preserved in a Maintenance Log, while the outcome of the OCR process is represented by an OutcomeStatus such as Successful Completion and documented in an OCR Log. The archival record also documents a legal rule governing records management. This scenario illustrates that the </w:t>
      </w:r>
      <w:r>
        <w:t>extension is not limited to format migration: it can represent digitization, hardware, software, generated evidence, and procedural outcomes.</w:t>
      </w:r>
    </w:p>
    <w:p w14:paraId="7E4B61CE" w14:textId="77777777" w:rsidR="0079436D" w:rsidRDefault="004E45BE" w:rsidP="00743D86">
      <w:pPr>
        <w:pStyle w:val="Heading2"/>
        <w:spacing w:line="276" w:lineRule="auto"/>
        <w:jc w:val="both"/>
      </w:pPr>
      <w:r>
        <w:t>7.4 Cross-scenario analysis</w:t>
      </w:r>
    </w:p>
    <w:p w14:paraId="2CF408A2" w14:textId="77777777" w:rsidR="0079436D" w:rsidRDefault="004E45BE" w:rsidP="00743D86">
      <w:pPr>
        <w:spacing w:line="276" w:lineRule="auto"/>
        <w:jc w:val="both"/>
      </w:pPr>
      <w:r>
        <w:t>The three scenarios demonstrate a common pattern. First, an archival resource is identified and contextualized. Second, a preservation activity or event affects a digital instantiation. Third, human and technical agents participate in the activity. Fourth, preservation evidence such as a checksum, technical note, migration log, maintenance log, or outcome is generated. Finally, rules or policies provide the legal and organizational context. The proposed extension connects these layers without requiring them</w:t>
      </w:r>
      <w:r>
        <w:t xml:space="preserve"> to be collapsed into a single entity.</w:t>
      </w:r>
    </w:p>
    <w:p w14:paraId="28FBFECD" w14:textId="77777777" w:rsidR="0079436D" w:rsidRDefault="004E45BE" w:rsidP="00743D86">
      <w:pPr>
        <w:spacing w:line="276" w:lineRule="auto"/>
        <w:jc w:val="both"/>
      </w:pPr>
      <w:r>
        <w:t>This pattern is important because preservation evidence is itself part of the documentary history of the resource. A checksum is not merely a value; it is evidence of an integrity statement. A migration log is not the migration; it is documentation generated by the migration activity. A software tool is not automatically equivalent to a human agent; it participates in the activity through a technical role. These distinctions are central to a semantically defensible model.</w:t>
      </w:r>
    </w:p>
    <w:p w14:paraId="666AD10B" w14:textId="77777777" w:rsidR="0079436D" w:rsidRDefault="004E45BE" w:rsidP="00743D86">
      <w:pPr>
        <w:spacing w:line="276" w:lineRule="auto"/>
        <w:jc w:val="both"/>
      </w:pPr>
      <w:r>
        <w:t xml:space="preserve">The photograph scenario emphasizes integrity, copyright, software participation and preservation policy. The video scenario emphasizes technical dependency, migration history, software provenance and human responsibility. The government-record scenario emphasizes legal context, hardware, software, process outcome and generated documentation. Together, the scenarios cover the main preservation gaps identified in the mapping and show that the proposed extension is not limited to one type of digital object or </w:t>
      </w:r>
      <w:r>
        <w:t>one preservation operation.</w:t>
      </w:r>
    </w:p>
    <w:p w14:paraId="2AE27348" w14:textId="77777777" w:rsidR="0079436D" w:rsidRDefault="004E45BE" w:rsidP="00743D86">
      <w:pPr>
        <w:spacing w:line="276" w:lineRule="auto"/>
        <w:jc w:val="both"/>
      </w:pPr>
      <w:r>
        <w:t>The scenarios also reveal an important modeling principle: the preservation lifecycle is not a linear chain of files. It is a network of resources, activities, agents, rules and evidence. A migration can generate a log, depend on software, produce a new instantiation, and be constrained by a policy. A checksum can be produced by a verification activity and later used as evidence in another audit. A semantic graph can retain these relationships instead of flattening them into a single metadata record.</w:t>
      </w:r>
    </w:p>
    <w:p w14:paraId="4C6D544B" w14:textId="77777777" w:rsidR="0079436D" w:rsidRDefault="004E45BE" w:rsidP="00743D86">
      <w:pPr>
        <w:pStyle w:val="Heading1"/>
        <w:spacing w:line="276" w:lineRule="auto"/>
        <w:jc w:val="both"/>
      </w:pPr>
      <w:r>
        <w:t>8 Discussion</w:t>
      </w:r>
    </w:p>
    <w:p w14:paraId="1947917F" w14:textId="77777777" w:rsidR="0079436D" w:rsidRDefault="004E45BE" w:rsidP="00743D86">
      <w:pPr>
        <w:spacing w:line="276" w:lineRule="auto"/>
        <w:jc w:val="both"/>
      </w:pPr>
      <w:r>
        <w:t>The mapping suggests that the principal challenge is not the absence of semantic structures in RiC-CM, but the difference in modeling scope. RiC-CM is intentionally broad and context-oriented. PREMIS is intentionally specialized and operational. A successful integration therefore should not force one model to become the other. Instead, the archival model can provide the contextual graph within which preservation metadata is connected.</w:t>
      </w:r>
    </w:p>
    <w:p w14:paraId="69A57D37" w14:textId="77777777" w:rsidR="0079436D" w:rsidRDefault="004E45BE" w:rsidP="00743D86">
      <w:pPr>
        <w:spacing w:line="276" w:lineRule="auto"/>
        <w:jc w:val="both"/>
      </w:pPr>
      <w:r>
        <w:t>The proposed relationships support this strategy because they are additive rather than disruptive. hasFixity and hasDependency make preservation evidence explicit; hasOutcomeStatus records results; and the software-related relationships distinguish human and technical responsibility. This approach also preserves the value of existing RiC-O entities. Records continue to represent archival evidence, Activities continue to represent processes, and Agents continue to provide responsibility and provenance.</w:t>
      </w:r>
    </w:p>
    <w:p w14:paraId="0CC19D25" w14:textId="77777777" w:rsidR="0079436D" w:rsidRDefault="004E45BE" w:rsidP="00743D86">
      <w:pPr>
        <w:spacing w:line="276" w:lineRule="auto"/>
        <w:jc w:val="both"/>
      </w:pPr>
      <w:r>
        <w:t xml:space="preserve">There are, however, important limitations. First, the mapping is conceptual and does not yet constitute a formally validated ontology. Some relationships in the thesis are exploratory and require domain review before being standardized. Second, the </w:t>
      </w:r>
      <w:r>
        <w:lastRenderedPageBreak/>
        <w:t>scenarios are illustrative rather than derived from a production repository, so they demonstrate expressiveness rather than empirical usability. Third, some PREMIS concepts—especially storage location and detailed rights/status semantics—remain only partially addressed. Finally, semantic interoperability also requires alignment of identifiers, namespaces, constraints, cardinalities, and provenance rules, which are beyond the scope of this initial extension.</w:t>
      </w:r>
    </w:p>
    <w:p w14:paraId="7AB65913" w14:textId="77777777" w:rsidR="0079436D" w:rsidRDefault="004E45BE" w:rsidP="00743D86">
      <w:pPr>
        <w:pStyle w:val="Heading2"/>
        <w:spacing w:line="276" w:lineRule="auto"/>
        <w:jc w:val="both"/>
      </w:pPr>
      <w:r>
        <w:t>8.1 Implications for Interoperability</w:t>
      </w:r>
    </w:p>
    <w:p w14:paraId="4084166D" w14:textId="77777777" w:rsidR="0079436D" w:rsidRDefault="004E45BE" w:rsidP="00743D86">
      <w:pPr>
        <w:spacing w:line="276" w:lineRule="auto"/>
        <w:jc w:val="both"/>
      </w:pPr>
      <w:r>
        <w:t>The proposal has implications for interoperability at both data and architectural levels. At the data level, shared identifiers and explicit semantic relations allow archival and preservation descriptions to be traversed as a graph. At the architectural level, a repository does not need to duplicate all detailed PREMIS metadata inside RiC-O. Instead, RiC-O can expose contextual relationships while a preservation service remains authoritative for detailed preservation records. This layered approach can reduc</w:t>
      </w:r>
      <w:r>
        <w:t>e duplication and preserve the specialized strengths of each standard.</w:t>
      </w:r>
    </w:p>
    <w:p w14:paraId="265D3C6D" w14:textId="77777777" w:rsidR="0079436D" w:rsidRDefault="004E45BE" w:rsidP="00743D86">
      <w:pPr>
        <w:spacing w:line="276" w:lineRule="auto"/>
        <w:jc w:val="both"/>
      </w:pPr>
      <w:r>
        <w:t>The proposal also creates concrete competency questions for future evaluation: Which archival resources have a current fixity statement? Which preservation activities have unsuccessful outcomes? Which records depend on a particular codec or software environment? Which preservation logs were generated by a given activity? Which policy or rule contextualizes a preservation action? These questions can later be implemented as SPARQL queries over an OWL/RDF dataset.</w:t>
      </w:r>
    </w:p>
    <w:p w14:paraId="61E3D97E" w14:textId="77777777" w:rsidR="0079436D" w:rsidRDefault="004E45BE" w:rsidP="00743D86">
      <w:pPr>
        <w:spacing w:line="276" w:lineRule="auto"/>
        <w:jc w:val="both"/>
      </w:pPr>
      <w:r>
        <w:t>For repository designers, the proposal suggests a separation between authoritative preservation metadata and contextual archival metadata. PREMIS can continue to provide detailed preservation information, while RiC-O provides the contextual graph through which preservation evidence becomes discoverable. This architecture supports gradual adoption: an institution can first link existing preservation identifiers to archival resources and later introduce richer preservation relations.</w:t>
      </w:r>
    </w:p>
    <w:p w14:paraId="7D1BA3F1" w14:textId="77777777" w:rsidR="0079436D" w:rsidRDefault="004E45BE" w:rsidP="00743D86">
      <w:pPr>
        <w:spacing w:line="276" w:lineRule="auto"/>
        <w:jc w:val="both"/>
      </w:pPr>
      <w:r>
        <w:t>For archivists and digital curators, the benefit is a more explicit connection between what a record is and what has happened to it. The model can preserve the distinction between archival identity, technical realization, preservation action, and documentary evidence. For researchers, the resulting graph could support queries that cross archival and technical domains, subject to future implementation and validation.</w:t>
      </w:r>
    </w:p>
    <w:p w14:paraId="31018AFB" w14:textId="77777777" w:rsidR="0079436D" w:rsidRDefault="004E45BE" w:rsidP="00743D86">
      <w:pPr>
        <w:pStyle w:val="Heading1"/>
        <w:spacing w:line="276" w:lineRule="auto"/>
        <w:jc w:val="both"/>
      </w:pPr>
      <w:r>
        <w:t>9 Conclusion and Future Work</w:t>
      </w:r>
    </w:p>
    <w:p w14:paraId="233D9714" w14:textId="77777777" w:rsidR="0079436D" w:rsidRDefault="004E45BE" w:rsidP="00743D86">
      <w:pPr>
        <w:spacing w:line="276" w:lineRule="auto"/>
        <w:jc w:val="both"/>
      </w:pPr>
      <w:r>
        <w:t>This paper examined whether RiC-CM can be extended to better support digital preservation by systematically comparing it with PREMIS. The analysis confirms that RiC-CM offers a strong semantic foundation for archival context, provenance, and relationships, but does not directly express several preservation-specific concepts. PREMIS complements this weakness through detailed representations of digital objects, events, agents, rights, fixity, dependencies, and outcomes.</w:t>
      </w:r>
    </w:p>
    <w:p w14:paraId="0CD99038" w14:textId="77777777" w:rsidR="0079436D" w:rsidRDefault="004E45BE" w:rsidP="00743D86">
      <w:pPr>
        <w:spacing w:line="276" w:lineRule="auto"/>
        <w:jc w:val="both"/>
      </w:pPr>
      <w:r>
        <w:t>The resulting proposal is a lightweight conceptual extension rather than a replacement for PREMIS. It introduces preservation-oriented relationships—most notably hasFixity, hasDependency, and hasOutcomeStatus—and clarifies how software agents, mechanisms, generated records, and preservation activities can be linked. The scenarios show that these additions can connect technical preservation evidence with the archival context of photographs, videos, and digitized government records. The main contribution is t</w:t>
      </w:r>
      <w:r>
        <w:t>herefore a conceptual bridge between archival description and digital preservation metadata.</w:t>
      </w:r>
    </w:p>
    <w:p w14:paraId="117E5F6E" w14:textId="77777777" w:rsidR="0079436D" w:rsidRDefault="004E45BE" w:rsidP="00743D86">
      <w:pPr>
        <w:spacing w:line="276" w:lineRule="auto"/>
        <w:jc w:val="both"/>
      </w:pPr>
      <w:r>
        <w:t>Future work should implement the extension formally in OWL, define domains, ranges, inverse properties, and cardinality constraints, and test the ontology with reasoners. Automated or semi-automated mapping between PREMIS and RiC-O should also be investigated. Most importantly, the model should be evaluated against real repositories and preservation workflows. Integration with complementary models such as CIDOC CRM and the OAIS reference model is another relevant direction. Such evaluation would determine w</w:t>
      </w:r>
      <w:r>
        <w:t>hether the proposed extension improves metadata interoperability in practice while remaining faithful to RiC's archival principles.</w:t>
      </w:r>
    </w:p>
    <w:p w14:paraId="381FC372" w14:textId="77777777" w:rsidR="0079436D" w:rsidRDefault="004E45BE" w:rsidP="00743D86">
      <w:pPr>
        <w:pStyle w:val="Heading1"/>
        <w:spacing w:line="276" w:lineRule="auto"/>
        <w:jc w:val="both"/>
      </w:pPr>
      <w:r>
        <w:t>References</w:t>
      </w:r>
    </w:p>
    <w:p w14:paraId="3599C701" w14:textId="012B55C6" w:rsidR="0079436D" w:rsidRDefault="004E45BE" w:rsidP="00743D86">
      <w:pPr>
        <w:spacing w:line="276" w:lineRule="auto"/>
        <w:jc w:val="both"/>
      </w:pPr>
      <w:r>
        <w:t>[1] International Council on Archives. Records in Contexts—Conceptual Model (RiC-CM), Version 1.0. ICA (2023).</w:t>
      </w:r>
      <w:r w:rsidR="00707691" w:rsidRPr="00707691">
        <w:rPr>
          <w:rFonts w:asciiTheme="minorHAnsi" w:eastAsia="Times New Roman" w:hAnsiTheme="minorHAnsi" w:cs="Times New Roman"/>
          <w:sz w:val="24"/>
          <w:szCs w:val="24"/>
        </w:rPr>
        <w:t xml:space="preserve"> </w:t>
      </w:r>
      <w:hyperlink r:id="rId8">
        <w:r w:rsidR="00707691" w:rsidRPr="00707691">
          <w:rPr>
            <w:rStyle w:val="Hyperlink"/>
            <w:lang w:val="en-GB"/>
          </w:rPr>
          <w:t>https://www.ica.org/app/uploads/2023/12/RiC-CM-1.0.pdf</w:t>
        </w:r>
      </w:hyperlink>
      <w:r w:rsidR="00707691">
        <w:t xml:space="preserve">  </w:t>
      </w:r>
    </w:p>
    <w:p w14:paraId="67743BFD" w14:textId="12421B88" w:rsidR="0079436D" w:rsidRDefault="004E45BE" w:rsidP="00743D86">
      <w:pPr>
        <w:spacing w:line="276" w:lineRule="auto"/>
        <w:jc w:val="both"/>
      </w:pPr>
      <w:r>
        <w:t>[2] International Council on Archives. Records in Contexts—Ontology (RiC-O), Version 1.0. ICA (2023).</w:t>
      </w:r>
      <w:r w:rsidR="00707691">
        <w:t xml:space="preserve"> </w:t>
      </w:r>
      <w:hyperlink r:id="rId9">
        <w:r w:rsidR="00707691" w:rsidRPr="00707691">
          <w:rPr>
            <w:rStyle w:val="Hyperlink"/>
            <w:lang w:val="en-GB"/>
          </w:rPr>
          <w:t>https://github.com/ICA-EGAD/RiC-O</w:t>
        </w:r>
      </w:hyperlink>
      <w:r w:rsidR="00707691">
        <w:t xml:space="preserve"> </w:t>
      </w:r>
    </w:p>
    <w:p w14:paraId="712E55D0" w14:textId="33E258D9" w:rsidR="0079436D" w:rsidRDefault="004E45BE" w:rsidP="00743D86">
      <w:pPr>
        <w:spacing w:line="276" w:lineRule="auto"/>
        <w:jc w:val="both"/>
      </w:pPr>
      <w:r>
        <w:t>[3] PREMIS Editorial Committee. PREMIS Data Dictionary for Preservation Metadata, Version 3.0. Library of Congress (2015).</w:t>
      </w:r>
      <w:r w:rsidR="00E257AB" w:rsidRPr="00E257AB">
        <w:rPr>
          <w:rFonts w:asciiTheme="minorHAnsi" w:eastAsia="Times New Roman" w:hAnsiTheme="minorHAnsi" w:cs="Times New Roman"/>
          <w:sz w:val="24"/>
          <w:szCs w:val="24"/>
        </w:rPr>
        <w:t xml:space="preserve"> </w:t>
      </w:r>
      <w:hyperlink r:id="rId10">
        <w:r w:rsidR="00E257AB" w:rsidRPr="00E257AB">
          <w:rPr>
            <w:rStyle w:val="Hyperlink"/>
            <w:lang w:val="en-GB"/>
          </w:rPr>
          <w:t>https://www.loc.gov/standards/premis/v3/premis-3-0-final.pdf</w:t>
        </w:r>
      </w:hyperlink>
      <w:r w:rsidR="00E257AB">
        <w:t xml:space="preserve"> </w:t>
      </w:r>
    </w:p>
    <w:p w14:paraId="199F04E6" w14:textId="0BDDE4BF" w:rsidR="0079436D" w:rsidRDefault="004E45BE" w:rsidP="00743D86">
      <w:pPr>
        <w:spacing w:line="276" w:lineRule="auto"/>
        <w:jc w:val="both"/>
      </w:pPr>
      <w:r>
        <w:t xml:space="preserve">[4] </w:t>
      </w:r>
      <w:r w:rsidR="00707691">
        <w:t xml:space="preserve">Thanou </w:t>
      </w:r>
      <w:proofErr w:type="gramStart"/>
      <w:r w:rsidR="00707691">
        <w:t>E. ,</w:t>
      </w:r>
      <w:proofErr w:type="gramEnd"/>
      <w:r w:rsidR="00707691">
        <w:t xml:space="preserve"> </w:t>
      </w:r>
      <w:proofErr w:type="spellStart"/>
      <w:r w:rsidR="00707691">
        <w:t>Damigos</w:t>
      </w:r>
      <w:proofErr w:type="spellEnd"/>
      <w:r w:rsidR="00707691">
        <w:t xml:space="preserve"> </w:t>
      </w:r>
      <w:proofErr w:type="spellStart"/>
      <w:proofErr w:type="gramStart"/>
      <w:r w:rsidR="00707691">
        <w:t>M.</w:t>
      </w:r>
      <w:r>
        <w:t>Extending</w:t>
      </w:r>
      <w:proofErr w:type="spellEnd"/>
      <w:proofErr w:type="gramEnd"/>
      <w:r>
        <w:t xml:space="preserve"> </w:t>
      </w:r>
      <w:proofErr w:type="spellStart"/>
      <w:r>
        <w:t>RiC</w:t>
      </w:r>
      <w:proofErr w:type="spellEnd"/>
      <w:r>
        <w:t>-CM to Capture Digital Preservation Purposes. Master’s Thesis, Ionian University (2026).</w:t>
      </w:r>
    </w:p>
    <w:p w14:paraId="048BBA9C" w14:textId="466C667D" w:rsidR="0079436D" w:rsidRDefault="004E45BE" w:rsidP="00743D86">
      <w:pPr>
        <w:spacing w:line="276" w:lineRule="auto"/>
        <w:jc w:val="both"/>
      </w:pPr>
      <w:r>
        <w:t>[5] Allemang, D., Hendler, J., Gandon, F. Semantic Web for the Working Ontologist: Effective Modeling for Linked Data, RDFS, and OWL. 3rd edn. (2020).</w:t>
      </w:r>
      <w:r w:rsidR="00707691" w:rsidRPr="00707691">
        <w:rPr>
          <w:lang w:val="en-GB"/>
        </w:rPr>
        <w:t xml:space="preserve"> </w:t>
      </w:r>
      <w:hyperlink r:id="rId11">
        <w:r w:rsidR="00707691" w:rsidRPr="00707691">
          <w:rPr>
            <w:rStyle w:val="Hyperlink"/>
            <w:lang w:val="en-GB"/>
          </w:rPr>
          <w:t>https://doi.org/10.1145/3382097</w:t>
        </w:r>
      </w:hyperlink>
    </w:p>
    <w:p w14:paraId="7F8297FC" w14:textId="592DFA69" w:rsidR="0079436D" w:rsidRDefault="004E45BE" w:rsidP="00743D86">
      <w:pPr>
        <w:spacing w:line="276" w:lineRule="auto"/>
        <w:jc w:val="both"/>
      </w:pPr>
      <w:r>
        <w:t>[6] W3C. RDF 1.1 Primer. W3C (2014).</w:t>
      </w:r>
      <w:r w:rsidR="00707691" w:rsidRPr="00707691">
        <w:rPr>
          <w:rFonts w:ascii="Book Antiqua" w:eastAsia="Times New Roman" w:hAnsi="Book Antiqua" w:cs="Book Antiqua"/>
          <w:sz w:val="24"/>
          <w:szCs w:val="24"/>
          <w:lang w:val="en-GB" w:eastAsia="en-GB"/>
        </w:rPr>
        <w:t xml:space="preserve"> </w:t>
      </w:r>
      <w:hyperlink r:id="rId12" w:history="1">
        <w:r w:rsidR="00707691" w:rsidRPr="000D11C3">
          <w:rPr>
            <w:rStyle w:val="Hyperlink"/>
            <w:lang w:val="en-GB"/>
          </w:rPr>
          <w:t>https://www.w3.org/TR/rdf11-primer/</w:t>
        </w:r>
      </w:hyperlink>
      <w:r w:rsidR="00707691">
        <w:rPr>
          <w:lang w:val="en-GB"/>
        </w:rPr>
        <w:t xml:space="preserve"> </w:t>
      </w:r>
      <w:r w:rsidR="00707691">
        <w:t xml:space="preserve"> </w:t>
      </w:r>
    </w:p>
    <w:p w14:paraId="500D89EB" w14:textId="0CFEB1F3" w:rsidR="0079436D" w:rsidRDefault="004E45BE" w:rsidP="00743D86">
      <w:pPr>
        <w:spacing w:line="276" w:lineRule="auto"/>
        <w:jc w:val="both"/>
      </w:pPr>
      <w:r>
        <w:t>[7] W3C. OWL 2 Web Ontology Language Overview. W3C (2012).</w:t>
      </w:r>
      <w:r w:rsidR="00707691" w:rsidRPr="00707691">
        <w:rPr>
          <w:rFonts w:asciiTheme="minorHAnsi" w:eastAsia="Times New Roman" w:hAnsiTheme="minorHAnsi" w:cs="Times New Roman"/>
          <w:sz w:val="24"/>
          <w:szCs w:val="24"/>
        </w:rPr>
        <w:t xml:space="preserve"> </w:t>
      </w:r>
      <w:hyperlink r:id="rId13">
        <w:r w:rsidR="00707691" w:rsidRPr="00707691">
          <w:rPr>
            <w:rStyle w:val="Hyperlink"/>
            <w:lang w:val="en-GB"/>
          </w:rPr>
          <w:t>https://www.w3.org/TR/owl2-overview/</w:t>
        </w:r>
      </w:hyperlink>
      <w:r w:rsidR="00707691">
        <w:t xml:space="preserve"> </w:t>
      </w:r>
    </w:p>
    <w:p w14:paraId="3270E173" w14:textId="38626119" w:rsidR="0079436D" w:rsidRPr="00E257AB" w:rsidRDefault="004E45BE" w:rsidP="00743D86">
      <w:pPr>
        <w:spacing w:line="276" w:lineRule="auto"/>
        <w:jc w:val="both"/>
        <w:rPr>
          <w:lang w:val="en-GB"/>
        </w:rPr>
      </w:pPr>
      <w:r>
        <w:t xml:space="preserve">[8] </w:t>
      </w:r>
      <w:proofErr w:type="spellStart"/>
      <w:proofErr w:type="gramStart"/>
      <w:r>
        <w:t>Clavaud</w:t>
      </w:r>
      <w:proofErr w:type="spellEnd"/>
      <w:proofErr w:type="gramEnd"/>
      <w:r>
        <w:t>, F., Francart, T., Charbonnier, P. RiC-O Converter: converting EAD and EAC-CPF archival descriptions into RDF datasets (2023).</w:t>
      </w:r>
      <w:r w:rsidR="00707691">
        <w:t xml:space="preserve"> </w:t>
      </w:r>
      <w:hyperlink r:id="rId14" w:history="1">
        <w:r w:rsidR="00E257AB" w:rsidRPr="00E257AB">
          <w:rPr>
            <w:rStyle w:val="Hyperlink"/>
            <w:lang w:val="en-GB"/>
          </w:rPr>
          <w:t>https://doi.org/10.1145/358359</w:t>
        </w:r>
      </w:hyperlink>
      <w:r w:rsidR="00E257AB" w:rsidRPr="00E257AB">
        <w:rPr>
          <w:lang w:val="en-GB"/>
        </w:rPr>
        <w:t xml:space="preserve"> </w:t>
      </w:r>
    </w:p>
    <w:p w14:paraId="2F85D3E4" w14:textId="12286A05" w:rsidR="0079436D" w:rsidRDefault="004E45BE" w:rsidP="00743D86">
      <w:pPr>
        <w:spacing w:line="276" w:lineRule="auto"/>
        <w:jc w:val="both"/>
      </w:pPr>
      <w:r>
        <w:t>[9] Oliveira de Cardoso, C., Low Marks, M., Barros Bragato, H.T. Knowledge Organization Possibilities for Archives: Comparative Semantic Analysis Between CIDOC-CRM and RiC-CM. Advances in Knowledge Organization 51(5), 362–370 (2024).</w:t>
      </w:r>
      <w:r w:rsidR="00707691" w:rsidRPr="00707691">
        <w:rPr>
          <w:rFonts w:asciiTheme="minorHAnsi" w:eastAsia="Times New Roman" w:hAnsiTheme="minorHAnsi" w:cs="Times New Roman"/>
          <w:sz w:val="24"/>
          <w:szCs w:val="24"/>
        </w:rPr>
        <w:t xml:space="preserve"> </w:t>
      </w:r>
      <w:hyperlink r:id="rId15">
        <w:r w:rsidR="00707691" w:rsidRPr="00707691">
          <w:rPr>
            <w:rStyle w:val="Hyperlink"/>
            <w:lang w:val="en-GB"/>
          </w:rPr>
          <w:t>https://doi.org/10.5771/0943-7444-2024-5-362</w:t>
        </w:r>
      </w:hyperlink>
    </w:p>
    <w:p w14:paraId="3C1EA6DF" w14:textId="4BB59523" w:rsidR="0079436D" w:rsidRDefault="004E45BE" w:rsidP="00743D86">
      <w:pPr>
        <w:spacing w:line="276" w:lineRule="auto"/>
        <w:jc w:val="both"/>
      </w:pPr>
      <w:r>
        <w:t>[10] Doerr, M. The CIDOC Conceptual Reference Model: An Ontological Approach to Semantic Interoperability of Metadata. AI Magazine 24(3), 75–92 (2003).</w:t>
      </w:r>
      <w:r w:rsidR="00707691" w:rsidRPr="00707691">
        <w:rPr>
          <w:rFonts w:asciiTheme="minorHAnsi" w:eastAsia="Times New Roman" w:hAnsiTheme="minorHAnsi" w:cs="Times New Roman"/>
          <w:sz w:val="24"/>
          <w:szCs w:val="24"/>
        </w:rPr>
        <w:t xml:space="preserve"> </w:t>
      </w:r>
      <w:hyperlink r:id="rId16">
        <w:r w:rsidR="00707691" w:rsidRPr="00707691">
          <w:rPr>
            <w:rStyle w:val="Hyperlink"/>
            <w:lang w:val="en-GB"/>
          </w:rPr>
          <w:t>https://doi.org/10.1609/aimag.v24i3.1720</w:t>
        </w:r>
      </w:hyperlink>
    </w:p>
    <w:p w14:paraId="7EF49911" w14:textId="4F77C324" w:rsidR="0079436D" w:rsidRDefault="004E45BE" w:rsidP="00743D86">
      <w:pPr>
        <w:spacing w:line="276" w:lineRule="auto"/>
        <w:jc w:val="both"/>
      </w:pPr>
      <w:r>
        <w:lastRenderedPageBreak/>
        <w:t>[11] Dappert, A., Guenther, R., Peyrard, S. Digital Preservation Metadata for Practitioners: Implementing PREMIS. Springer (2016).</w:t>
      </w:r>
      <w:r w:rsidR="00707691" w:rsidRPr="00707691">
        <w:rPr>
          <w:rFonts w:asciiTheme="minorHAnsi" w:eastAsia="Times New Roman" w:hAnsiTheme="minorHAnsi" w:cs="Times New Roman"/>
          <w:sz w:val="24"/>
          <w:szCs w:val="24"/>
        </w:rPr>
        <w:t xml:space="preserve"> </w:t>
      </w:r>
      <w:hyperlink r:id="rId17">
        <w:r w:rsidR="00707691" w:rsidRPr="00707691">
          <w:rPr>
            <w:rStyle w:val="Hyperlink"/>
            <w:lang w:val="en-GB"/>
          </w:rPr>
          <w:t>https://doi.org/10.1007/978-3-319-43763-7</w:t>
        </w:r>
      </w:hyperlink>
    </w:p>
    <w:p w14:paraId="08A11C23" w14:textId="6238ED0E" w:rsidR="0079436D" w:rsidRDefault="004E45BE" w:rsidP="00743D86">
      <w:pPr>
        <w:spacing w:line="276" w:lineRule="auto"/>
        <w:jc w:val="both"/>
      </w:pPr>
      <w:r>
        <w:t>[12] Coppens, S., Verborgh, R., Peyrard, S., et al. PREMIS OWL: A semantic long-term preservation model. International Journal of Digital Libraries (2015).</w:t>
      </w:r>
      <w:r w:rsidR="00B20ED3" w:rsidRPr="00B20ED3">
        <w:rPr>
          <w:rFonts w:asciiTheme="minorHAnsi" w:eastAsia="Times New Roman" w:hAnsiTheme="minorHAnsi" w:cs="Times New Roman"/>
          <w:sz w:val="24"/>
          <w:szCs w:val="24"/>
        </w:rPr>
        <w:t xml:space="preserve"> </w:t>
      </w:r>
      <w:hyperlink r:id="rId18">
        <w:r w:rsidR="00B20ED3" w:rsidRPr="00B20ED3">
          <w:rPr>
            <w:rStyle w:val="Hyperlink"/>
            <w:lang w:val="en-GB"/>
          </w:rPr>
          <w:t>https://doi.org/10.1007/s00799-014-0136-9</w:t>
        </w:r>
      </w:hyperlink>
    </w:p>
    <w:p w14:paraId="27C1210A" w14:textId="2DE9EFFD" w:rsidR="0079436D" w:rsidRDefault="004E45BE" w:rsidP="00743D86">
      <w:pPr>
        <w:spacing w:line="276" w:lineRule="auto"/>
        <w:jc w:val="both"/>
      </w:pPr>
      <w:r>
        <w:t>[13] Lavoie, B. The Open Archival Information System (OAIS) Reference Model: Introductory Guide. 2nd edn. (2014).</w:t>
      </w:r>
      <w:r w:rsidR="00B20ED3" w:rsidRPr="00B20ED3">
        <w:rPr>
          <w:rFonts w:asciiTheme="minorHAnsi" w:eastAsia="Times New Roman" w:hAnsiTheme="minorHAnsi" w:cs="Times New Roman"/>
          <w:sz w:val="24"/>
          <w:szCs w:val="24"/>
        </w:rPr>
        <w:t xml:space="preserve"> </w:t>
      </w:r>
      <w:hyperlink r:id="rId19">
        <w:r w:rsidR="00B20ED3" w:rsidRPr="00B20ED3">
          <w:rPr>
            <w:rStyle w:val="Hyperlink"/>
            <w:lang w:val="en-GB"/>
          </w:rPr>
          <w:t>http://dx.doi.org/10.7207/twr14-02</w:t>
        </w:r>
      </w:hyperlink>
    </w:p>
    <w:p w14:paraId="371D4A8F" w14:textId="067D05F3" w:rsidR="0079436D" w:rsidRDefault="004E45BE" w:rsidP="00743D86">
      <w:pPr>
        <w:spacing w:line="276" w:lineRule="auto"/>
        <w:jc w:val="both"/>
      </w:pPr>
      <w:r>
        <w:t>[14] Dancy, R. Waiting for RiC: The Release of Records in Contexts, version 1.0. Archivaria 98, 166–191 (2024).</w:t>
      </w:r>
      <w:r w:rsidR="00B20ED3" w:rsidRPr="00B20ED3">
        <w:rPr>
          <w:rFonts w:asciiTheme="minorHAnsi" w:eastAsia="Times New Roman" w:hAnsiTheme="minorHAnsi" w:cs="Times New Roman"/>
          <w:sz w:val="24"/>
          <w:szCs w:val="24"/>
        </w:rPr>
        <w:t xml:space="preserve"> </w:t>
      </w:r>
      <w:hyperlink r:id="rId20">
        <w:r w:rsidR="00B20ED3" w:rsidRPr="00B20ED3">
          <w:rPr>
            <w:rStyle w:val="Hyperlink"/>
            <w:lang w:val="en-GB"/>
          </w:rPr>
          <w:t>https://archivaria.ca/index.php/archivaria/article/view/13997</w:t>
        </w:r>
      </w:hyperlink>
      <w:r w:rsidR="00B20ED3">
        <w:t xml:space="preserve"> </w:t>
      </w:r>
    </w:p>
    <w:p w14:paraId="79C22630" w14:textId="2FE4FC73" w:rsidR="0079436D" w:rsidRDefault="004E45BE" w:rsidP="00743D86">
      <w:pPr>
        <w:spacing w:line="276" w:lineRule="auto"/>
        <w:jc w:val="both"/>
      </w:pPr>
      <w:r>
        <w:t>[15] Lianes-Padron, D., Pastor-Sanchez, J.A. Records in contexts: the road of archives to semantic interoperability. Program 51(4), 387–405 (2017).</w:t>
      </w:r>
      <w:r w:rsidR="00B20ED3" w:rsidRPr="00B20ED3">
        <w:rPr>
          <w:rFonts w:asciiTheme="minorHAnsi" w:eastAsia="Times New Roman" w:hAnsiTheme="minorHAnsi" w:cs="Times New Roman"/>
          <w:sz w:val="24"/>
          <w:szCs w:val="24"/>
        </w:rPr>
        <w:t xml:space="preserve"> </w:t>
      </w:r>
      <w:hyperlink r:id="rId21">
        <w:r w:rsidR="00B20ED3" w:rsidRPr="00B20ED3">
          <w:rPr>
            <w:rStyle w:val="Hyperlink"/>
            <w:lang w:val="en-GB"/>
          </w:rPr>
          <w:t>https://doi.org/10.1108/PROG-03-2017-0021</w:t>
        </w:r>
      </w:hyperlink>
    </w:p>
    <w:p w14:paraId="28400244" w14:textId="6AD380C1" w:rsidR="0079436D" w:rsidRDefault="004E45BE" w:rsidP="00743D86">
      <w:pPr>
        <w:spacing w:line="276" w:lineRule="auto"/>
        <w:jc w:val="both"/>
      </w:pPr>
      <w:r>
        <w:t>[16] National Information Standards Organization. Understanding Metadata: What is Metadata, and What is it For? NISO (2017).</w:t>
      </w:r>
      <w:r w:rsidR="00E257AB" w:rsidRPr="00E257AB">
        <w:rPr>
          <w:rFonts w:asciiTheme="minorHAnsi" w:eastAsia="Times New Roman" w:hAnsiTheme="minorHAnsi" w:cs="Times New Roman"/>
          <w:sz w:val="24"/>
          <w:szCs w:val="24"/>
        </w:rPr>
        <w:t xml:space="preserve"> </w:t>
      </w:r>
      <w:hyperlink r:id="rId22">
        <w:r w:rsidR="00E257AB" w:rsidRPr="00E257AB">
          <w:rPr>
            <w:rStyle w:val="Hyperlink"/>
            <w:lang w:val="en-GB"/>
          </w:rPr>
          <w:t>https://www.niso.org/publications/understanding-metadata-2017</w:t>
        </w:r>
      </w:hyperlink>
    </w:p>
    <w:sectPr w:rsidR="0079436D" w:rsidSect="00034616">
      <w:footerReference w:type="default" r:id="rId23"/>
      <w:pgSz w:w="11909" w:h="16834"/>
      <w:pgMar w:top="792" w:right="936" w:bottom="792"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F0A7A" w14:textId="77777777" w:rsidR="004E45BE" w:rsidRDefault="004E45BE">
      <w:pPr>
        <w:spacing w:after="0"/>
      </w:pPr>
      <w:r>
        <w:separator/>
      </w:r>
    </w:p>
  </w:endnote>
  <w:endnote w:type="continuationSeparator" w:id="0">
    <w:p w14:paraId="64D96F26" w14:textId="77777777" w:rsidR="004E45BE" w:rsidRDefault="004E45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79F91" w14:textId="77777777" w:rsidR="0079436D" w:rsidRDefault="004E45BE">
    <w:pPr>
      <w:pStyle w:val="Footer"/>
      <w:jc w:val="center"/>
    </w:pPr>
    <w:r>
      <w:rPr>
        <w:sz w:val="16"/>
      </w:rPr>
      <w:fldChar w:fldCharType="begin"/>
    </w:r>
    <w:r>
      <w:rPr>
        <w:sz w:val="16"/>
      </w:rPr>
      <w:instrText xml:space="preserve"> PAGE </w:instrText>
    </w:r>
    <w:r w:rsidR="00743D86">
      <w:rPr>
        <w:sz w:val="16"/>
      </w:rPr>
      <w:fldChar w:fldCharType="separate"/>
    </w:r>
    <w:r w:rsidR="00743D86">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2928E" w14:textId="77777777" w:rsidR="004E45BE" w:rsidRDefault="004E45BE">
      <w:pPr>
        <w:spacing w:after="0"/>
      </w:pPr>
      <w:r>
        <w:separator/>
      </w:r>
    </w:p>
  </w:footnote>
  <w:footnote w:type="continuationSeparator" w:id="0">
    <w:p w14:paraId="518511E8" w14:textId="77777777" w:rsidR="004E45BE" w:rsidRDefault="004E45B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B430121"/>
    <w:multiLevelType w:val="hybridMultilevel"/>
    <w:tmpl w:val="DFC4F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8325169">
    <w:abstractNumId w:val="8"/>
  </w:num>
  <w:num w:numId="2" w16cid:durableId="2063945596">
    <w:abstractNumId w:val="6"/>
  </w:num>
  <w:num w:numId="3" w16cid:durableId="224726982">
    <w:abstractNumId w:val="5"/>
  </w:num>
  <w:num w:numId="4" w16cid:durableId="1024211899">
    <w:abstractNumId w:val="4"/>
  </w:num>
  <w:num w:numId="5" w16cid:durableId="2074040325">
    <w:abstractNumId w:val="7"/>
  </w:num>
  <w:num w:numId="6" w16cid:durableId="1164660518">
    <w:abstractNumId w:val="3"/>
  </w:num>
  <w:num w:numId="7" w16cid:durableId="1199775708">
    <w:abstractNumId w:val="2"/>
  </w:num>
  <w:num w:numId="8" w16cid:durableId="203489799">
    <w:abstractNumId w:val="1"/>
  </w:num>
  <w:num w:numId="9" w16cid:durableId="870845874">
    <w:abstractNumId w:val="0"/>
  </w:num>
  <w:num w:numId="10" w16cid:durableId="14701276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81E"/>
    <w:rsid w:val="0029639D"/>
    <w:rsid w:val="00326F90"/>
    <w:rsid w:val="004E45BE"/>
    <w:rsid w:val="00707691"/>
    <w:rsid w:val="00743D86"/>
    <w:rsid w:val="0079436D"/>
    <w:rsid w:val="00AA1D8D"/>
    <w:rsid w:val="00B20ED3"/>
    <w:rsid w:val="00B47730"/>
    <w:rsid w:val="00CB0664"/>
    <w:rsid w:val="00CD0205"/>
    <w:rsid w:val="00DB6380"/>
    <w:rsid w:val="00E257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D648C"/>
  <w14:defaultImageDpi w14:val="300"/>
  <w15:docId w15:val="{658E9B41-130E-4BB0-9F62-92B0828E3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20ED3"/>
    <w:rPr>
      <w:color w:val="0000FF" w:themeColor="hyperlink"/>
      <w:u w:val="single"/>
    </w:rPr>
  </w:style>
  <w:style w:type="character" w:styleId="UnresolvedMention">
    <w:name w:val="Unresolved Mention"/>
    <w:basedOn w:val="DefaultParagraphFont"/>
    <w:uiPriority w:val="99"/>
    <w:semiHidden/>
    <w:unhideWhenUsed/>
    <w:rsid w:val="00B20E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ca.org/app/uploads/2023/12/RiC-CM-1.0.pdf" TargetMode="External"/><Relationship Id="rId13" Type="http://schemas.openxmlformats.org/officeDocument/2006/relationships/hyperlink" Target="https://www.w3.org/TR/owl2-overview/" TargetMode="External"/><Relationship Id="rId18" Type="http://schemas.openxmlformats.org/officeDocument/2006/relationships/hyperlink" Target="https://doi.org/10.1007/s00799-014-0136-9" TargetMode="External"/><Relationship Id="rId3" Type="http://schemas.openxmlformats.org/officeDocument/2006/relationships/styles" Target="styles.xml"/><Relationship Id="rId21" Type="http://schemas.openxmlformats.org/officeDocument/2006/relationships/hyperlink" Target="https://doi.org/10.1108/PROG-03-2017-0021" TargetMode="External"/><Relationship Id="rId7" Type="http://schemas.openxmlformats.org/officeDocument/2006/relationships/endnotes" Target="endnotes.xml"/><Relationship Id="rId12" Type="http://schemas.openxmlformats.org/officeDocument/2006/relationships/hyperlink" Target="https://www.w3.org/TR/rdf11-primer/" TargetMode="External"/><Relationship Id="rId17" Type="http://schemas.openxmlformats.org/officeDocument/2006/relationships/hyperlink" Target="https://doi.org/10.1007/978-3-319-43763-7"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609/aimag.v24i3.1720" TargetMode="External"/><Relationship Id="rId20" Type="http://schemas.openxmlformats.org/officeDocument/2006/relationships/hyperlink" Target="https://archivaria.ca/index.php/archivaria/article/view/139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3382097"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5771/0943-7444-2024-5-362" TargetMode="External"/><Relationship Id="rId23" Type="http://schemas.openxmlformats.org/officeDocument/2006/relationships/footer" Target="footer1.xml"/><Relationship Id="rId10" Type="http://schemas.openxmlformats.org/officeDocument/2006/relationships/hyperlink" Target="https://www.loc.gov/standards/premis/v3/premis-3-0-final.pdf" TargetMode="External"/><Relationship Id="rId19" Type="http://schemas.openxmlformats.org/officeDocument/2006/relationships/hyperlink" Target="http://dx.doi.org/10.7207/twr14-02" TargetMode="External"/><Relationship Id="rId4" Type="http://schemas.openxmlformats.org/officeDocument/2006/relationships/settings" Target="settings.xml"/><Relationship Id="rId9" Type="http://schemas.openxmlformats.org/officeDocument/2006/relationships/hyperlink" Target="https://github.com/ICA-EGAD/RiC-O" TargetMode="External"/><Relationship Id="rId14" Type="http://schemas.openxmlformats.org/officeDocument/2006/relationships/hyperlink" Target="https://doi.org/10.1145/358359" TargetMode="External"/><Relationship Id="rId22" Type="http://schemas.openxmlformats.org/officeDocument/2006/relationships/hyperlink" Target="https://www.niso.org/publications/understanding-metadata-2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5807</Words>
  <Characters>33100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Eva Thanou</cp:lastModifiedBy>
  <cp:revision>2</cp:revision>
  <dcterms:created xsi:type="dcterms:W3CDTF">2026-08-30T17:24:00Z</dcterms:created>
  <dcterms:modified xsi:type="dcterms:W3CDTF">2026-08-30T17:24:00Z</dcterms:modified>
  <cp:category/>
</cp:coreProperties>
</file>