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A97C50"/>
          <w:sz w:val="22"/>
        </w:rPr>
        <w:t>V Y N E   S T R A T E G I E S</w:t>
      </w:r>
    </w:p>
    <w:p>
      <w:pPr>
        <w:jc w:val="center"/>
      </w:pPr>
      <w:r>
        <w:rPr>
          <w:b/>
          <w:color w:val="3D495B"/>
          <w:sz w:val="26"/>
        </w:rPr>
        <w:t>VOLUME I</w:t>
      </w:r>
    </w:p>
    <w:p>
      <w:pPr>
        <w:jc w:val="center"/>
      </w:pPr>
      <w:r>
        <w:rPr>
          <w:rFonts w:ascii="Aptos Display" w:hAnsi="Aptos Display"/>
          <w:b/>
          <w:color w:val="12233F"/>
          <w:sz w:val="62"/>
        </w:rPr>
        <w:t>THE VYNE CONSTITUTION</w:t>
      </w:r>
    </w:p>
    <w:p>
      <w:pPr>
        <w:jc w:val="center"/>
      </w:pPr>
      <w:r>
        <w:rPr>
          <w:color w:val="3D495B"/>
          <w:sz w:val="28"/>
        </w:rPr>
        <w:t>The permanent principles governing the institution</w:t>
      </w:r>
    </w:p>
    <w:tbl>
      <w:tblPr>
        <w:tblW w:type="auto" w:w="0"/>
        <w:jc w:val="center"/>
        <w:tblLayout w:type="autofit"/>
        <w:tblLook w:firstColumn="1" w:firstRow="1" w:lastColumn="0" w:lastRow="0" w:noHBand="0" w:noVBand="1" w:val="04A0"/>
      </w:tblPr>
      <w:tblGrid>
        <w:gridCol w:w="9878"/>
      </w:tblGrid>
      <w:tr>
        <w:tc>
          <w:tcPr>
            <w:tcW w:type="dxa" w:w="9878"/>
            <w:shd w:fill="F5F1E8"/>
            <w:tcMar>
              <w:top w:w="150" w:type="dxa"/>
              <w:start w:w="180" w:type="dxa"/>
              <w:bottom w:w="150" w:type="dxa"/>
              <w:end w:w="180" w:type="dxa"/>
            </w:tcMar>
          </w:tcPr>
          <w:p>
            <w:r/>
            <w:r>
              <w:rPr>
                <w:b/>
                <w:color w:val="A97C50"/>
                <w:sz w:val="17"/>
              </w:rPr>
              <w:t>FOUNDING PURPOSE</w:t>
            </w:r>
          </w:p>
          <w:p>
            <w:pPr>
              <w:spacing w:after="0"/>
            </w:pPr>
            <w:r>
              <w:rPr>
                <w:b/>
                <w:color w:val="12233F"/>
                <w:sz w:val="22"/>
              </w:rPr>
              <w:t>VYNE exists to improve the quality of consequential career and business decisions made by financial advisors.</w:t>
            </w:r>
          </w:p>
        </w:tc>
      </w:tr>
    </w:tbl>
    <w:p>
      <w:pPr>
        <w:spacing w:after="20"/>
      </w:pPr>
    </w:p>
    <w:p>
      <w:pPr>
        <w:spacing w:before="1440"/>
        <w:jc w:val="center"/>
      </w:pPr>
      <w:r>
        <w:rPr>
          <w:b/>
          <w:color w:val="3D495B"/>
          <w:sz w:val="18"/>
        </w:rPr>
        <w:t>VERSION 0.1  |  JULY 2026</w:t>
      </w:r>
    </w:p>
    <w:p>
      <w:pPr>
        <w:jc w:val="center"/>
      </w:pPr>
      <w:r>
        <w:rPr>
          <w:b/>
          <w:color w:val="8B2E2E"/>
          <w:sz w:val="18"/>
        </w:rPr>
        <w:t>CONFIDENTIAL — FOUNDING GOVERNANCE DRAFT</w:t>
      </w:r>
    </w:p>
    <w:p>
      <w:r>
        <w:br w:type="page"/>
      </w:r>
    </w:p>
    <w:p>
      <w:pPr>
        <w:pStyle w:val="Heading1"/>
        <w:pBdr>
          <w:bottom w:val="single" w:sz="10" w:space="6" w:color="A97C50"/>
        </w:pBdr>
        <w:spacing w:before="320" w:after="160"/>
      </w:pPr>
      <w:r>
        <w:t>Originality, Provenance and Legal Review</w:t>
      </w:r>
    </w:p>
    <w:p>
      <w:pPr>
        <w:pStyle w:val="BodyText"/>
        <w:spacing w:after="120" w:line="259" w:lineRule="auto"/>
      </w:pPr>
      <w:r>
        <w:rPr>
          <w:b w:val="0"/>
          <w:i w:val="0"/>
        </w:rPr>
        <w:t>This Constitution was developed from VYNE's own purpose, operating decisions, source library and first-principles analysis. It is not intended to reproduce any competitor's protected wording, visual expression, proprietary materials or branded methodology.</w:t>
      </w:r>
    </w:p>
    <w:p>
      <w:pPr>
        <w:pStyle w:val="BodyText"/>
        <w:spacing w:after="120" w:line="259" w:lineRule="auto"/>
      </w:pPr>
      <w:r>
        <w:rPr>
          <w:b w:val="0"/>
          <w:i w:val="0"/>
        </w:rPr>
        <w:t>The concepts of trust, objectivity, evidence, disciplined judgment and client service are broad business principles. VYNE's protection comes from expressing and applying them through its own language, architecture, standards and operating system.</w:t>
      </w:r>
    </w:p>
    <w:tbl>
      <w:tblPr>
        <w:tblW w:type="auto" w:w="0"/>
        <w:jc w:val="center"/>
        <w:tblLayout w:type="autofit"/>
        <w:tblLook w:firstColumn="1" w:firstRow="1" w:lastColumn="0" w:lastRow="0" w:noHBand="0" w:noVBand="1" w:val="04A0"/>
      </w:tblPr>
      <w:tblGrid>
        <w:gridCol w:w="9878"/>
      </w:tblGrid>
      <w:tr>
        <w:tc>
          <w:tcPr>
            <w:tcW w:type="dxa" w:w="9878"/>
            <w:shd w:fill="F5F1E8"/>
            <w:tcMar>
              <w:top w:w="150" w:type="dxa"/>
              <w:start w:w="180" w:type="dxa"/>
              <w:bottom w:w="150" w:type="dxa"/>
              <w:end w:w="180" w:type="dxa"/>
            </w:tcMar>
          </w:tcPr>
          <w:p>
            <w:r/>
            <w:r>
              <w:rPr>
                <w:b/>
                <w:color w:val="A97C50"/>
                <w:sz w:val="17"/>
              </w:rPr>
              <w:t>IMPORTANT BOUNDARY</w:t>
            </w:r>
          </w:p>
          <w:p>
            <w:pPr>
              <w:spacing w:after="0"/>
            </w:pPr>
            <w:r>
              <w:rPr>
                <w:b/>
                <w:color w:val="12233F"/>
                <w:sz w:val="22"/>
              </w:rPr>
              <w:t>Original drafting reduces copying risk, but it is not a legal clearance opinion. Before public launch or trademark adoption, qualified intellectual-property counsel should review names, marks, taglines, framework labels and high-visibility brand materials.</w:t>
            </w:r>
          </w:p>
        </w:tc>
      </w:tr>
    </w:tbl>
    <w:p>
      <w:pPr>
        <w:spacing w:after="20"/>
      </w:pPr>
    </w:p>
    <w:p>
      <w:pPr>
        <w:pStyle w:val="BodyText"/>
        <w:spacing w:after="120" w:line="259" w:lineRule="auto"/>
      </w:pPr>
      <w:r>
        <w:rPr>
          <w:b w:val="0"/>
          <w:i w:val="0"/>
        </w:rPr>
        <w:t>The following controls apply to all future VYNE work:</w:t>
      </w:r>
    </w:p>
    <w:p>
      <w:pPr>
        <w:pStyle w:val="ListBullet"/>
        <w:spacing w:after="60"/>
        <w:ind w:left="360"/>
      </w:pPr>
      <w:r>
        <w:t>No competitor text, slide, web page, framework diagram or document may be copied into a VYNE deliverable.</w:t>
      </w:r>
    </w:p>
    <w:p>
      <w:pPr>
        <w:pStyle w:val="ListBullet"/>
        <w:spacing w:after="60"/>
        <w:ind w:left="360"/>
      </w:pPr>
      <w:r>
        <w:t>Competitor research may identify a market problem, but the VYNE response must be designed independently.</w:t>
      </w:r>
    </w:p>
    <w:p>
      <w:pPr>
        <w:pStyle w:val="ListBullet"/>
        <w:spacing w:after="60"/>
        <w:ind w:left="360"/>
      </w:pPr>
      <w:r>
        <w:t>No 'light paraphrase' of distinctive competitor expression is acceptable.</w:t>
      </w:r>
    </w:p>
    <w:p>
      <w:pPr>
        <w:pStyle w:val="ListBullet"/>
        <w:spacing w:after="60"/>
        <w:ind w:left="360"/>
      </w:pPr>
      <w:r>
        <w:t>Every named VYNE framework must have its own purpose, logic, sequence and vocabulary.</w:t>
      </w:r>
    </w:p>
    <w:p>
      <w:pPr>
        <w:pStyle w:val="ListBullet"/>
        <w:spacing w:after="60"/>
        <w:ind w:left="360"/>
      </w:pPr>
      <w:r>
        <w:t>Sources used for factual claims must be documented separately from VYNE's original expression.</w:t>
      </w:r>
    </w:p>
    <w:p>
      <w:pPr>
        <w:pStyle w:val="ListBullet"/>
        <w:spacing w:after="60"/>
        <w:ind w:left="360"/>
      </w:pPr>
      <w:r>
        <w:t>Final public names and marks must remain subject to legal and trademark review.</w:t>
      </w:r>
    </w:p>
    <w:p>
      <w:pPr>
        <w:pStyle w:val="Heading1"/>
        <w:pBdr>
          <w:bottom w:val="single" w:sz="10" w:space="6" w:color="A97C50"/>
        </w:pBdr>
        <w:spacing w:before="320" w:after="160"/>
      </w:pPr>
      <w:r>
        <w:t>Preamble</w:t>
      </w:r>
    </w:p>
    <w:p>
      <w:pPr>
        <w:pStyle w:val="BodyText"/>
        <w:spacing w:after="120" w:line="259" w:lineRule="auto"/>
      </w:pPr>
      <w:r>
        <w:rPr>
          <w:b w:val="0"/>
          <w:i w:val="0"/>
        </w:rPr>
        <w:t>Institutions are not built by slogans. They are built when principles continue to govern after the circumstances that created them have changed.</w:t>
      </w:r>
    </w:p>
    <w:p>
      <w:pPr>
        <w:pStyle w:val="BodyText"/>
        <w:spacing w:after="120" w:line="259" w:lineRule="auto"/>
      </w:pPr>
      <w:r>
        <w:rPr>
          <w:b w:val="0"/>
          <w:i w:val="0"/>
        </w:rPr>
        <w:t>Financial advisors make decisions that shape businesses, families, teams, client relationships and legacies. These decisions are often made under uncertainty, commercial pressure, information asymmetry and emotional strain. They deserve more than persuasion. They deserve a process capable of producing clarity.</w:t>
      </w:r>
    </w:p>
    <w:p>
      <w:pPr>
        <w:pStyle w:val="BodyText"/>
        <w:spacing w:after="120" w:line="259" w:lineRule="auto"/>
      </w:pPr>
      <w:r>
        <w:rPr>
          <w:b w:val="0"/>
          <w:i w:val="0"/>
        </w:rPr>
        <w:t>VYNE Strategies was founded to provide that process.</w:t>
      </w:r>
    </w:p>
    <w:p>
      <w:pPr>
        <w:pStyle w:val="BodyText"/>
        <w:spacing w:after="120" w:line="259" w:lineRule="auto"/>
      </w:pPr>
      <w:r>
        <w:rPr>
          <w:b w:val="0"/>
          <w:i w:val="0"/>
        </w:rPr>
        <w:t>This Constitution establishes the permanent center of the institution. It is not a marketing brochure, employment handbook, sales script or service manual. It governs how VYNE thinks, what it owes the people it serves, what it refuses to become and how it acts when incentives conflict.</w:t>
      </w:r>
    </w:p>
    <w:p>
      <w:pPr>
        <w:pStyle w:val="BodyText"/>
        <w:spacing w:after="120" w:line="259" w:lineRule="auto"/>
      </w:pPr>
      <w:r>
        <w:rPr>
          <w:b w:val="0"/>
          <w:i w:val="0"/>
        </w:rPr>
        <w:t>Policies may change. Technology will change. Services may expand. Leadership will evolve. The institution should remain recognizable because its governing commitments remain intact.</w:t>
      </w:r>
    </w:p>
    <w:tbl>
      <w:tblPr>
        <w:tblW w:type="auto" w:w="0"/>
        <w:jc w:val="center"/>
        <w:tblLayout w:type="autofit"/>
        <w:tblLook w:firstColumn="1" w:firstRow="1" w:lastColumn="0" w:lastRow="0" w:noHBand="0" w:noVBand="1" w:val="04A0"/>
      </w:tblPr>
      <w:tblGrid>
        <w:gridCol w:w="9878"/>
      </w:tblGrid>
      <w:tr>
        <w:tc>
          <w:tcPr>
            <w:tcW w:type="dxa" w:w="9878"/>
            <w:shd w:fill="F5F1E8"/>
            <w:tcMar>
              <w:top w:w="150" w:type="dxa"/>
              <w:start w:w="180" w:type="dxa"/>
              <w:bottom w:w="150" w:type="dxa"/>
              <w:end w:w="180" w:type="dxa"/>
            </w:tcMar>
          </w:tcPr>
          <w:p>
            <w:r/>
            <w:r>
              <w:rPr>
                <w:b/>
                <w:color w:val="A97C50"/>
                <w:sz w:val="17"/>
              </w:rPr>
              <w:t>CONSTITUTIONAL QUESTION</w:t>
            </w:r>
          </w:p>
          <w:p>
            <w:pPr>
              <w:spacing w:after="0"/>
            </w:pPr>
            <w:r>
              <w:rPr>
                <w:b/>
                <w:color w:val="12233F"/>
                <w:sz w:val="22"/>
              </w:rPr>
              <w:t>When the commercially attractive answer conflicts with the advisor's better long-term decision, which answer will VYNE defend?</w:t>
            </w:r>
          </w:p>
        </w:tc>
      </w:tr>
    </w:tbl>
    <w:p>
      <w:pPr>
        <w:spacing w:after="20"/>
      </w:pPr>
    </w:p>
    <w:p>
      <w:pPr>
        <w:pStyle w:val="Heading1"/>
        <w:pBdr>
          <w:bottom w:val="single" w:sz="10" w:space="6" w:color="A97C50"/>
        </w:pBdr>
        <w:spacing w:before="320" w:after="160"/>
      </w:pPr>
      <w:r>
        <w:t>Article I — Purpose</w:t>
      </w:r>
    </w:p>
    <w:p>
      <w:pPr>
        <w:pStyle w:val="BodyText"/>
        <w:spacing w:after="120" w:line="259" w:lineRule="auto"/>
      </w:pPr>
      <w:r>
        <w:rPr>
          <w:b/>
          <w:i w:val="0"/>
        </w:rPr>
        <w:t>VYNE exists to improve the quality of consequential career and business decisions made by financial advisors.</w:t>
      </w:r>
    </w:p>
    <w:p>
      <w:pPr>
        <w:pStyle w:val="BodyText"/>
        <w:spacing w:after="120" w:line="259" w:lineRule="auto"/>
      </w:pPr>
      <w:r>
        <w:rPr>
          <w:b w:val="0"/>
          <w:i w:val="0"/>
        </w:rPr>
        <w:t>The purpose is deliberately broader than recruiting. A move can be the right outcome. So can staying, renegotiating, preparing, building, merging, acquiring, succeeding, selling or waiting.</w:t>
      </w:r>
    </w:p>
    <w:p>
      <w:pPr>
        <w:pStyle w:val="BodyText"/>
        <w:spacing w:after="120" w:line="259" w:lineRule="auto"/>
      </w:pPr>
      <w:r>
        <w:rPr>
          <w:b w:val="0"/>
          <w:i w:val="0"/>
        </w:rPr>
        <w:t>VYNE succeeds when an advisor reaches a more informed, deliberate and defensible decision than the advisor would likely have reached alone.</w:t>
      </w:r>
    </w:p>
    <w:p>
      <w:pPr>
        <w:pStyle w:val="BodyText"/>
        <w:spacing w:after="120" w:line="259" w:lineRule="auto"/>
      </w:pPr>
      <w:r>
        <w:rPr>
          <w:b w:val="0"/>
          <w:i w:val="0"/>
        </w:rPr>
        <w:t>Revenue is necessary to sustain the institution. It is not the measure that defines whether the advice was right.</w:t>
      </w:r>
    </w:p>
    <w:p>
      <w:pPr>
        <w:pStyle w:val="Heading1"/>
        <w:pBdr>
          <w:bottom w:val="single" w:sz="10" w:space="6" w:color="A97C50"/>
        </w:pBdr>
        <w:spacing w:before="320" w:after="160"/>
      </w:pPr>
      <w:r>
        <w:t>Article II — Institutional Identity</w:t>
      </w:r>
    </w:p>
    <w:p>
      <w:pPr>
        <w:pStyle w:val="BodyText"/>
        <w:spacing w:after="120" w:line="259" w:lineRule="auto"/>
      </w:pPr>
      <w:r>
        <w:rPr>
          <w:b w:val="0"/>
          <w:i w:val="0"/>
        </w:rPr>
        <w:t>VYNE is an independent strategic advisory firm. It helps advisors understand their present reality, define the future they are trying to build, evaluate credible paths and act with greater clarity, evidence and conviction.</w:t>
      </w:r>
    </w:p>
    <w:p>
      <w:pPr>
        <w:pStyle w:val="BodyText"/>
        <w:spacing w:after="120" w:line="259" w:lineRule="auto"/>
      </w:pPr>
      <w:r>
        <w:rPr>
          <w:b w:val="0"/>
          <w:i w:val="0"/>
        </w:rPr>
        <w:t>VYNE is not defined by any single destination, recruiting agreement, technology platform, content channel or compensation model.</w:t>
      </w:r>
    </w:p>
    <w:tbl>
      <w:tblPr>
        <w:tblStyle w:val="TableGrid"/>
        <w:tblW w:type="auto" w:w="0"/>
        <w:jc w:val="center"/>
        <w:tblLayout w:type="autofit"/>
        <w:tblLook w:firstColumn="1" w:firstRow="1" w:lastColumn="0" w:lastRow="0" w:noHBand="0" w:noVBand="1" w:val="04A0"/>
      </w:tblPr>
      <w:tblGrid>
        <w:gridCol w:w="4939"/>
        <w:gridCol w:w="4939"/>
      </w:tblGrid>
      <w:tr>
        <w:tc>
          <w:tcPr>
            <w:tcW w:type="dxa" w:w="4939"/>
            <w:shd w:fill="12233F"/>
            <w:tcMar>
              <w:top w:w="100" w:type="dxa"/>
              <w:start w:w="120" w:type="dxa"/>
              <w:bottom w:w="100" w:type="dxa"/>
              <w:end w:w="120" w:type="dxa"/>
            </w:tcMar>
          </w:tcPr>
          <w:p>
            <w:r>
              <w:rPr>
                <w:b/>
                <w:color w:val="FFFFFF"/>
                <w:sz w:val="17"/>
              </w:rPr>
              <w:t>VYNE is</w:t>
            </w:r>
          </w:p>
        </w:tc>
        <w:tc>
          <w:tcPr>
            <w:tcW w:type="dxa" w:w="4939"/>
            <w:shd w:fill="12233F"/>
            <w:tcMar>
              <w:top w:w="100" w:type="dxa"/>
              <w:start w:w="120" w:type="dxa"/>
              <w:bottom w:w="100" w:type="dxa"/>
              <w:end w:w="120" w:type="dxa"/>
            </w:tcMar>
          </w:tcPr>
          <w:p>
            <w:r>
              <w:rPr>
                <w:b/>
                <w:color w:val="FFFFFF"/>
                <w:sz w:val="17"/>
              </w:rPr>
              <w:t>VYNE is not</w:t>
            </w:r>
          </w:p>
        </w:tc>
      </w:tr>
      <w:tr>
        <w:tc>
          <w:tcPr>
            <w:tcW w:type="dxa" w:w="4939"/>
            <w:tcMar>
              <w:top w:w="100" w:type="dxa"/>
              <w:start w:w="120" w:type="dxa"/>
              <w:bottom w:w="100" w:type="dxa"/>
              <w:end w:w="120" w:type="dxa"/>
            </w:tcMar>
            <w:vAlign w:val="top"/>
          </w:tcPr>
          <w:p>
            <w:r>
              <w:rPr>
                <w:sz w:val="17"/>
              </w:rPr>
              <w:t>A decision-quality institution</w:t>
            </w:r>
          </w:p>
        </w:tc>
        <w:tc>
          <w:tcPr>
            <w:tcW w:type="dxa" w:w="4939"/>
            <w:tcMar>
              <w:top w:w="100" w:type="dxa"/>
              <w:start w:w="120" w:type="dxa"/>
              <w:bottom w:w="100" w:type="dxa"/>
              <w:end w:w="120" w:type="dxa"/>
            </w:tcMar>
            <w:vAlign w:val="top"/>
          </w:tcPr>
          <w:p>
            <w:r>
              <w:rPr>
                <w:sz w:val="17"/>
              </w:rPr>
              <w:t>A transaction factory</w:t>
            </w:r>
          </w:p>
        </w:tc>
      </w:tr>
      <w:tr>
        <w:tc>
          <w:tcPr>
            <w:tcW w:type="dxa" w:w="4939"/>
            <w:tcMar>
              <w:top w:w="100" w:type="dxa"/>
              <w:start w:w="120" w:type="dxa"/>
              <w:bottom w:w="100" w:type="dxa"/>
              <w:end w:w="120" w:type="dxa"/>
            </w:tcMar>
            <w:vAlign w:val="top"/>
          </w:tcPr>
          <w:p>
            <w:r>
              <w:rPr>
                <w:sz w:val="17"/>
              </w:rPr>
              <w:t>An independent strategic advisor</w:t>
            </w:r>
          </w:p>
        </w:tc>
        <w:tc>
          <w:tcPr>
            <w:tcW w:type="dxa" w:w="4939"/>
            <w:tcMar>
              <w:top w:w="100" w:type="dxa"/>
              <w:start w:w="120" w:type="dxa"/>
              <w:bottom w:w="100" w:type="dxa"/>
              <w:end w:w="120" w:type="dxa"/>
            </w:tcMar>
            <w:vAlign w:val="top"/>
          </w:tcPr>
          <w:p>
            <w:r>
              <w:rPr>
                <w:sz w:val="17"/>
              </w:rPr>
              <w:t>An advocate for a predetermined destination</w:t>
            </w:r>
          </w:p>
        </w:tc>
      </w:tr>
      <w:tr>
        <w:tc>
          <w:tcPr>
            <w:tcW w:type="dxa" w:w="4939"/>
            <w:tcMar>
              <w:top w:w="100" w:type="dxa"/>
              <w:start w:w="120" w:type="dxa"/>
              <w:bottom w:w="100" w:type="dxa"/>
              <w:end w:w="120" w:type="dxa"/>
            </w:tcMar>
            <w:vAlign w:val="top"/>
          </w:tcPr>
          <w:p>
            <w:r>
              <w:rPr>
                <w:sz w:val="17"/>
              </w:rPr>
              <w:t>A disciplined interpreter of complexity</w:t>
            </w:r>
          </w:p>
        </w:tc>
        <w:tc>
          <w:tcPr>
            <w:tcW w:type="dxa" w:w="4939"/>
            <w:tcMar>
              <w:top w:w="100" w:type="dxa"/>
              <w:start w:w="120" w:type="dxa"/>
              <w:bottom w:w="100" w:type="dxa"/>
              <w:end w:w="120" w:type="dxa"/>
            </w:tcMar>
            <w:vAlign w:val="top"/>
          </w:tcPr>
          <w:p>
            <w:r>
              <w:rPr>
                <w:sz w:val="17"/>
              </w:rPr>
              <w:t>A distributor of undigested information</w:t>
            </w:r>
          </w:p>
        </w:tc>
      </w:tr>
      <w:tr>
        <w:tc>
          <w:tcPr>
            <w:tcW w:type="dxa" w:w="4939"/>
            <w:tcMar>
              <w:top w:w="100" w:type="dxa"/>
              <w:start w:w="120" w:type="dxa"/>
              <w:bottom w:w="100" w:type="dxa"/>
              <w:end w:w="120" w:type="dxa"/>
            </w:tcMar>
            <w:vAlign w:val="top"/>
          </w:tcPr>
          <w:p>
            <w:r>
              <w:rPr>
                <w:sz w:val="17"/>
              </w:rPr>
              <w:t>A long-term relationship</w:t>
            </w:r>
          </w:p>
        </w:tc>
        <w:tc>
          <w:tcPr>
            <w:tcW w:type="dxa" w:w="4939"/>
            <w:tcMar>
              <w:top w:w="100" w:type="dxa"/>
              <w:start w:w="120" w:type="dxa"/>
              <w:bottom w:w="100" w:type="dxa"/>
              <w:end w:w="120" w:type="dxa"/>
            </w:tcMar>
            <w:vAlign w:val="top"/>
          </w:tcPr>
          <w:p>
            <w:r>
              <w:rPr>
                <w:sz w:val="17"/>
              </w:rPr>
              <w:t>A high-pressure campaign</w:t>
            </w:r>
          </w:p>
        </w:tc>
      </w:tr>
      <w:tr>
        <w:tc>
          <w:tcPr>
            <w:tcW w:type="dxa" w:w="4939"/>
            <w:tcMar>
              <w:top w:w="100" w:type="dxa"/>
              <w:start w:w="120" w:type="dxa"/>
              <w:bottom w:w="100" w:type="dxa"/>
              <w:end w:w="120" w:type="dxa"/>
            </w:tcMar>
            <w:vAlign w:val="top"/>
          </w:tcPr>
          <w:p>
            <w:r>
              <w:rPr>
                <w:sz w:val="17"/>
              </w:rPr>
              <w:t>Human judgment strengthened by technology</w:t>
            </w:r>
          </w:p>
        </w:tc>
        <w:tc>
          <w:tcPr>
            <w:tcW w:type="dxa" w:w="4939"/>
            <w:tcMar>
              <w:top w:w="100" w:type="dxa"/>
              <w:start w:w="120" w:type="dxa"/>
              <w:bottom w:w="100" w:type="dxa"/>
              <w:end w:w="120" w:type="dxa"/>
            </w:tcMar>
            <w:vAlign w:val="top"/>
          </w:tcPr>
          <w:p>
            <w:r>
              <w:rPr>
                <w:sz w:val="17"/>
              </w:rPr>
              <w:t>Automated decision-making presented as advice</w:t>
            </w:r>
          </w:p>
        </w:tc>
      </w:tr>
    </w:tbl>
    <w:p/>
    <w:tbl>
      <w:tblPr>
        <w:tblW w:type="auto" w:w="0"/>
        <w:jc w:val="center"/>
        <w:tblLayout w:type="autofit"/>
        <w:tblLook w:firstColumn="1" w:firstRow="1" w:lastColumn="0" w:lastRow="0" w:noHBand="0" w:noVBand="1" w:val="04A0"/>
      </w:tblPr>
      <w:tblGrid>
        <w:gridCol w:w="9878"/>
      </w:tblGrid>
      <w:tr>
        <w:tc>
          <w:tcPr>
            <w:tcW w:type="dxa" w:w="9878"/>
            <w:shd w:fill="F5F1E8"/>
            <w:tcMar>
              <w:top w:w="150" w:type="dxa"/>
              <w:start w:w="180" w:type="dxa"/>
              <w:bottom w:w="150" w:type="dxa"/>
              <w:end w:w="180" w:type="dxa"/>
            </w:tcMar>
          </w:tcPr>
          <w:p>
            <w:r/>
            <w:r>
              <w:rPr>
                <w:b/>
                <w:color w:val="A97C50"/>
                <w:sz w:val="17"/>
              </w:rPr>
              <w:t>IDENTITY TEST</w:t>
            </w:r>
          </w:p>
          <w:p>
            <w:pPr>
              <w:spacing w:after="0"/>
            </w:pPr>
            <w:r>
              <w:rPr>
                <w:b/>
                <w:color w:val="12233F"/>
                <w:sz w:val="22"/>
              </w:rPr>
              <w:t>A sophisticated advisor should understand VYNE's value even if no transition occurs.</w:t>
            </w:r>
          </w:p>
        </w:tc>
      </w:tr>
    </w:tbl>
    <w:p>
      <w:pPr>
        <w:spacing w:after="20"/>
      </w:pPr>
    </w:p>
    <w:p>
      <w:pPr>
        <w:pStyle w:val="Heading1"/>
        <w:pBdr>
          <w:bottom w:val="single" w:sz="10" w:space="6" w:color="A97C50"/>
        </w:pBdr>
        <w:spacing w:before="320" w:after="160"/>
      </w:pPr>
      <w:r>
        <w:t>Article III — The Doctrine of Decision Quality</w:t>
      </w:r>
    </w:p>
    <w:p>
      <w:pPr>
        <w:pStyle w:val="BodyText"/>
        <w:spacing w:after="120" w:line="259" w:lineRule="auto"/>
      </w:pPr>
      <w:r>
        <w:rPr>
          <w:b w:val="0"/>
          <w:i w:val="0"/>
        </w:rPr>
        <w:t>Decision quality is the discipline of improving the process used to choose under uncertainty. It does not promise perfect outcomes. It improves the probability that an outcome reflects the advisor's priorities, evidence, constraints, trade-offs and informed judgment.</w:t>
      </w:r>
    </w:p>
    <w:p>
      <w:pPr>
        <w:pStyle w:val="BodyText"/>
        <w:spacing w:after="120" w:line="259" w:lineRule="auto"/>
      </w:pPr>
      <w:r>
        <w:rPr>
          <w:b w:val="0"/>
          <w:i w:val="0"/>
        </w:rPr>
        <w:t>A high-quality decision contains six elements:</w:t>
      </w:r>
    </w:p>
    <w:tbl>
      <w:tblPr>
        <w:tblStyle w:val="TableGrid"/>
        <w:tblW w:type="auto" w:w="0"/>
        <w:jc w:val="center"/>
        <w:tblLayout w:type="autofit"/>
        <w:tblLook w:firstColumn="1" w:firstRow="1" w:lastColumn="0" w:lastRow="0" w:noHBand="0" w:noVBand="1" w:val="04A0"/>
      </w:tblPr>
      <w:tblGrid>
        <w:gridCol w:w="4939"/>
        <w:gridCol w:w="4939"/>
      </w:tblGrid>
      <w:tr>
        <w:tc>
          <w:tcPr>
            <w:tcW w:type="dxa" w:w="4939"/>
            <w:shd w:fill="12233F"/>
            <w:tcMar>
              <w:top w:w="100" w:type="dxa"/>
              <w:start w:w="120" w:type="dxa"/>
              <w:bottom w:w="100" w:type="dxa"/>
              <w:end w:w="120" w:type="dxa"/>
            </w:tcMar>
          </w:tcPr>
          <w:p>
            <w:r>
              <w:rPr>
                <w:b/>
                <w:color w:val="FFFFFF"/>
                <w:sz w:val="17"/>
              </w:rPr>
              <w:t>Element</w:t>
            </w:r>
          </w:p>
        </w:tc>
        <w:tc>
          <w:tcPr>
            <w:tcW w:type="dxa" w:w="4939"/>
            <w:shd w:fill="12233F"/>
            <w:tcMar>
              <w:top w:w="100" w:type="dxa"/>
              <w:start w:w="120" w:type="dxa"/>
              <w:bottom w:w="100" w:type="dxa"/>
              <w:end w:w="120" w:type="dxa"/>
            </w:tcMar>
          </w:tcPr>
          <w:p>
            <w:r>
              <w:rPr>
                <w:b/>
                <w:color w:val="FFFFFF"/>
                <w:sz w:val="17"/>
              </w:rPr>
              <w:t>Standard</w:t>
            </w:r>
          </w:p>
        </w:tc>
      </w:tr>
      <w:tr>
        <w:tc>
          <w:tcPr>
            <w:tcW w:type="dxa" w:w="4939"/>
            <w:tcMar>
              <w:top w:w="100" w:type="dxa"/>
              <w:start w:w="120" w:type="dxa"/>
              <w:bottom w:w="100" w:type="dxa"/>
              <w:end w:w="120" w:type="dxa"/>
            </w:tcMar>
            <w:vAlign w:val="top"/>
          </w:tcPr>
          <w:p>
            <w:r>
              <w:rPr>
                <w:sz w:val="17"/>
              </w:rPr>
              <w:t>A clear decision</w:t>
            </w:r>
          </w:p>
        </w:tc>
        <w:tc>
          <w:tcPr>
            <w:tcW w:type="dxa" w:w="4939"/>
            <w:tcMar>
              <w:top w:w="100" w:type="dxa"/>
              <w:start w:w="120" w:type="dxa"/>
              <w:bottom w:w="100" w:type="dxa"/>
              <w:end w:w="120" w:type="dxa"/>
            </w:tcMar>
            <w:vAlign w:val="top"/>
          </w:tcPr>
          <w:p>
            <w:r>
              <w:rPr>
                <w:sz w:val="17"/>
              </w:rPr>
              <w:t>The actual choice is defined precisely enough to evaluate.</w:t>
            </w:r>
          </w:p>
        </w:tc>
      </w:tr>
      <w:tr>
        <w:tc>
          <w:tcPr>
            <w:tcW w:type="dxa" w:w="4939"/>
            <w:tcMar>
              <w:top w:w="100" w:type="dxa"/>
              <w:start w:w="120" w:type="dxa"/>
              <w:bottom w:w="100" w:type="dxa"/>
              <w:end w:w="120" w:type="dxa"/>
            </w:tcMar>
            <w:vAlign w:val="top"/>
          </w:tcPr>
          <w:p>
            <w:r>
              <w:rPr>
                <w:sz w:val="17"/>
              </w:rPr>
              <w:t>A true objective</w:t>
            </w:r>
          </w:p>
        </w:tc>
        <w:tc>
          <w:tcPr>
            <w:tcW w:type="dxa" w:w="4939"/>
            <w:tcMar>
              <w:top w:w="100" w:type="dxa"/>
              <w:start w:w="120" w:type="dxa"/>
              <w:bottom w:w="100" w:type="dxa"/>
              <w:end w:w="120" w:type="dxa"/>
            </w:tcMar>
            <w:vAlign w:val="top"/>
          </w:tcPr>
          <w:p>
            <w:r>
              <w:rPr>
                <w:sz w:val="17"/>
              </w:rPr>
              <w:t>The advisor knows what success means beyond the immediate offer.</w:t>
            </w:r>
          </w:p>
        </w:tc>
      </w:tr>
      <w:tr>
        <w:tc>
          <w:tcPr>
            <w:tcW w:type="dxa" w:w="4939"/>
            <w:tcMar>
              <w:top w:w="100" w:type="dxa"/>
              <w:start w:w="120" w:type="dxa"/>
              <w:bottom w:w="100" w:type="dxa"/>
              <w:end w:w="120" w:type="dxa"/>
            </w:tcMar>
            <w:vAlign w:val="top"/>
          </w:tcPr>
          <w:p>
            <w:r>
              <w:rPr>
                <w:sz w:val="17"/>
              </w:rPr>
              <w:t>Credible alternatives</w:t>
            </w:r>
          </w:p>
        </w:tc>
        <w:tc>
          <w:tcPr>
            <w:tcW w:type="dxa" w:w="4939"/>
            <w:tcMar>
              <w:top w:w="100" w:type="dxa"/>
              <w:start w:w="120" w:type="dxa"/>
              <w:bottom w:w="100" w:type="dxa"/>
              <w:end w:w="120" w:type="dxa"/>
            </w:tcMar>
            <w:vAlign w:val="top"/>
          </w:tcPr>
          <w:p>
            <w:r>
              <w:rPr>
                <w:sz w:val="17"/>
              </w:rPr>
              <w:t>The process includes staying, improving and waiting when those are real options.</w:t>
            </w:r>
          </w:p>
        </w:tc>
      </w:tr>
      <w:tr>
        <w:tc>
          <w:tcPr>
            <w:tcW w:type="dxa" w:w="4939"/>
            <w:tcMar>
              <w:top w:w="100" w:type="dxa"/>
              <w:start w:w="120" w:type="dxa"/>
              <w:bottom w:w="100" w:type="dxa"/>
              <w:end w:w="120" w:type="dxa"/>
            </w:tcMar>
            <w:vAlign w:val="top"/>
          </w:tcPr>
          <w:p>
            <w:r>
              <w:rPr>
                <w:sz w:val="17"/>
              </w:rPr>
              <w:t>Relevant evidence</w:t>
            </w:r>
          </w:p>
        </w:tc>
        <w:tc>
          <w:tcPr>
            <w:tcW w:type="dxa" w:w="4939"/>
            <w:tcMar>
              <w:top w:w="100" w:type="dxa"/>
              <w:start w:w="120" w:type="dxa"/>
              <w:bottom w:w="100" w:type="dxa"/>
              <w:end w:w="120" w:type="dxa"/>
            </w:tcMar>
            <w:vAlign w:val="top"/>
          </w:tcPr>
          <w:p>
            <w:r>
              <w:rPr>
                <w:sz w:val="17"/>
              </w:rPr>
              <w:t>Facts are verified where possible and uncertainty is made visible.</w:t>
            </w:r>
          </w:p>
        </w:tc>
      </w:tr>
      <w:tr>
        <w:tc>
          <w:tcPr>
            <w:tcW w:type="dxa" w:w="4939"/>
            <w:tcMar>
              <w:top w:w="100" w:type="dxa"/>
              <w:start w:w="120" w:type="dxa"/>
              <w:bottom w:w="100" w:type="dxa"/>
              <w:end w:w="120" w:type="dxa"/>
            </w:tcMar>
            <w:vAlign w:val="top"/>
          </w:tcPr>
          <w:p>
            <w:r>
              <w:rPr>
                <w:sz w:val="17"/>
              </w:rPr>
              <w:t>Explicit trade-offs</w:t>
            </w:r>
          </w:p>
        </w:tc>
        <w:tc>
          <w:tcPr>
            <w:tcW w:type="dxa" w:w="4939"/>
            <w:tcMar>
              <w:top w:w="100" w:type="dxa"/>
              <w:start w:w="120" w:type="dxa"/>
              <w:bottom w:w="100" w:type="dxa"/>
              <w:end w:w="120" w:type="dxa"/>
            </w:tcMar>
            <w:vAlign w:val="top"/>
          </w:tcPr>
          <w:p>
            <w:r>
              <w:rPr>
                <w:sz w:val="17"/>
              </w:rPr>
              <w:t>Every path is evaluated for what it gives, what it costs and what it may foreclose.</w:t>
            </w:r>
          </w:p>
        </w:tc>
      </w:tr>
      <w:tr>
        <w:tc>
          <w:tcPr>
            <w:tcW w:type="dxa" w:w="4939"/>
            <w:tcMar>
              <w:top w:w="100" w:type="dxa"/>
              <w:start w:w="120" w:type="dxa"/>
              <w:bottom w:w="100" w:type="dxa"/>
              <w:end w:w="120" w:type="dxa"/>
            </w:tcMar>
            <w:vAlign w:val="top"/>
          </w:tcPr>
          <w:p>
            <w:r>
              <w:rPr>
                <w:sz w:val="17"/>
              </w:rPr>
              <w:t>Deliberate commitment</w:t>
            </w:r>
          </w:p>
        </w:tc>
        <w:tc>
          <w:tcPr>
            <w:tcW w:type="dxa" w:w="4939"/>
            <w:tcMar>
              <w:top w:w="100" w:type="dxa"/>
              <w:start w:w="120" w:type="dxa"/>
              <w:bottom w:w="100" w:type="dxa"/>
              <w:end w:w="120" w:type="dxa"/>
            </w:tcMar>
            <w:vAlign w:val="top"/>
          </w:tcPr>
          <w:p>
            <w:r>
              <w:rPr>
                <w:sz w:val="17"/>
              </w:rPr>
              <w:t>The advisor understands the reasoning, owns the choice and is prepared to act.</w:t>
            </w:r>
          </w:p>
        </w:tc>
      </w:tr>
    </w:tbl>
    <w:p/>
    <w:p>
      <w:pPr>
        <w:pStyle w:val="BodyText"/>
        <w:spacing w:after="120" w:line="259" w:lineRule="auto"/>
      </w:pPr>
      <w:r>
        <w:rPr>
          <w:b w:val="0"/>
          <w:i w:val="0"/>
        </w:rPr>
        <w:t>A good outcome cannot retroactively make a careless process sound. A difficult outcome cannot automatically prove a disciplined decision was wrong. VYNE evaluates both the quality of the process and the reality of the result.</w:t>
      </w:r>
    </w:p>
    <w:p>
      <w:pPr>
        <w:pStyle w:val="Heading1"/>
        <w:pBdr>
          <w:bottom w:val="single" w:sz="10" w:space="6" w:color="A97C50"/>
        </w:pBdr>
        <w:spacing w:before="320" w:after="160"/>
      </w:pPr>
      <w:r>
        <w:t>Article IV — The VYNE Standard</w:t>
      </w:r>
    </w:p>
    <w:p>
      <w:pPr>
        <w:pStyle w:val="BodyText"/>
        <w:spacing w:after="120" w:line="259" w:lineRule="auto"/>
      </w:pPr>
      <w:r>
        <w:rPr>
          <w:b w:val="0"/>
          <w:i w:val="0"/>
        </w:rPr>
        <w:t>The VYNE Standard is the observable minimum for every recommendation, relationship, publication, product, model, agent output and internal decision.</w:t>
      </w:r>
    </w:p>
    <w:p>
      <w:pPr>
        <w:pStyle w:val="Heading2"/>
      </w:pPr>
      <w:r>
        <w:t>Advisor-first</w:t>
      </w:r>
    </w:p>
    <w:p>
      <w:pPr>
        <w:pStyle w:val="BodyText"/>
        <w:spacing w:after="120" w:line="259" w:lineRule="auto"/>
      </w:pPr>
      <w:r>
        <w:rPr>
          <w:b/>
          <w:i w:val="0"/>
        </w:rPr>
        <w:t>The advisor's stated and discovered interests come before the firm's desire for a transaction.</w:t>
      </w:r>
    </w:p>
    <w:p>
      <w:pPr>
        <w:pStyle w:val="ListBullet"/>
        <w:spacing w:after="60"/>
        <w:ind w:left="360"/>
      </w:pPr>
      <w:r>
        <w:t>This standard applies internally and externally.</w:t>
      </w:r>
    </w:p>
    <w:p>
      <w:pPr>
        <w:pStyle w:val="ListBullet"/>
        <w:spacing w:after="60"/>
        <w:ind w:left="360"/>
      </w:pPr>
      <w:r>
        <w:t>A failure of this standard must be surfaced rather than concealed.</w:t>
      </w:r>
    </w:p>
    <w:p>
      <w:pPr>
        <w:pStyle w:val="Heading2"/>
      </w:pPr>
      <w:r>
        <w:t>Independent</w:t>
      </w:r>
    </w:p>
    <w:p>
      <w:pPr>
        <w:pStyle w:val="BodyText"/>
        <w:spacing w:after="120" w:line="259" w:lineRule="auto"/>
      </w:pPr>
      <w:r>
        <w:rPr>
          <w:b/>
          <w:i w:val="0"/>
        </w:rPr>
        <w:t>The recommendation is not predetermined by fees, quotas, preferred firms or internal convenience.</w:t>
      </w:r>
    </w:p>
    <w:p>
      <w:pPr>
        <w:pStyle w:val="ListBullet"/>
        <w:spacing w:after="60"/>
        <w:ind w:left="360"/>
      </w:pPr>
      <w:r>
        <w:t>This standard applies internally and externally.</w:t>
      </w:r>
    </w:p>
    <w:p>
      <w:pPr>
        <w:pStyle w:val="ListBullet"/>
        <w:spacing w:after="60"/>
        <w:ind w:left="360"/>
      </w:pPr>
      <w:r>
        <w:t>A failure of this standard must be surfaced rather than concealed.</w:t>
      </w:r>
    </w:p>
    <w:p>
      <w:pPr>
        <w:pStyle w:val="Heading2"/>
      </w:pPr>
      <w:r>
        <w:t>Evidence-led</w:t>
      </w:r>
    </w:p>
    <w:p>
      <w:pPr>
        <w:pStyle w:val="BodyText"/>
        <w:spacing w:after="120" w:line="259" w:lineRule="auto"/>
      </w:pPr>
      <w:r>
        <w:rPr>
          <w:b/>
          <w:i w:val="0"/>
        </w:rPr>
        <w:t>Facts, estimates, opinions and assumptions are clearly distinguished.</w:t>
      </w:r>
    </w:p>
    <w:p>
      <w:pPr>
        <w:pStyle w:val="ListBullet"/>
        <w:spacing w:after="60"/>
        <w:ind w:left="360"/>
      </w:pPr>
      <w:r>
        <w:t>This standard applies internally and externally.</w:t>
      </w:r>
    </w:p>
    <w:p>
      <w:pPr>
        <w:pStyle w:val="ListBullet"/>
        <w:spacing w:after="60"/>
        <w:ind w:left="360"/>
      </w:pPr>
      <w:r>
        <w:t>A failure of this standard must be surfaced rather than concealed.</w:t>
      </w:r>
    </w:p>
    <w:p>
      <w:pPr>
        <w:pStyle w:val="Heading2"/>
      </w:pPr>
      <w:r>
        <w:t>Clear</w:t>
      </w:r>
    </w:p>
    <w:p>
      <w:pPr>
        <w:pStyle w:val="BodyText"/>
        <w:spacing w:after="120" w:line="259" w:lineRule="auto"/>
      </w:pPr>
      <w:r>
        <w:rPr>
          <w:b/>
          <w:i w:val="0"/>
        </w:rPr>
        <w:t>Complexity is organized into a decision the advisor can understand and defend.</w:t>
      </w:r>
    </w:p>
    <w:p>
      <w:pPr>
        <w:pStyle w:val="ListBullet"/>
        <w:spacing w:after="60"/>
        <w:ind w:left="360"/>
      </w:pPr>
      <w:r>
        <w:t>This standard applies internally and externally.</w:t>
      </w:r>
    </w:p>
    <w:p>
      <w:pPr>
        <w:pStyle w:val="ListBullet"/>
        <w:spacing w:after="60"/>
        <w:ind w:left="360"/>
      </w:pPr>
      <w:r>
        <w:t>A failure of this standard must be surfaced rather than concealed.</w:t>
      </w:r>
    </w:p>
    <w:p>
      <w:pPr>
        <w:pStyle w:val="Heading2"/>
      </w:pPr>
      <w:r>
        <w:t>Complete</w:t>
      </w:r>
    </w:p>
    <w:p>
      <w:pPr>
        <w:pStyle w:val="BodyText"/>
        <w:spacing w:after="120" w:line="259" w:lineRule="auto"/>
      </w:pPr>
      <w:r>
        <w:rPr>
          <w:b/>
          <w:i w:val="0"/>
        </w:rPr>
        <w:t>Material alternatives and trade-offs are not hidden because they weaken the preferred outcome.</w:t>
      </w:r>
    </w:p>
    <w:p>
      <w:pPr>
        <w:pStyle w:val="ListBullet"/>
        <w:spacing w:after="60"/>
        <w:ind w:left="360"/>
      </w:pPr>
      <w:r>
        <w:t>This standard applies internally and externally.</w:t>
      </w:r>
    </w:p>
    <w:p>
      <w:pPr>
        <w:pStyle w:val="ListBullet"/>
        <w:spacing w:after="60"/>
        <w:ind w:left="360"/>
      </w:pPr>
      <w:r>
        <w:t>A failure of this standard must be surfaced rather than concealed.</w:t>
      </w:r>
    </w:p>
    <w:p>
      <w:pPr>
        <w:pStyle w:val="Heading2"/>
      </w:pPr>
      <w:r>
        <w:t>Confidential</w:t>
      </w:r>
    </w:p>
    <w:p>
      <w:pPr>
        <w:pStyle w:val="BodyText"/>
        <w:spacing w:after="120" w:line="259" w:lineRule="auto"/>
      </w:pPr>
      <w:r>
        <w:rPr>
          <w:b/>
          <w:i w:val="0"/>
        </w:rPr>
        <w:t>Information is collected, shared and retained only with appropriate purpose, permission and protection.</w:t>
      </w:r>
    </w:p>
    <w:p>
      <w:pPr>
        <w:pStyle w:val="ListBullet"/>
        <w:spacing w:after="60"/>
        <w:ind w:left="360"/>
      </w:pPr>
      <w:r>
        <w:t>This standard applies internally and externally.</w:t>
      </w:r>
    </w:p>
    <w:p>
      <w:pPr>
        <w:pStyle w:val="ListBullet"/>
        <w:spacing w:after="60"/>
        <w:ind w:left="360"/>
      </w:pPr>
      <w:r>
        <w:t>A failure of this standard must be surfaced rather than concealed.</w:t>
      </w:r>
    </w:p>
    <w:p>
      <w:pPr>
        <w:pStyle w:val="Heading2"/>
      </w:pPr>
      <w:r>
        <w:t>Human</w:t>
      </w:r>
    </w:p>
    <w:p>
      <w:pPr>
        <w:pStyle w:val="BodyText"/>
        <w:spacing w:after="120" w:line="259" w:lineRule="auto"/>
      </w:pPr>
      <w:r>
        <w:rPr>
          <w:b/>
          <w:i w:val="0"/>
        </w:rPr>
        <w:t>Technology may prepare analysis; accountable people interpret, decide and communicate.</w:t>
      </w:r>
    </w:p>
    <w:p>
      <w:pPr>
        <w:pStyle w:val="ListBullet"/>
        <w:spacing w:after="60"/>
        <w:ind w:left="360"/>
      </w:pPr>
      <w:r>
        <w:t>This standard applies internally and externally.</w:t>
      </w:r>
    </w:p>
    <w:p>
      <w:pPr>
        <w:pStyle w:val="ListBullet"/>
        <w:spacing w:after="60"/>
        <w:ind w:left="360"/>
      </w:pPr>
      <w:r>
        <w:t>A failure of this standard must be surfaced rather than concealed.</w:t>
      </w:r>
    </w:p>
    <w:p>
      <w:pPr>
        <w:pStyle w:val="Heading2"/>
      </w:pPr>
      <w:r>
        <w:t>Durable</w:t>
      </w:r>
    </w:p>
    <w:p>
      <w:pPr>
        <w:pStyle w:val="BodyText"/>
        <w:spacing w:after="120" w:line="259" w:lineRule="auto"/>
      </w:pPr>
      <w:r>
        <w:rPr>
          <w:b/>
          <w:i w:val="0"/>
        </w:rPr>
        <w:t>The work should remain defensible after the immediate incentive has passed.</w:t>
      </w:r>
    </w:p>
    <w:p>
      <w:pPr>
        <w:pStyle w:val="ListBullet"/>
        <w:spacing w:after="60"/>
        <w:ind w:left="360"/>
      </w:pPr>
      <w:r>
        <w:t>This standard applies internally and externally.</w:t>
      </w:r>
    </w:p>
    <w:p>
      <w:pPr>
        <w:pStyle w:val="ListBullet"/>
        <w:spacing w:after="60"/>
        <w:ind w:left="360"/>
      </w:pPr>
      <w:r>
        <w:t>A failure of this standard must be surfaced rather than concealed.</w:t>
      </w:r>
    </w:p>
    <w:p>
      <w:pPr>
        <w:pStyle w:val="Heading2"/>
      </w:pPr>
      <w:r>
        <w:t>Correctable</w:t>
      </w:r>
    </w:p>
    <w:p>
      <w:pPr>
        <w:pStyle w:val="BodyText"/>
        <w:spacing w:after="120" w:line="259" w:lineRule="auto"/>
      </w:pPr>
      <w:r>
        <w:rPr>
          <w:b/>
          <w:i w:val="0"/>
        </w:rPr>
        <w:t>Errors are acknowledged, corrected and incorporated into institutional learning.</w:t>
      </w:r>
    </w:p>
    <w:p>
      <w:pPr>
        <w:pStyle w:val="ListBullet"/>
        <w:spacing w:after="60"/>
        <w:ind w:left="360"/>
      </w:pPr>
      <w:r>
        <w:t>This standard applies internally and externally.</w:t>
      </w:r>
    </w:p>
    <w:p>
      <w:pPr>
        <w:pStyle w:val="ListBullet"/>
        <w:spacing w:after="60"/>
        <w:ind w:left="360"/>
      </w:pPr>
      <w:r>
        <w:t>A failure of this standard must be surfaced rather than concealed.</w:t>
      </w:r>
    </w:p>
    <w:p>
      <w:pPr>
        <w:pStyle w:val="Heading1"/>
        <w:pBdr>
          <w:bottom w:val="single" w:sz="10" w:space="6" w:color="A97C50"/>
        </w:pBdr>
        <w:spacing w:before="320" w:after="160"/>
      </w:pPr>
      <w:r>
        <w:t>Article V — Independence and Conflicts</w:t>
      </w:r>
    </w:p>
    <w:p>
      <w:pPr>
        <w:pStyle w:val="BodyText"/>
        <w:spacing w:after="120" w:line="259" w:lineRule="auto"/>
      </w:pPr>
      <w:r>
        <w:rPr>
          <w:b w:val="0"/>
          <w:i w:val="0"/>
        </w:rPr>
        <w:t>VYNE cannot eliminate every economic incentive. It can make incentives visible, govern them and refuse to let them silently determine advice.</w:t>
      </w:r>
    </w:p>
    <w:p>
      <w:pPr>
        <w:pStyle w:val="BodyText"/>
        <w:spacing w:after="120" w:line="259" w:lineRule="auto"/>
      </w:pPr>
      <w:r>
        <w:rPr>
          <w:b w:val="0"/>
          <w:i w:val="0"/>
        </w:rPr>
        <w:t>The following principles apply:</w:t>
      </w:r>
    </w:p>
    <w:p>
      <w:pPr>
        <w:pStyle w:val="ListBullet"/>
        <w:spacing w:after="60"/>
        <w:ind w:left="360"/>
      </w:pPr>
      <w:r>
        <w:t>An advisor must be told when VYNE may receive compensation connected to an outcome.</w:t>
      </w:r>
    </w:p>
    <w:p>
      <w:pPr>
        <w:pStyle w:val="ListBullet"/>
        <w:spacing w:after="60"/>
        <w:ind w:left="360"/>
      </w:pPr>
      <w:r>
        <w:t>Material conflicts must be disclosed in language a reasonable advisor can understand.</w:t>
      </w:r>
    </w:p>
    <w:p>
      <w:pPr>
        <w:pStyle w:val="ListBullet"/>
        <w:spacing w:after="60"/>
        <w:ind w:left="360"/>
      </w:pPr>
      <w:r>
        <w:t>Compensation does not convert a weak option into a strong recommendation.</w:t>
      </w:r>
    </w:p>
    <w:p>
      <w:pPr>
        <w:pStyle w:val="ListBullet"/>
        <w:spacing w:after="60"/>
        <w:ind w:left="360"/>
      </w:pPr>
      <w:r>
        <w:t>A recommendation to stay, wait or strengthen is legitimate even when it produces no placement revenue.</w:t>
      </w:r>
    </w:p>
    <w:p>
      <w:pPr>
        <w:pStyle w:val="ListBullet"/>
        <w:spacing w:after="60"/>
        <w:ind w:left="360"/>
      </w:pPr>
      <w:r>
        <w:t>Preferred relationships may improve access or information, but they may not narrow the analysis without the advisor's informed agreement.</w:t>
      </w:r>
    </w:p>
    <w:p>
      <w:pPr>
        <w:pStyle w:val="ListBullet"/>
        <w:spacing w:after="60"/>
        <w:ind w:left="360"/>
      </w:pPr>
      <w:r>
        <w:t>VYNE must never create artificial urgency to accelerate an economically favorable outcome.</w:t>
      </w:r>
    </w:p>
    <w:tbl>
      <w:tblPr>
        <w:tblW w:type="auto" w:w="0"/>
        <w:jc w:val="center"/>
        <w:tblLayout w:type="autofit"/>
        <w:tblLook w:firstColumn="1" w:firstRow="1" w:lastColumn="0" w:lastRow="0" w:noHBand="0" w:noVBand="1" w:val="04A0"/>
      </w:tblPr>
      <w:tblGrid>
        <w:gridCol w:w="9878"/>
      </w:tblGrid>
      <w:tr>
        <w:tc>
          <w:tcPr>
            <w:tcW w:type="dxa" w:w="9878"/>
            <w:shd w:fill="F5F1E8"/>
            <w:tcMar>
              <w:top w:w="150" w:type="dxa"/>
              <w:start w:w="180" w:type="dxa"/>
              <w:bottom w:w="150" w:type="dxa"/>
              <w:end w:w="180" w:type="dxa"/>
            </w:tcMar>
          </w:tcPr>
          <w:p>
            <w:r/>
            <w:r>
              <w:rPr>
                <w:b/>
                <w:color w:val="A97C50"/>
                <w:sz w:val="17"/>
              </w:rPr>
              <w:t>REVENUE TEST</w:t>
            </w:r>
          </w:p>
          <w:p>
            <w:pPr>
              <w:spacing w:after="0"/>
            </w:pPr>
            <w:r>
              <w:rPr>
                <w:b/>
                <w:color w:val="12233F"/>
                <w:sz w:val="22"/>
              </w:rPr>
              <w:t>Would VYNE make the same recommendation if the economic result were removed? If not, the conflict must be examined before the recommendation proceeds.</w:t>
            </w:r>
          </w:p>
        </w:tc>
      </w:tr>
    </w:tbl>
    <w:p>
      <w:pPr>
        <w:spacing w:after="20"/>
      </w:pPr>
    </w:p>
    <w:p>
      <w:pPr>
        <w:pStyle w:val="Heading1"/>
        <w:pBdr>
          <w:bottom w:val="single" w:sz="10" w:space="6" w:color="A97C50"/>
        </w:pBdr>
        <w:spacing w:before="320" w:after="160"/>
      </w:pPr>
      <w:r>
        <w:t>Article VI — Evidence, Assumptions and Uncertainty</w:t>
      </w:r>
    </w:p>
    <w:p>
      <w:pPr>
        <w:pStyle w:val="BodyText"/>
        <w:spacing w:after="120" w:line="259" w:lineRule="auto"/>
      </w:pPr>
      <w:r>
        <w:rPr>
          <w:b w:val="0"/>
          <w:i w:val="0"/>
        </w:rPr>
        <w:t>VYNE will not present confidence it has not earned.</w:t>
      </w:r>
    </w:p>
    <w:tbl>
      <w:tblPr>
        <w:tblStyle w:val="TableGrid"/>
        <w:tblW w:type="auto" w:w="0"/>
        <w:jc w:val="center"/>
        <w:tblLayout w:type="autofit"/>
        <w:tblLook w:firstColumn="1" w:firstRow="1" w:lastColumn="0" w:lastRow="0" w:noHBand="0" w:noVBand="1" w:val="04A0"/>
      </w:tblPr>
      <w:tblGrid>
        <w:gridCol w:w="3293"/>
        <w:gridCol w:w="3293"/>
        <w:gridCol w:w="3293"/>
      </w:tblGrid>
      <w:tr>
        <w:tc>
          <w:tcPr>
            <w:tcW w:type="dxa" w:w="3293"/>
            <w:shd w:fill="12233F"/>
            <w:tcMar>
              <w:top w:w="100" w:type="dxa"/>
              <w:start w:w="120" w:type="dxa"/>
              <w:bottom w:w="100" w:type="dxa"/>
              <w:end w:w="120" w:type="dxa"/>
            </w:tcMar>
          </w:tcPr>
          <w:p>
            <w:r>
              <w:rPr>
                <w:b/>
                <w:color w:val="FFFFFF"/>
                <w:sz w:val="16"/>
              </w:rPr>
              <w:t>Classification</w:t>
            </w:r>
          </w:p>
        </w:tc>
        <w:tc>
          <w:tcPr>
            <w:tcW w:type="dxa" w:w="3293"/>
            <w:shd w:fill="12233F"/>
            <w:tcMar>
              <w:top w:w="100" w:type="dxa"/>
              <w:start w:w="120" w:type="dxa"/>
              <w:bottom w:w="100" w:type="dxa"/>
              <w:end w:w="120" w:type="dxa"/>
            </w:tcMar>
          </w:tcPr>
          <w:p>
            <w:r>
              <w:rPr>
                <w:b/>
                <w:color w:val="FFFFFF"/>
                <w:sz w:val="16"/>
              </w:rPr>
              <w:t>Meaning</w:t>
            </w:r>
          </w:p>
        </w:tc>
        <w:tc>
          <w:tcPr>
            <w:tcW w:type="dxa" w:w="3293"/>
            <w:shd w:fill="12233F"/>
            <w:tcMar>
              <w:top w:w="100" w:type="dxa"/>
              <w:start w:w="120" w:type="dxa"/>
              <w:bottom w:w="100" w:type="dxa"/>
              <w:end w:w="120" w:type="dxa"/>
            </w:tcMar>
          </w:tcPr>
          <w:p>
            <w:r>
              <w:rPr>
                <w:b/>
                <w:color w:val="FFFFFF"/>
                <w:sz w:val="16"/>
              </w:rPr>
              <w:t>Required treatment</w:t>
            </w:r>
          </w:p>
        </w:tc>
      </w:tr>
      <w:tr>
        <w:tc>
          <w:tcPr>
            <w:tcW w:type="dxa" w:w="3293"/>
            <w:tcMar>
              <w:top w:w="100" w:type="dxa"/>
              <w:start w:w="120" w:type="dxa"/>
              <w:bottom w:w="100" w:type="dxa"/>
              <w:end w:w="120" w:type="dxa"/>
            </w:tcMar>
            <w:vAlign w:val="top"/>
          </w:tcPr>
          <w:p>
            <w:r>
              <w:rPr>
                <w:sz w:val="16"/>
              </w:rPr>
              <w:t>Verified fact</w:t>
            </w:r>
          </w:p>
        </w:tc>
        <w:tc>
          <w:tcPr>
            <w:tcW w:type="dxa" w:w="3293"/>
            <w:tcMar>
              <w:top w:w="100" w:type="dxa"/>
              <w:start w:w="120" w:type="dxa"/>
              <w:bottom w:w="100" w:type="dxa"/>
              <w:end w:w="120" w:type="dxa"/>
            </w:tcMar>
            <w:vAlign w:val="top"/>
          </w:tcPr>
          <w:p>
            <w:r>
              <w:rPr>
                <w:sz w:val="16"/>
              </w:rPr>
              <w:t>Supported by a reliable, current source or direct documentation.</w:t>
            </w:r>
          </w:p>
        </w:tc>
        <w:tc>
          <w:tcPr>
            <w:tcW w:type="dxa" w:w="3293"/>
            <w:tcMar>
              <w:top w:w="100" w:type="dxa"/>
              <w:start w:w="120" w:type="dxa"/>
              <w:bottom w:w="100" w:type="dxa"/>
              <w:end w:w="120" w:type="dxa"/>
            </w:tcMar>
            <w:vAlign w:val="top"/>
          </w:tcPr>
          <w:p>
            <w:r>
              <w:rPr>
                <w:sz w:val="16"/>
              </w:rPr>
              <w:t>State it clearly and preserve provenance.</w:t>
            </w:r>
          </w:p>
        </w:tc>
      </w:tr>
      <w:tr>
        <w:tc>
          <w:tcPr>
            <w:tcW w:type="dxa" w:w="3293"/>
            <w:tcMar>
              <w:top w:w="100" w:type="dxa"/>
              <w:start w:w="120" w:type="dxa"/>
              <w:bottom w:w="100" w:type="dxa"/>
              <w:end w:w="120" w:type="dxa"/>
            </w:tcMar>
            <w:vAlign w:val="top"/>
          </w:tcPr>
          <w:p>
            <w:r>
              <w:rPr>
                <w:sz w:val="16"/>
              </w:rPr>
              <w:t>Reported fact</w:t>
            </w:r>
          </w:p>
        </w:tc>
        <w:tc>
          <w:tcPr>
            <w:tcW w:type="dxa" w:w="3293"/>
            <w:tcMar>
              <w:top w:w="100" w:type="dxa"/>
              <w:start w:w="120" w:type="dxa"/>
              <w:bottom w:w="100" w:type="dxa"/>
              <w:end w:w="120" w:type="dxa"/>
            </w:tcMar>
            <w:vAlign w:val="top"/>
          </w:tcPr>
          <w:p>
            <w:r>
              <w:rPr>
                <w:sz w:val="16"/>
              </w:rPr>
              <w:t>Provided by a party but not independently verified.</w:t>
            </w:r>
          </w:p>
        </w:tc>
        <w:tc>
          <w:tcPr>
            <w:tcW w:type="dxa" w:w="3293"/>
            <w:tcMar>
              <w:top w:w="100" w:type="dxa"/>
              <w:start w:w="120" w:type="dxa"/>
              <w:bottom w:w="100" w:type="dxa"/>
              <w:end w:w="120" w:type="dxa"/>
            </w:tcMar>
            <w:vAlign w:val="top"/>
          </w:tcPr>
          <w:p>
            <w:r>
              <w:rPr>
                <w:sz w:val="16"/>
              </w:rPr>
              <w:t>Attribute it and avoid presenting it as independently confirmed.</w:t>
            </w:r>
          </w:p>
        </w:tc>
      </w:tr>
      <w:tr>
        <w:tc>
          <w:tcPr>
            <w:tcW w:type="dxa" w:w="3293"/>
            <w:tcMar>
              <w:top w:w="100" w:type="dxa"/>
              <w:start w:w="120" w:type="dxa"/>
              <w:bottom w:w="100" w:type="dxa"/>
              <w:end w:w="120" w:type="dxa"/>
            </w:tcMar>
            <w:vAlign w:val="top"/>
          </w:tcPr>
          <w:p>
            <w:r>
              <w:rPr>
                <w:sz w:val="16"/>
              </w:rPr>
              <w:t>Estimate</w:t>
            </w:r>
          </w:p>
        </w:tc>
        <w:tc>
          <w:tcPr>
            <w:tcW w:type="dxa" w:w="3293"/>
            <w:tcMar>
              <w:top w:w="100" w:type="dxa"/>
              <w:start w:w="120" w:type="dxa"/>
              <w:bottom w:w="100" w:type="dxa"/>
              <w:end w:w="120" w:type="dxa"/>
            </w:tcMar>
            <w:vAlign w:val="top"/>
          </w:tcPr>
          <w:p>
            <w:r>
              <w:rPr>
                <w:sz w:val="16"/>
              </w:rPr>
              <w:t>A calculated or modeled value based on stated inputs.</w:t>
            </w:r>
          </w:p>
        </w:tc>
        <w:tc>
          <w:tcPr>
            <w:tcW w:type="dxa" w:w="3293"/>
            <w:tcMar>
              <w:top w:w="100" w:type="dxa"/>
              <w:start w:w="120" w:type="dxa"/>
              <w:bottom w:w="100" w:type="dxa"/>
              <w:end w:w="120" w:type="dxa"/>
            </w:tcMar>
            <w:vAlign w:val="top"/>
          </w:tcPr>
          <w:p>
            <w:r>
              <w:rPr>
                <w:sz w:val="16"/>
              </w:rPr>
              <w:t>Show material inputs, range and sensitivity.</w:t>
            </w:r>
          </w:p>
        </w:tc>
      </w:tr>
      <w:tr>
        <w:tc>
          <w:tcPr>
            <w:tcW w:type="dxa" w:w="3293"/>
            <w:tcMar>
              <w:top w:w="100" w:type="dxa"/>
              <w:start w:w="120" w:type="dxa"/>
              <w:bottom w:w="100" w:type="dxa"/>
              <w:end w:w="120" w:type="dxa"/>
            </w:tcMar>
            <w:vAlign w:val="top"/>
          </w:tcPr>
          <w:p>
            <w:r>
              <w:rPr>
                <w:sz w:val="16"/>
              </w:rPr>
              <w:t>Inference</w:t>
            </w:r>
          </w:p>
        </w:tc>
        <w:tc>
          <w:tcPr>
            <w:tcW w:type="dxa" w:w="3293"/>
            <w:tcMar>
              <w:top w:w="100" w:type="dxa"/>
              <w:start w:w="120" w:type="dxa"/>
              <w:bottom w:w="100" w:type="dxa"/>
              <w:end w:w="120" w:type="dxa"/>
            </w:tcMar>
            <w:vAlign w:val="top"/>
          </w:tcPr>
          <w:p>
            <w:r>
              <w:rPr>
                <w:sz w:val="16"/>
              </w:rPr>
              <w:t>A reasoned conclusion drawn from available evidence.</w:t>
            </w:r>
          </w:p>
        </w:tc>
        <w:tc>
          <w:tcPr>
            <w:tcW w:type="dxa" w:w="3293"/>
            <w:tcMar>
              <w:top w:w="100" w:type="dxa"/>
              <w:start w:w="120" w:type="dxa"/>
              <w:bottom w:w="100" w:type="dxa"/>
              <w:end w:w="120" w:type="dxa"/>
            </w:tcMar>
            <w:vAlign w:val="top"/>
          </w:tcPr>
          <w:p>
            <w:r>
              <w:rPr>
                <w:sz w:val="16"/>
              </w:rPr>
              <w:t>Label the inference and explain the basis.</w:t>
            </w:r>
          </w:p>
        </w:tc>
      </w:tr>
      <w:tr>
        <w:tc>
          <w:tcPr>
            <w:tcW w:type="dxa" w:w="3293"/>
            <w:tcMar>
              <w:top w:w="100" w:type="dxa"/>
              <w:start w:w="120" w:type="dxa"/>
              <w:bottom w:w="100" w:type="dxa"/>
              <w:end w:w="120" w:type="dxa"/>
            </w:tcMar>
            <w:vAlign w:val="top"/>
          </w:tcPr>
          <w:p>
            <w:r>
              <w:rPr>
                <w:sz w:val="16"/>
              </w:rPr>
              <w:t>Opinion</w:t>
            </w:r>
          </w:p>
        </w:tc>
        <w:tc>
          <w:tcPr>
            <w:tcW w:type="dxa" w:w="3293"/>
            <w:tcMar>
              <w:top w:w="100" w:type="dxa"/>
              <w:start w:w="120" w:type="dxa"/>
              <w:bottom w:w="100" w:type="dxa"/>
              <w:end w:w="120" w:type="dxa"/>
            </w:tcMar>
            <w:vAlign w:val="top"/>
          </w:tcPr>
          <w:p>
            <w:r>
              <w:rPr>
                <w:sz w:val="16"/>
              </w:rPr>
              <w:t>Professional judgment that cannot be proven as fact.</w:t>
            </w:r>
          </w:p>
        </w:tc>
        <w:tc>
          <w:tcPr>
            <w:tcW w:type="dxa" w:w="3293"/>
            <w:tcMar>
              <w:top w:w="100" w:type="dxa"/>
              <w:start w:w="120" w:type="dxa"/>
              <w:bottom w:w="100" w:type="dxa"/>
              <w:end w:w="120" w:type="dxa"/>
            </w:tcMar>
            <w:vAlign w:val="top"/>
          </w:tcPr>
          <w:p>
            <w:r>
              <w:rPr>
                <w:sz w:val="16"/>
              </w:rPr>
              <w:t>Identify it as judgment and explain the trade-off.</w:t>
            </w:r>
          </w:p>
        </w:tc>
      </w:tr>
      <w:tr>
        <w:tc>
          <w:tcPr>
            <w:tcW w:type="dxa" w:w="3293"/>
            <w:tcMar>
              <w:top w:w="100" w:type="dxa"/>
              <w:start w:w="120" w:type="dxa"/>
              <w:bottom w:w="100" w:type="dxa"/>
              <w:end w:w="120" w:type="dxa"/>
            </w:tcMar>
            <w:vAlign w:val="top"/>
          </w:tcPr>
          <w:p>
            <w:r>
              <w:rPr>
                <w:sz w:val="16"/>
              </w:rPr>
              <w:t>Unknown</w:t>
            </w:r>
          </w:p>
        </w:tc>
        <w:tc>
          <w:tcPr>
            <w:tcW w:type="dxa" w:w="3293"/>
            <w:tcMar>
              <w:top w:w="100" w:type="dxa"/>
              <w:start w:w="120" w:type="dxa"/>
              <w:bottom w:w="100" w:type="dxa"/>
              <w:end w:w="120" w:type="dxa"/>
            </w:tcMar>
            <w:vAlign w:val="top"/>
          </w:tcPr>
          <w:p>
            <w:r>
              <w:rPr>
                <w:sz w:val="16"/>
              </w:rPr>
              <w:t>Information that is unavailable, unreliable or unresolved.</w:t>
            </w:r>
          </w:p>
        </w:tc>
        <w:tc>
          <w:tcPr>
            <w:tcW w:type="dxa" w:w="3293"/>
            <w:tcMar>
              <w:top w:w="100" w:type="dxa"/>
              <w:start w:w="120" w:type="dxa"/>
              <w:bottom w:w="100" w:type="dxa"/>
              <w:end w:w="120" w:type="dxa"/>
            </w:tcMar>
            <w:vAlign w:val="top"/>
          </w:tcPr>
          <w:p>
            <w:r>
              <w:rPr>
                <w:sz w:val="16"/>
              </w:rPr>
              <w:t>Keep it visible; do not fill the gap with convenient certainty.</w:t>
            </w:r>
          </w:p>
        </w:tc>
      </w:tr>
    </w:tbl>
    <w:p/>
    <w:p>
      <w:pPr>
        <w:pStyle w:val="BodyText"/>
        <w:spacing w:after="120" w:line="259" w:lineRule="auto"/>
      </w:pPr>
      <w:r>
        <w:rPr>
          <w:b w:val="0"/>
          <w:i w:val="0"/>
        </w:rPr>
        <w:t>A source is not sufficient merely because it is available. Material claims should be assessed for authority, recency, relevance, independence and limitations.</w:t>
      </w:r>
    </w:p>
    <w:p>
      <w:pPr>
        <w:pStyle w:val="Heading1"/>
        <w:pBdr>
          <w:bottom w:val="single" w:sz="10" w:space="6" w:color="A97C50"/>
        </w:pBdr>
        <w:spacing w:before="320" w:after="160"/>
      </w:pPr>
      <w:r>
        <w:t>Article VII — Advisor Autonomy</w:t>
      </w:r>
    </w:p>
    <w:p>
      <w:pPr>
        <w:pStyle w:val="BodyText"/>
        <w:spacing w:after="120" w:line="259" w:lineRule="auto"/>
      </w:pPr>
      <w:r>
        <w:rPr>
          <w:b w:val="0"/>
          <w:i w:val="0"/>
        </w:rPr>
        <w:t>VYNE advises. The advisor decides.</w:t>
      </w:r>
    </w:p>
    <w:p>
      <w:pPr>
        <w:pStyle w:val="BodyText"/>
        <w:spacing w:after="120" w:line="259" w:lineRule="auto"/>
      </w:pPr>
      <w:r>
        <w:rPr>
          <w:b w:val="0"/>
          <w:i w:val="0"/>
        </w:rPr>
        <w:t>The purpose of the process is not to make the advisor dependent on VYNE. It is to make the advisor more capable of understanding and owning the decision.</w:t>
      </w:r>
    </w:p>
    <w:p>
      <w:pPr>
        <w:pStyle w:val="ListBullet"/>
        <w:spacing w:after="60"/>
        <w:ind w:left="360"/>
      </w:pPr>
      <w:r>
        <w:t>The advisor may pause, decline or change direction without being punished by the process.</w:t>
      </w:r>
    </w:p>
    <w:p>
      <w:pPr>
        <w:pStyle w:val="ListBullet"/>
        <w:spacing w:after="60"/>
        <w:ind w:left="360"/>
      </w:pPr>
      <w:r>
        <w:t>VYNE should not use information asymmetry to create compliance.</w:t>
      </w:r>
    </w:p>
    <w:p>
      <w:pPr>
        <w:pStyle w:val="ListBullet"/>
        <w:spacing w:after="60"/>
        <w:ind w:left="360"/>
      </w:pPr>
      <w:r>
        <w:t>Decision aids should reveal reasoning, not conceal it behind proprietary scoring.</w:t>
      </w:r>
    </w:p>
    <w:p>
      <w:pPr>
        <w:pStyle w:val="ListBullet"/>
        <w:spacing w:after="60"/>
        <w:ind w:left="360"/>
      </w:pPr>
      <w:r>
        <w:t>The advisor should understand why an option is being recommended and what evidence could change the conclusion.</w:t>
      </w:r>
    </w:p>
    <w:p>
      <w:pPr>
        <w:pStyle w:val="ListBullet"/>
        <w:spacing w:after="60"/>
        <w:ind w:left="360"/>
      </w:pPr>
      <w:r>
        <w:t>Consent to one step does not imply consent to every future use, introduction or disclosure.</w:t>
      </w:r>
    </w:p>
    <w:p>
      <w:pPr>
        <w:pStyle w:val="Heading1"/>
        <w:pBdr>
          <w:bottom w:val="single" w:sz="10" w:space="6" w:color="A97C50"/>
        </w:pBdr>
        <w:spacing w:before="320" w:after="160"/>
      </w:pPr>
      <w:r>
        <w:t>Article VIII — Confidentiality and Stewardship</w:t>
      </w:r>
    </w:p>
    <w:p>
      <w:pPr>
        <w:pStyle w:val="BodyText"/>
        <w:spacing w:after="120" w:line="259" w:lineRule="auto"/>
      </w:pPr>
      <w:r>
        <w:rPr>
          <w:b w:val="0"/>
          <w:i w:val="0"/>
        </w:rPr>
        <w:t>Confidentiality is not a feature. It is a precondition of trust.</w:t>
      </w:r>
    </w:p>
    <w:p>
      <w:pPr>
        <w:pStyle w:val="BodyText"/>
        <w:spacing w:after="120" w:line="259" w:lineRule="auto"/>
      </w:pPr>
      <w:r>
        <w:rPr>
          <w:b w:val="0"/>
          <w:i w:val="0"/>
        </w:rPr>
        <w:t>VYNE will collect only information that serves a legitimate advisory, operational or legal purpose. Access should be limited to those who need it. Disclosure should follow consent, contract and applicable obligations.</w:t>
      </w:r>
    </w:p>
    <w:p>
      <w:pPr>
        <w:pStyle w:val="BodyText"/>
        <w:spacing w:after="120" w:line="259" w:lineRule="auto"/>
      </w:pPr>
      <w:r>
        <w:rPr>
          <w:b w:val="0"/>
          <w:i w:val="0"/>
        </w:rPr>
        <w:t>The institution must distinguish between owning records and owning relationships. Advisors are not inventory. Recruiters and advisors are not property. VYNE may have contractual rights, economic interests, stewardship responsibilities and protected records; those must be expressed precisely.</w:t>
      </w:r>
    </w:p>
    <w:p>
      <w:pPr>
        <w:pStyle w:val="ListBullet"/>
        <w:spacing w:after="60"/>
        <w:ind w:left="360"/>
      </w:pPr>
      <w:r>
        <w:t>Do not place confidential advisor data in prototypes or unapproved systems.</w:t>
      </w:r>
    </w:p>
    <w:p>
      <w:pPr>
        <w:pStyle w:val="ListBullet"/>
        <w:spacing w:after="60"/>
        <w:ind w:left="360"/>
      </w:pPr>
      <w:r>
        <w:t>Do not disclose identity to a firm without explicit authorization for that disclosure.</w:t>
      </w:r>
    </w:p>
    <w:p>
      <w:pPr>
        <w:pStyle w:val="ListBullet"/>
        <w:spacing w:after="60"/>
        <w:ind w:left="360"/>
      </w:pPr>
      <w:r>
        <w:t>Do not use private advisor information as marketing proof without informed permission and appropriate anonymization.</w:t>
      </w:r>
    </w:p>
    <w:p>
      <w:pPr>
        <w:pStyle w:val="ListBullet"/>
        <w:spacing w:after="60"/>
        <w:ind w:left="360"/>
      </w:pPr>
      <w:r>
        <w:t>Do not retain information indefinitely merely because storage is available.</w:t>
      </w:r>
    </w:p>
    <w:p>
      <w:pPr>
        <w:pStyle w:val="ListBullet"/>
        <w:spacing w:after="60"/>
        <w:ind w:left="360"/>
      </w:pPr>
      <w:r>
        <w:t>Treat access, export, deletion, backup and incident response as governance responsibilities.</w:t>
      </w:r>
    </w:p>
    <w:p>
      <w:pPr>
        <w:pStyle w:val="Heading1"/>
        <w:pBdr>
          <w:bottom w:val="single" w:sz="10" w:space="6" w:color="A97C50"/>
        </w:pBdr>
        <w:spacing w:before="320" w:after="160"/>
      </w:pPr>
      <w:r>
        <w:t>Article IX — Technology and Artificial Intelligence</w:t>
      </w:r>
    </w:p>
    <w:tbl>
      <w:tblPr>
        <w:tblW w:type="auto" w:w="0"/>
        <w:jc w:val="center"/>
        <w:tblLayout w:type="autofit"/>
        <w:tblLook w:firstColumn="1" w:firstRow="1" w:lastColumn="0" w:lastRow="0" w:noHBand="0" w:noVBand="1" w:val="04A0"/>
      </w:tblPr>
      <w:tblGrid>
        <w:gridCol w:w="9878"/>
      </w:tblGrid>
      <w:tr>
        <w:tc>
          <w:tcPr>
            <w:tcW w:type="dxa" w:w="9878"/>
            <w:shd w:fill="F5F1E8"/>
            <w:tcMar>
              <w:top w:w="150" w:type="dxa"/>
              <w:start w:w="180" w:type="dxa"/>
              <w:bottom w:w="150" w:type="dxa"/>
              <w:end w:w="180" w:type="dxa"/>
            </w:tcMar>
          </w:tcPr>
          <w:p>
            <w:r/>
            <w:r>
              <w:rPr>
                <w:b/>
                <w:color w:val="A97C50"/>
                <w:sz w:val="17"/>
              </w:rPr>
              <w:t>PERMANENT RULE</w:t>
            </w:r>
          </w:p>
          <w:p>
            <w:pPr>
              <w:spacing w:after="0"/>
            </w:pPr>
            <w:r>
              <w:rPr>
                <w:b/>
                <w:color w:val="12233F"/>
                <w:sz w:val="22"/>
              </w:rPr>
              <w:t>Agents prepare. Humans decide.</w:t>
            </w:r>
          </w:p>
        </w:tc>
      </w:tr>
    </w:tbl>
    <w:p>
      <w:pPr>
        <w:spacing w:after="20"/>
      </w:pPr>
    </w:p>
    <w:p>
      <w:pPr>
        <w:pStyle w:val="BodyText"/>
        <w:spacing w:after="120" w:line="259" w:lineRule="auto"/>
      </w:pPr>
      <w:r>
        <w:rPr>
          <w:b w:val="0"/>
          <w:i w:val="0"/>
        </w:rPr>
        <w:t>VYNE uses technology to improve analysis, continuity, responsiveness and scale. Technology must never be used to disguise weak judgment or remove accountability.</w:t>
      </w:r>
    </w:p>
    <w:p>
      <w:pPr>
        <w:pStyle w:val="ListBullet"/>
        <w:spacing w:after="60"/>
        <w:ind w:left="360"/>
      </w:pPr>
      <w:r>
        <w:t>Consequential recommendations require accountable human review.</w:t>
      </w:r>
    </w:p>
    <w:p>
      <w:pPr>
        <w:pStyle w:val="ListBullet"/>
        <w:spacing w:after="60"/>
        <w:ind w:left="360"/>
      </w:pPr>
      <w:r>
        <w:t>AI-generated facts, comparisons and calculations require verification appropriate to their importance.</w:t>
      </w:r>
    </w:p>
    <w:p>
      <w:pPr>
        <w:pStyle w:val="ListBullet"/>
        <w:spacing w:after="60"/>
        <w:ind w:left="360"/>
      </w:pPr>
      <w:r>
        <w:t>Automation must not send confidential information, make external commitments or advance an advisor without authorized controls.</w:t>
      </w:r>
    </w:p>
    <w:p>
      <w:pPr>
        <w:pStyle w:val="ListBullet"/>
        <w:spacing w:after="60"/>
        <w:ind w:left="360"/>
      </w:pPr>
      <w:r>
        <w:t>Models must expose material assumptions and limitations.</w:t>
      </w:r>
    </w:p>
    <w:p>
      <w:pPr>
        <w:pStyle w:val="ListBullet"/>
        <w:spacing w:after="60"/>
        <w:ind w:left="360"/>
      </w:pPr>
      <w:r>
        <w:t>The advisor-facing experience should feel more human and clear because of technology—not more mechanical.</w:t>
      </w:r>
    </w:p>
    <w:p>
      <w:pPr>
        <w:pStyle w:val="ListBullet"/>
        <w:spacing w:after="60"/>
        <w:ind w:left="360"/>
      </w:pPr>
      <w:r>
        <w:t>Production systems require security, authentication, role-based access, backups, auditability and incident response before confidential data is permitted.</w:t>
      </w:r>
    </w:p>
    <w:p>
      <w:pPr>
        <w:pStyle w:val="Heading1"/>
        <w:pBdr>
          <w:bottom w:val="single" w:sz="10" w:space="6" w:color="A97C50"/>
        </w:pBdr>
        <w:spacing w:before="320" w:after="160"/>
      </w:pPr>
      <w:r>
        <w:t>Article X — The Advisor Experience</w:t>
      </w:r>
    </w:p>
    <w:p>
      <w:pPr>
        <w:pStyle w:val="BodyText"/>
        <w:spacing w:after="120" w:line="259" w:lineRule="auto"/>
      </w:pPr>
      <w:r>
        <w:rPr>
          <w:b w:val="0"/>
          <w:i w:val="0"/>
        </w:rPr>
        <w:t>The advisor experience should feel calm, rigorous, private and unusually clear.</w:t>
      </w:r>
    </w:p>
    <w:p>
      <w:pPr>
        <w:pStyle w:val="BodyText"/>
        <w:spacing w:after="120" w:line="259" w:lineRule="auto"/>
      </w:pPr>
      <w:r>
        <w:rPr>
          <w:b w:val="0"/>
          <w:i w:val="0"/>
        </w:rPr>
        <w:t>VYNE will not confuse theatrical sophistication with substantive value. An advisor should leave an interaction thinking:</w:t>
      </w:r>
    </w:p>
    <w:tbl>
      <w:tblPr>
        <w:tblW w:type="auto" w:w="0"/>
        <w:jc w:val="center"/>
        <w:tblLayout w:type="autofit"/>
        <w:tblLook w:firstColumn="1" w:firstRow="1" w:lastColumn="0" w:lastRow="0" w:noHBand="0" w:noVBand="1" w:val="04A0"/>
      </w:tblPr>
      <w:tblGrid>
        <w:gridCol w:w="9878"/>
      </w:tblGrid>
      <w:tr>
        <w:tc>
          <w:tcPr>
            <w:tcW w:type="dxa" w:w="9878"/>
            <w:shd w:fill="12233F"/>
            <w:tcMar>
              <w:top w:w="150" w:type="dxa"/>
              <w:start w:w="180" w:type="dxa"/>
              <w:bottom w:w="150" w:type="dxa"/>
              <w:end w:w="180" w:type="dxa"/>
            </w:tcMar>
          </w:tcPr>
          <w:p>
            <w:r/>
            <w:r>
              <w:rPr>
                <w:b/>
                <w:color w:val="FFFFFF"/>
                <w:sz w:val="17"/>
              </w:rPr>
              <w:t>DESIRED EXPERIENCE</w:t>
            </w:r>
          </w:p>
          <w:p>
            <w:pPr>
              <w:spacing w:after="0"/>
            </w:pPr>
            <w:r>
              <w:rPr>
                <w:b/>
                <w:color w:val="FFFFFF"/>
                <w:sz w:val="22"/>
              </w:rPr>
              <w:t>That was the clearest conversation I have had about my business in years.</w:t>
            </w:r>
          </w:p>
        </w:tc>
      </w:tr>
    </w:tbl>
    <w:p>
      <w:pPr>
        <w:spacing w:after="20"/>
      </w:pPr>
    </w:p>
    <w:p>
      <w:pPr>
        <w:pStyle w:val="BodyText"/>
        <w:spacing w:after="120" w:line="259" w:lineRule="auto"/>
      </w:pPr>
      <w:r>
        <w:rPr>
          <w:b w:val="0"/>
          <w:i w:val="0"/>
        </w:rPr>
        <w:t>The experience must therefore:</w:t>
      </w:r>
    </w:p>
    <w:p>
      <w:pPr>
        <w:pStyle w:val="ListBullet"/>
        <w:spacing w:after="60"/>
        <w:ind w:left="360"/>
      </w:pPr>
      <w:r>
        <w:t>Begin with the advisor's question rather than VYNE's pitch.</w:t>
      </w:r>
    </w:p>
    <w:p>
      <w:pPr>
        <w:pStyle w:val="ListBullet"/>
        <w:spacing w:after="60"/>
        <w:ind w:left="360"/>
      </w:pPr>
      <w:r>
        <w:t>Create clarity before requesting commitment.</w:t>
      </w:r>
    </w:p>
    <w:p>
      <w:pPr>
        <w:pStyle w:val="ListBullet"/>
        <w:spacing w:after="60"/>
        <w:ind w:left="360"/>
      </w:pPr>
      <w:r>
        <w:t>Use plain language without oversimplifying the decision.</w:t>
      </w:r>
    </w:p>
    <w:p>
      <w:pPr>
        <w:pStyle w:val="ListBullet"/>
        <w:spacing w:after="60"/>
        <w:ind w:left="360"/>
      </w:pPr>
      <w:r>
        <w:t>Respect emotional, family, team and client realities alongside economics.</w:t>
      </w:r>
    </w:p>
    <w:p>
      <w:pPr>
        <w:pStyle w:val="ListBullet"/>
        <w:spacing w:after="60"/>
        <w:ind w:left="360"/>
      </w:pPr>
      <w:r>
        <w:t>Sequence information so the advisor can absorb and evaluate it.</w:t>
      </w:r>
    </w:p>
    <w:p>
      <w:pPr>
        <w:pStyle w:val="ListBullet"/>
        <w:spacing w:after="60"/>
        <w:ind w:left="360"/>
      </w:pPr>
      <w:r>
        <w:t>End every stage with a clear choice, permission and next step.</w:t>
      </w:r>
    </w:p>
    <w:p>
      <w:pPr>
        <w:pStyle w:val="Heading1"/>
        <w:pBdr>
          <w:bottom w:val="single" w:sz="10" w:space="6" w:color="A97C50"/>
        </w:pBdr>
        <w:spacing w:before="320" w:after="160"/>
      </w:pPr>
      <w:r>
        <w:t>Article XI — The Public Intellectual Architecture</w:t>
      </w:r>
    </w:p>
    <w:p>
      <w:pPr>
        <w:pStyle w:val="BodyText"/>
        <w:spacing w:after="120" w:line="259" w:lineRule="auto"/>
      </w:pPr>
      <w:r>
        <w:rPr>
          <w:b w:val="0"/>
          <w:i w:val="0"/>
        </w:rPr>
        <w:t>VYNE's public intellectual architecture is intentionally limited:</w:t>
      </w:r>
    </w:p>
    <w:tbl>
      <w:tblPr>
        <w:tblW w:type="auto" w:w="0"/>
        <w:jc w:val="center"/>
        <w:tblLayout w:type="autofit"/>
        <w:tblLook w:firstColumn="1" w:firstRow="1" w:lastColumn="0" w:lastRow="0" w:noHBand="0" w:noVBand="1" w:val="04A0"/>
      </w:tblPr>
      <w:tblGrid>
        <w:gridCol w:w="9878"/>
      </w:tblGrid>
      <w:tr>
        <w:tc>
          <w:tcPr>
            <w:tcW w:type="dxa" w:w="9878"/>
            <w:shd w:fill="F5F1E8"/>
            <w:tcMar>
              <w:top w:w="150" w:type="dxa"/>
              <w:start w:w="180" w:type="dxa"/>
              <w:bottom w:w="150" w:type="dxa"/>
              <w:end w:w="180" w:type="dxa"/>
            </w:tcMar>
          </w:tcPr>
          <w:p>
            <w:r/>
            <w:r>
              <w:rPr>
                <w:b/>
                <w:color w:val="A97C50"/>
                <w:sz w:val="17"/>
              </w:rPr>
              <w:t>CANONICAL HIERARCHY</w:t>
            </w:r>
          </w:p>
          <w:p>
            <w:pPr>
              <w:spacing w:after="0"/>
            </w:pPr>
            <w:r>
              <w:rPr>
                <w:b/>
                <w:color w:val="12233F"/>
                <w:sz w:val="22"/>
              </w:rPr>
              <w:t>VYNE → The VYNE Framework → VYNE's 9</w:t>
            </w:r>
          </w:p>
        </w:tc>
      </w:tr>
    </w:tbl>
    <w:p>
      <w:pPr>
        <w:spacing w:after="20"/>
      </w:pPr>
    </w:p>
    <w:p>
      <w:pPr>
        <w:pStyle w:val="BodyText"/>
        <w:spacing w:after="120" w:line="259" w:lineRule="auto"/>
      </w:pPr>
      <w:r>
        <w:rPr>
          <w:b w:val="0"/>
          <w:i w:val="0"/>
        </w:rPr>
        <w:t>ROOT, BRANCH, GROW, the Advisor Journey, CRM stages, scoring logic and recruiter desk workflows may support delivery internally or selectively. They must not compete for public attention or make the firm feel over-engineered.</w:t>
      </w:r>
    </w:p>
    <w:p>
      <w:pPr>
        <w:pStyle w:val="BodyText"/>
        <w:spacing w:after="120" w:line="259" w:lineRule="auto"/>
      </w:pPr>
      <w:r>
        <w:rPr>
          <w:b w:val="0"/>
          <w:i w:val="0"/>
        </w:rPr>
        <w:t>A new framework may be approved only when:</w:t>
      </w:r>
    </w:p>
    <w:p>
      <w:pPr>
        <w:pStyle w:val="ListBullet"/>
        <w:spacing w:after="60"/>
        <w:ind w:left="360"/>
      </w:pPr>
      <w:r>
        <w:t>It solves a distinct problem not already governed by the existing architecture.</w:t>
      </w:r>
    </w:p>
    <w:p>
      <w:pPr>
        <w:pStyle w:val="ListBullet"/>
        <w:spacing w:after="60"/>
        <w:ind w:left="360"/>
      </w:pPr>
      <w:r>
        <w:t>Its logic cannot be expressed clearly inside an existing framework.</w:t>
      </w:r>
    </w:p>
    <w:p>
      <w:pPr>
        <w:pStyle w:val="ListBullet"/>
        <w:spacing w:after="60"/>
        <w:ind w:left="360"/>
      </w:pPr>
      <w:r>
        <w:t>It is teachable, usable and measurable.</w:t>
      </w:r>
    </w:p>
    <w:p>
      <w:pPr>
        <w:pStyle w:val="ListBullet"/>
        <w:spacing w:after="60"/>
        <w:ind w:left="360"/>
      </w:pPr>
      <w:r>
        <w:t>Its name and expression are original and legally reviewable.</w:t>
      </w:r>
    </w:p>
    <w:p>
      <w:pPr>
        <w:pStyle w:val="ListBullet"/>
        <w:spacing w:after="60"/>
        <w:ind w:left="360"/>
      </w:pPr>
      <w:r>
        <w:t>It reduces complexity rather than creating a new layer of explanation.</w:t>
      </w:r>
    </w:p>
    <w:p>
      <w:pPr>
        <w:pStyle w:val="Heading1"/>
        <w:pBdr>
          <w:bottom w:val="single" w:sz="10" w:space="6" w:color="A97C50"/>
        </w:pBdr>
        <w:spacing w:before="320" w:after="160"/>
      </w:pPr>
      <w:r>
        <w:t>Article XII — Authority, Research and AEO</w:t>
      </w:r>
    </w:p>
    <w:p>
      <w:pPr>
        <w:pStyle w:val="BodyText"/>
        <w:spacing w:after="120" w:line="259" w:lineRule="auto"/>
      </w:pPr>
      <w:r>
        <w:rPr>
          <w:b w:val="0"/>
          <w:i w:val="0"/>
        </w:rPr>
        <w:t>VYNE seeks to become the source advisors discover while privately researching consequential decisions.</w:t>
      </w:r>
    </w:p>
    <w:p>
      <w:pPr>
        <w:pStyle w:val="BodyText"/>
        <w:spacing w:after="120" w:line="259" w:lineRule="auto"/>
      </w:pPr>
      <w:r>
        <w:rPr>
          <w:b w:val="0"/>
          <w:i w:val="0"/>
        </w:rPr>
        <w:t>AEO is a core acquisition engine. Trust is the strategy. A confidential, qualified relationship is the intended result.</w:t>
      </w:r>
    </w:p>
    <w:p>
      <w:pPr>
        <w:pStyle w:val="BodyText"/>
        <w:spacing w:after="120" w:line="259" w:lineRule="auto"/>
      </w:pPr>
      <w:r>
        <w:rPr>
          <w:b w:val="0"/>
          <w:i w:val="0"/>
        </w:rPr>
        <w:t>Authority is earned through usefulness, originality, evidence and consistency—not through volume alone.</w:t>
      </w:r>
    </w:p>
    <w:p>
      <w:pPr>
        <w:pStyle w:val="ListBullet"/>
        <w:spacing w:after="60"/>
        <w:ind w:left="360"/>
      </w:pPr>
      <w:r>
        <w:t>Publish answers to real advisor questions, not generic keyword content.</w:t>
      </w:r>
    </w:p>
    <w:p>
      <w:pPr>
        <w:pStyle w:val="ListBullet"/>
        <w:spacing w:after="60"/>
        <w:ind w:left="360"/>
      </w:pPr>
      <w:r>
        <w:t>Create original research where VYNE can contribute a credible view.</w:t>
      </w:r>
    </w:p>
    <w:p>
      <w:pPr>
        <w:pStyle w:val="ListBullet"/>
        <w:spacing w:after="60"/>
        <w:ind w:left="360"/>
      </w:pPr>
      <w:r>
        <w:t>Make material claims traceable to sources and dates.</w:t>
      </w:r>
    </w:p>
    <w:p>
      <w:pPr>
        <w:pStyle w:val="ListBullet"/>
        <w:spacing w:after="60"/>
        <w:ind w:left="360"/>
      </w:pPr>
      <w:r>
        <w:t>Separate education from solicitation.</w:t>
      </w:r>
    </w:p>
    <w:p>
      <w:pPr>
        <w:pStyle w:val="ListBullet"/>
        <w:spacing w:after="60"/>
        <w:ind w:left="360"/>
      </w:pPr>
      <w:r>
        <w:t>Design every conversion step as earned permission.</w:t>
      </w:r>
    </w:p>
    <w:p>
      <w:pPr>
        <w:pStyle w:val="ListBullet"/>
        <w:spacing w:after="60"/>
        <w:ind w:left="360"/>
      </w:pPr>
      <w:r>
        <w:t>Optimize for decision usefulness and qualified trust, not raw traffic.</w:t>
      </w:r>
    </w:p>
    <w:p>
      <w:pPr>
        <w:pStyle w:val="Heading1"/>
        <w:pBdr>
          <w:bottom w:val="single" w:sz="10" w:space="6" w:color="A97C50"/>
        </w:pBdr>
        <w:spacing w:before="320" w:after="160"/>
      </w:pPr>
      <w:r>
        <w:t>Article XIII — Commercial Discipline</w:t>
      </w:r>
    </w:p>
    <w:p>
      <w:pPr>
        <w:pStyle w:val="BodyText"/>
        <w:spacing w:after="120" w:line="259" w:lineRule="auto"/>
      </w:pPr>
      <w:r>
        <w:rPr>
          <w:b w:val="0"/>
          <w:i w:val="0"/>
        </w:rPr>
        <w:t>A mission without economic discipline becomes fragile. Economics must support the institution without governing its judgment.</w:t>
      </w:r>
    </w:p>
    <w:p>
      <w:pPr>
        <w:pStyle w:val="BodyText"/>
        <w:spacing w:after="120" w:line="259" w:lineRule="auto"/>
      </w:pPr>
      <w:r>
        <w:rPr>
          <w:b w:val="0"/>
          <w:i w:val="0"/>
        </w:rPr>
        <w:t>VYNE will:</w:t>
      </w:r>
    </w:p>
    <w:p>
      <w:pPr>
        <w:pStyle w:val="ListBullet"/>
        <w:spacing w:after="60"/>
        <w:ind w:left="360"/>
      </w:pPr>
      <w:r>
        <w:t>Price services and relationships in a way that supports high-quality work.</w:t>
      </w:r>
    </w:p>
    <w:p>
      <w:pPr>
        <w:pStyle w:val="ListBullet"/>
        <w:spacing w:after="60"/>
        <w:ind w:left="360"/>
      </w:pPr>
      <w:r>
        <w:t>Model cash flow, collection timing, step-ups, clawbacks and concentration risk honestly.</w:t>
      </w:r>
    </w:p>
    <w:p>
      <w:pPr>
        <w:pStyle w:val="ListBullet"/>
        <w:spacing w:after="60"/>
        <w:ind w:left="360"/>
      </w:pPr>
      <w:r>
        <w:t>Avoid compensation structures that reward behavior inconsistent with advisor trust.</w:t>
      </w:r>
    </w:p>
    <w:p>
      <w:pPr>
        <w:pStyle w:val="ListBullet"/>
        <w:spacing w:after="60"/>
        <w:ind w:left="360"/>
      </w:pPr>
      <w:r>
        <w:t>Distinguish booked revenue, collected cash and contingent economics.</w:t>
      </w:r>
    </w:p>
    <w:p>
      <w:pPr>
        <w:pStyle w:val="ListBullet"/>
        <w:spacing w:after="60"/>
        <w:ind w:left="360"/>
      </w:pPr>
      <w:r>
        <w:t>Maintain reserves appropriate to contractual and operational risk.</w:t>
      </w:r>
    </w:p>
    <w:p>
      <w:pPr>
        <w:pStyle w:val="ListBullet"/>
        <w:spacing w:after="60"/>
        <w:ind w:left="360"/>
      </w:pPr>
      <w:r>
        <w:t>Decline revenue that requires the institution to become something it has rejected.</w:t>
      </w:r>
    </w:p>
    <w:p>
      <w:pPr>
        <w:pStyle w:val="Heading1"/>
        <w:pBdr>
          <w:bottom w:val="single" w:sz="10" w:space="6" w:color="A97C50"/>
        </w:pBdr>
        <w:spacing w:before="320" w:after="160"/>
      </w:pPr>
      <w:r>
        <w:t>Article XIV — People and Leadership</w:t>
      </w:r>
    </w:p>
    <w:p>
      <w:pPr>
        <w:pStyle w:val="BodyText"/>
        <w:spacing w:after="120" w:line="259" w:lineRule="auto"/>
      </w:pPr>
      <w:r>
        <w:rPr>
          <w:b w:val="0"/>
          <w:i w:val="0"/>
        </w:rPr>
        <w:t>Future leaders do not inherit permission to redefine VYNE around their personal style. They inherit responsibility to understand, protect and improve the institution.</w:t>
      </w:r>
    </w:p>
    <w:p>
      <w:pPr>
        <w:pStyle w:val="BodyText"/>
        <w:spacing w:after="120" w:line="259" w:lineRule="auto"/>
      </w:pPr>
      <w:r>
        <w:rPr>
          <w:b w:val="0"/>
          <w:i w:val="0"/>
        </w:rPr>
        <w:t>Every person representing VYNE must be evaluated not only by output, but by how the output is produced.</w:t>
      </w:r>
    </w:p>
    <w:tbl>
      <w:tblPr>
        <w:tblStyle w:val="TableGrid"/>
        <w:tblW w:type="auto" w:w="0"/>
        <w:jc w:val="center"/>
        <w:tblLayout w:type="autofit"/>
        <w:tblLook w:firstColumn="1" w:firstRow="1" w:lastColumn="0" w:lastRow="0" w:noHBand="0" w:noVBand="1" w:val="04A0"/>
      </w:tblPr>
      <w:tblGrid>
        <w:gridCol w:w="4939"/>
        <w:gridCol w:w="4939"/>
      </w:tblGrid>
      <w:tr>
        <w:tc>
          <w:tcPr>
            <w:tcW w:type="dxa" w:w="4939"/>
            <w:shd w:fill="12233F"/>
            <w:tcMar>
              <w:top w:w="100" w:type="dxa"/>
              <w:start w:w="120" w:type="dxa"/>
              <w:bottom w:w="100" w:type="dxa"/>
              <w:end w:w="120" w:type="dxa"/>
            </w:tcMar>
          </w:tcPr>
          <w:p>
            <w:r>
              <w:rPr>
                <w:b/>
                <w:color w:val="FFFFFF"/>
                <w:sz w:val="17"/>
              </w:rPr>
              <w:t>Leadership quality</w:t>
            </w:r>
          </w:p>
        </w:tc>
        <w:tc>
          <w:tcPr>
            <w:tcW w:type="dxa" w:w="4939"/>
            <w:shd w:fill="12233F"/>
            <w:tcMar>
              <w:top w:w="100" w:type="dxa"/>
              <w:start w:w="120" w:type="dxa"/>
              <w:bottom w:w="100" w:type="dxa"/>
              <w:end w:w="120" w:type="dxa"/>
            </w:tcMar>
          </w:tcPr>
          <w:p>
            <w:r>
              <w:rPr>
                <w:b/>
                <w:color w:val="FFFFFF"/>
                <w:sz w:val="17"/>
              </w:rPr>
              <w:t>Observable standard</w:t>
            </w:r>
          </w:p>
        </w:tc>
      </w:tr>
      <w:tr>
        <w:tc>
          <w:tcPr>
            <w:tcW w:type="dxa" w:w="4939"/>
            <w:tcMar>
              <w:top w:w="100" w:type="dxa"/>
              <w:start w:w="120" w:type="dxa"/>
              <w:bottom w:w="100" w:type="dxa"/>
              <w:end w:w="120" w:type="dxa"/>
            </w:tcMar>
            <w:vAlign w:val="top"/>
          </w:tcPr>
          <w:p>
            <w:r>
              <w:rPr>
                <w:sz w:val="17"/>
              </w:rPr>
              <w:t>Judgment</w:t>
            </w:r>
          </w:p>
        </w:tc>
        <w:tc>
          <w:tcPr>
            <w:tcW w:type="dxa" w:w="4939"/>
            <w:tcMar>
              <w:top w:w="100" w:type="dxa"/>
              <w:start w:w="120" w:type="dxa"/>
              <w:bottom w:w="100" w:type="dxa"/>
              <w:end w:w="120" w:type="dxa"/>
            </w:tcMar>
            <w:vAlign w:val="top"/>
          </w:tcPr>
          <w:p>
            <w:r>
              <w:rPr>
                <w:sz w:val="17"/>
              </w:rPr>
              <w:t>Can distinguish urgency from importance and evidence from assertion.</w:t>
            </w:r>
          </w:p>
        </w:tc>
      </w:tr>
      <w:tr>
        <w:tc>
          <w:tcPr>
            <w:tcW w:type="dxa" w:w="4939"/>
            <w:tcMar>
              <w:top w:w="100" w:type="dxa"/>
              <w:start w:w="120" w:type="dxa"/>
              <w:bottom w:w="100" w:type="dxa"/>
              <w:end w:w="120" w:type="dxa"/>
            </w:tcMar>
            <w:vAlign w:val="top"/>
          </w:tcPr>
          <w:p>
            <w:r>
              <w:rPr>
                <w:sz w:val="17"/>
              </w:rPr>
              <w:t>Stewardship</w:t>
            </w:r>
          </w:p>
        </w:tc>
        <w:tc>
          <w:tcPr>
            <w:tcW w:type="dxa" w:w="4939"/>
            <w:tcMar>
              <w:top w:w="100" w:type="dxa"/>
              <w:start w:w="120" w:type="dxa"/>
              <w:bottom w:w="100" w:type="dxa"/>
              <w:end w:w="120" w:type="dxa"/>
            </w:tcMar>
            <w:vAlign w:val="top"/>
          </w:tcPr>
          <w:p>
            <w:r>
              <w:rPr>
                <w:sz w:val="17"/>
              </w:rPr>
              <w:t>Treats relationships, information and reputation as entrusted assets.</w:t>
            </w:r>
          </w:p>
        </w:tc>
      </w:tr>
      <w:tr>
        <w:tc>
          <w:tcPr>
            <w:tcW w:type="dxa" w:w="4939"/>
            <w:tcMar>
              <w:top w:w="100" w:type="dxa"/>
              <w:start w:w="120" w:type="dxa"/>
              <w:bottom w:w="100" w:type="dxa"/>
              <w:end w:w="120" w:type="dxa"/>
            </w:tcMar>
            <w:vAlign w:val="top"/>
          </w:tcPr>
          <w:p>
            <w:r>
              <w:rPr>
                <w:sz w:val="17"/>
              </w:rPr>
              <w:t>Candor</w:t>
            </w:r>
          </w:p>
        </w:tc>
        <w:tc>
          <w:tcPr>
            <w:tcW w:type="dxa" w:w="4939"/>
            <w:tcMar>
              <w:top w:w="100" w:type="dxa"/>
              <w:start w:w="120" w:type="dxa"/>
              <w:bottom w:w="100" w:type="dxa"/>
              <w:end w:w="120" w:type="dxa"/>
            </w:tcMar>
            <w:vAlign w:val="top"/>
          </w:tcPr>
          <w:p>
            <w:r>
              <w:rPr>
                <w:sz w:val="17"/>
              </w:rPr>
              <w:t>Surfaces bad news, uncertainty and disagreement early.</w:t>
            </w:r>
          </w:p>
        </w:tc>
      </w:tr>
      <w:tr>
        <w:tc>
          <w:tcPr>
            <w:tcW w:type="dxa" w:w="4939"/>
            <w:tcMar>
              <w:top w:w="100" w:type="dxa"/>
              <w:start w:w="120" w:type="dxa"/>
              <w:bottom w:w="100" w:type="dxa"/>
              <w:end w:w="120" w:type="dxa"/>
            </w:tcMar>
            <w:vAlign w:val="top"/>
          </w:tcPr>
          <w:p>
            <w:r>
              <w:rPr>
                <w:sz w:val="17"/>
              </w:rPr>
              <w:t>Craft</w:t>
            </w:r>
          </w:p>
        </w:tc>
        <w:tc>
          <w:tcPr>
            <w:tcW w:type="dxa" w:w="4939"/>
            <w:tcMar>
              <w:top w:w="100" w:type="dxa"/>
              <w:start w:w="120" w:type="dxa"/>
              <w:bottom w:w="100" w:type="dxa"/>
              <w:end w:w="120" w:type="dxa"/>
            </w:tcMar>
            <w:vAlign w:val="top"/>
          </w:tcPr>
          <w:p>
            <w:r>
              <w:rPr>
                <w:sz w:val="17"/>
              </w:rPr>
              <w:t>Produces work worthy of the decision's importance.</w:t>
            </w:r>
          </w:p>
        </w:tc>
      </w:tr>
      <w:tr>
        <w:tc>
          <w:tcPr>
            <w:tcW w:type="dxa" w:w="4939"/>
            <w:tcMar>
              <w:top w:w="100" w:type="dxa"/>
              <w:start w:w="120" w:type="dxa"/>
              <w:bottom w:w="100" w:type="dxa"/>
              <w:end w:w="120" w:type="dxa"/>
            </w:tcMar>
            <w:vAlign w:val="top"/>
          </w:tcPr>
          <w:p>
            <w:r>
              <w:rPr>
                <w:sz w:val="17"/>
              </w:rPr>
              <w:t>Restraint</w:t>
            </w:r>
          </w:p>
        </w:tc>
        <w:tc>
          <w:tcPr>
            <w:tcW w:type="dxa" w:w="4939"/>
            <w:tcMar>
              <w:top w:w="100" w:type="dxa"/>
              <w:start w:w="120" w:type="dxa"/>
              <w:bottom w:w="100" w:type="dxa"/>
              <w:end w:w="120" w:type="dxa"/>
            </w:tcMar>
            <w:vAlign w:val="top"/>
          </w:tcPr>
          <w:p>
            <w:r>
              <w:rPr>
                <w:sz w:val="17"/>
              </w:rPr>
              <w:t>Does not overclaim, oversell or create unnecessary complexity.</w:t>
            </w:r>
          </w:p>
        </w:tc>
      </w:tr>
      <w:tr>
        <w:tc>
          <w:tcPr>
            <w:tcW w:type="dxa" w:w="4939"/>
            <w:tcMar>
              <w:top w:w="100" w:type="dxa"/>
              <w:start w:w="120" w:type="dxa"/>
              <w:bottom w:w="100" w:type="dxa"/>
              <w:end w:w="120" w:type="dxa"/>
            </w:tcMar>
            <w:vAlign w:val="top"/>
          </w:tcPr>
          <w:p>
            <w:r>
              <w:rPr>
                <w:sz w:val="17"/>
              </w:rPr>
              <w:t>Learning</w:t>
            </w:r>
          </w:p>
        </w:tc>
        <w:tc>
          <w:tcPr>
            <w:tcW w:type="dxa" w:w="4939"/>
            <w:tcMar>
              <w:top w:w="100" w:type="dxa"/>
              <w:start w:w="120" w:type="dxa"/>
              <w:bottom w:w="100" w:type="dxa"/>
              <w:end w:w="120" w:type="dxa"/>
            </w:tcMar>
            <w:vAlign w:val="top"/>
          </w:tcPr>
          <w:p>
            <w:r>
              <w:rPr>
                <w:sz w:val="17"/>
              </w:rPr>
              <w:t>Uses mistakes and outcomes to improve the operating system.</w:t>
            </w:r>
          </w:p>
        </w:tc>
      </w:tr>
    </w:tbl>
    <w:p/>
    <w:p>
      <w:pPr>
        <w:pStyle w:val="Heading1"/>
        <w:pBdr>
          <w:bottom w:val="single" w:sz="10" w:space="6" w:color="A97C50"/>
        </w:pBdr>
        <w:spacing w:before="320" w:after="160"/>
      </w:pPr>
      <w:r>
        <w:t>Article XV — What VYNE Refuses to Become</w:t>
      </w:r>
    </w:p>
    <w:p>
      <w:pPr>
        <w:pStyle w:val="ListBullet"/>
        <w:spacing w:after="60"/>
        <w:ind w:left="360"/>
      </w:pPr>
      <w:r>
        <w:t>A firm that recommends movement because movement pays.</w:t>
      </w:r>
    </w:p>
    <w:p>
      <w:pPr>
        <w:pStyle w:val="ListBullet"/>
        <w:spacing w:after="60"/>
        <w:ind w:left="360"/>
      </w:pPr>
      <w:r>
        <w:t>A content factory that confuses visibility with authority.</w:t>
      </w:r>
    </w:p>
    <w:p>
      <w:pPr>
        <w:pStyle w:val="ListBullet"/>
        <w:spacing w:after="60"/>
        <w:ind w:left="360"/>
      </w:pPr>
      <w:r>
        <w:t>A software company wearing an advisory brand.</w:t>
      </w:r>
    </w:p>
    <w:p>
      <w:pPr>
        <w:pStyle w:val="ListBullet"/>
        <w:spacing w:after="60"/>
        <w:ind w:left="360"/>
      </w:pPr>
      <w:r>
        <w:t>A collection of clever frameworks without a coherent center.</w:t>
      </w:r>
    </w:p>
    <w:p>
      <w:pPr>
        <w:pStyle w:val="ListBullet"/>
        <w:spacing w:after="60"/>
        <w:ind w:left="360"/>
      </w:pPr>
      <w:r>
        <w:t>A high-pressure recruiting culture disguised as independence.</w:t>
      </w:r>
    </w:p>
    <w:p>
      <w:pPr>
        <w:pStyle w:val="ListBullet"/>
        <w:spacing w:after="60"/>
        <w:ind w:left="360"/>
      </w:pPr>
      <w:r>
        <w:t>A firm that claims certainty where the evidence is incomplete.</w:t>
      </w:r>
    </w:p>
    <w:p>
      <w:pPr>
        <w:pStyle w:val="ListBullet"/>
        <w:spacing w:after="60"/>
        <w:ind w:left="360"/>
      </w:pPr>
      <w:r>
        <w:t>A platform that treats advisors as records to be owned.</w:t>
      </w:r>
    </w:p>
    <w:p>
      <w:pPr>
        <w:pStyle w:val="ListBullet"/>
        <w:spacing w:after="60"/>
        <w:ind w:left="360"/>
      </w:pPr>
      <w:r>
        <w:t>An institution whose standards weaken as revenue grows.</w:t>
      </w:r>
    </w:p>
    <w:p>
      <w:pPr>
        <w:pStyle w:val="Heading1"/>
        <w:pBdr>
          <w:bottom w:val="single" w:sz="10" w:space="6" w:color="A97C50"/>
        </w:pBdr>
        <w:spacing w:before="320" w:after="160"/>
      </w:pPr>
      <w:r>
        <w:t>Article XVI — Difficult Decisions</w:t>
      </w:r>
    </w:p>
    <w:p>
      <w:pPr>
        <w:pStyle w:val="BodyText"/>
        <w:spacing w:after="120" w:line="259" w:lineRule="auto"/>
      </w:pPr>
      <w:r>
        <w:rPr>
          <w:b w:val="0"/>
          <w:i w:val="0"/>
        </w:rPr>
        <w:t>The Constitution matters most when principles compete. The following order governs difficult decisions:</w:t>
      </w:r>
    </w:p>
    <w:tbl>
      <w:tblPr>
        <w:tblStyle w:val="TableGrid"/>
        <w:tblW w:type="auto" w:w="0"/>
        <w:jc w:val="center"/>
        <w:tblLayout w:type="autofit"/>
        <w:tblLook w:firstColumn="1" w:firstRow="1" w:lastColumn="0" w:lastRow="0" w:noHBand="0" w:noVBand="1" w:val="04A0"/>
      </w:tblPr>
      <w:tblGrid>
        <w:gridCol w:w="3293"/>
        <w:gridCol w:w="3293"/>
        <w:gridCol w:w="3293"/>
      </w:tblGrid>
      <w:tr>
        <w:tc>
          <w:tcPr>
            <w:tcW w:type="dxa" w:w="3293"/>
            <w:shd w:fill="12233F"/>
            <w:tcMar>
              <w:top w:w="100" w:type="dxa"/>
              <w:start w:w="120" w:type="dxa"/>
              <w:bottom w:w="100" w:type="dxa"/>
              <w:end w:w="120" w:type="dxa"/>
            </w:tcMar>
          </w:tcPr>
          <w:p>
            <w:r>
              <w:rPr>
                <w:b/>
                <w:color w:val="FFFFFF"/>
                <w:sz w:val="16"/>
              </w:rPr>
              <w:t>Priority</w:t>
            </w:r>
          </w:p>
        </w:tc>
        <w:tc>
          <w:tcPr>
            <w:tcW w:type="dxa" w:w="3293"/>
            <w:shd w:fill="12233F"/>
            <w:tcMar>
              <w:top w:w="100" w:type="dxa"/>
              <w:start w:w="120" w:type="dxa"/>
              <w:bottom w:w="100" w:type="dxa"/>
              <w:end w:w="120" w:type="dxa"/>
            </w:tcMar>
          </w:tcPr>
          <w:p>
            <w:r>
              <w:rPr>
                <w:b/>
                <w:color w:val="FFFFFF"/>
                <w:sz w:val="16"/>
              </w:rPr>
              <w:t>Governing interest</w:t>
            </w:r>
          </w:p>
        </w:tc>
        <w:tc>
          <w:tcPr>
            <w:tcW w:type="dxa" w:w="3293"/>
            <w:shd w:fill="12233F"/>
            <w:tcMar>
              <w:top w:w="100" w:type="dxa"/>
              <w:start w:w="120" w:type="dxa"/>
              <w:bottom w:w="100" w:type="dxa"/>
              <w:end w:w="120" w:type="dxa"/>
            </w:tcMar>
          </w:tcPr>
          <w:p>
            <w:r>
              <w:rPr>
                <w:b/>
                <w:color w:val="FFFFFF"/>
                <w:sz w:val="16"/>
              </w:rPr>
              <w:t>Application</w:t>
            </w:r>
          </w:p>
        </w:tc>
      </w:tr>
      <w:tr>
        <w:tc>
          <w:tcPr>
            <w:tcW w:type="dxa" w:w="3293"/>
            <w:tcMar>
              <w:top w:w="100" w:type="dxa"/>
              <w:start w:w="120" w:type="dxa"/>
              <w:bottom w:w="100" w:type="dxa"/>
              <w:end w:w="120" w:type="dxa"/>
            </w:tcMar>
            <w:vAlign w:val="top"/>
          </w:tcPr>
          <w:p>
            <w:r>
              <w:rPr>
                <w:sz w:val="16"/>
              </w:rPr>
              <w:t>1</w:t>
            </w:r>
          </w:p>
        </w:tc>
        <w:tc>
          <w:tcPr>
            <w:tcW w:type="dxa" w:w="3293"/>
            <w:tcMar>
              <w:top w:w="100" w:type="dxa"/>
              <w:start w:w="120" w:type="dxa"/>
              <w:bottom w:w="100" w:type="dxa"/>
              <w:end w:w="120" w:type="dxa"/>
            </w:tcMar>
            <w:vAlign w:val="top"/>
          </w:tcPr>
          <w:p>
            <w:r>
              <w:rPr>
                <w:sz w:val="16"/>
              </w:rPr>
              <w:t>Law, safety and explicit obligation</w:t>
            </w:r>
          </w:p>
        </w:tc>
        <w:tc>
          <w:tcPr>
            <w:tcW w:type="dxa" w:w="3293"/>
            <w:tcMar>
              <w:top w:w="100" w:type="dxa"/>
              <w:start w:w="120" w:type="dxa"/>
              <w:bottom w:w="100" w:type="dxa"/>
              <w:end w:w="120" w:type="dxa"/>
            </w:tcMar>
            <w:vAlign w:val="top"/>
          </w:tcPr>
          <w:p>
            <w:r>
              <w:rPr>
                <w:sz w:val="16"/>
              </w:rPr>
              <w:t>Do not proceed through unlawful, unsafe or knowingly deceptive conduct.</w:t>
            </w:r>
          </w:p>
        </w:tc>
      </w:tr>
      <w:tr>
        <w:tc>
          <w:tcPr>
            <w:tcW w:type="dxa" w:w="3293"/>
            <w:tcMar>
              <w:top w:w="100" w:type="dxa"/>
              <w:start w:w="120" w:type="dxa"/>
              <w:bottom w:w="100" w:type="dxa"/>
              <w:end w:w="120" w:type="dxa"/>
            </w:tcMar>
            <w:vAlign w:val="top"/>
          </w:tcPr>
          <w:p>
            <w:r>
              <w:rPr>
                <w:sz w:val="16"/>
              </w:rPr>
              <w:t>2</w:t>
            </w:r>
          </w:p>
        </w:tc>
        <w:tc>
          <w:tcPr>
            <w:tcW w:type="dxa" w:w="3293"/>
            <w:tcMar>
              <w:top w:w="100" w:type="dxa"/>
              <w:start w:w="120" w:type="dxa"/>
              <w:bottom w:w="100" w:type="dxa"/>
              <w:end w:w="120" w:type="dxa"/>
            </w:tcMar>
            <w:vAlign w:val="top"/>
          </w:tcPr>
          <w:p>
            <w:r>
              <w:rPr>
                <w:sz w:val="16"/>
              </w:rPr>
              <w:t>Advisor interests and informed autonomy</w:t>
            </w:r>
          </w:p>
        </w:tc>
        <w:tc>
          <w:tcPr>
            <w:tcW w:type="dxa" w:w="3293"/>
            <w:tcMar>
              <w:top w:w="100" w:type="dxa"/>
              <w:start w:w="120" w:type="dxa"/>
              <w:bottom w:w="100" w:type="dxa"/>
              <w:end w:w="120" w:type="dxa"/>
            </w:tcMar>
            <w:vAlign w:val="top"/>
          </w:tcPr>
          <w:p>
            <w:r>
              <w:rPr>
                <w:sz w:val="16"/>
              </w:rPr>
              <w:t>Protect the advisor's ability to understand and own the decision.</w:t>
            </w:r>
          </w:p>
        </w:tc>
      </w:tr>
      <w:tr>
        <w:tc>
          <w:tcPr>
            <w:tcW w:type="dxa" w:w="3293"/>
            <w:tcMar>
              <w:top w:w="100" w:type="dxa"/>
              <w:start w:w="120" w:type="dxa"/>
              <w:bottom w:w="100" w:type="dxa"/>
              <w:end w:w="120" w:type="dxa"/>
            </w:tcMar>
            <w:vAlign w:val="top"/>
          </w:tcPr>
          <w:p>
            <w:r>
              <w:rPr>
                <w:sz w:val="16"/>
              </w:rPr>
              <w:t>3</w:t>
            </w:r>
          </w:p>
        </w:tc>
        <w:tc>
          <w:tcPr>
            <w:tcW w:type="dxa" w:w="3293"/>
            <w:tcMar>
              <w:top w:w="100" w:type="dxa"/>
              <w:start w:w="120" w:type="dxa"/>
              <w:bottom w:w="100" w:type="dxa"/>
              <w:end w:w="120" w:type="dxa"/>
            </w:tcMar>
            <w:vAlign w:val="top"/>
          </w:tcPr>
          <w:p>
            <w:r>
              <w:rPr>
                <w:sz w:val="16"/>
              </w:rPr>
              <w:t>Truth, evidence and confidentiality</w:t>
            </w:r>
          </w:p>
        </w:tc>
        <w:tc>
          <w:tcPr>
            <w:tcW w:type="dxa" w:w="3293"/>
            <w:tcMar>
              <w:top w:w="100" w:type="dxa"/>
              <w:start w:w="120" w:type="dxa"/>
              <w:bottom w:w="100" w:type="dxa"/>
              <w:end w:w="120" w:type="dxa"/>
            </w:tcMar>
            <w:vAlign w:val="top"/>
          </w:tcPr>
          <w:p>
            <w:r>
              <w:rPr>
                <w:sz w:val="16"/>
              </w:rPr>
              <w:t>Do not distort, conceal or misuse material information.</w:t>
            </w:r>
          </w:p>
        </w:tc>
      </w:tr>
      <w:tr>
        <w:tc>
          <w:tcPr>
            <w:tcW w:type="dxa" w:w="3293"/>
            <w:tcMar>
              <w:top w:w="100" w:type="dxa"/>
              <w:start w:w="120" w:type="dxa"/>
              <w:bottom w:w="100" w:type="dxa"/>
              <w:end w:w="120" w:type="dxa"/>
            </w:tcMar>
            <w:vAlign w:val="top"/>
          </w:tcPr>
          <w:p>
            <w:r>
              <w:rPr>
                <w:sz w:val="16"/>
              </w:rPr>
              <w:t>4</w:t>
            </w:r>
          </w:p>
        </w:tc>
        <w:tc>
          <w:tcPr>
            <w:tcW w:type="dxa" w:w="3293"/>
            <w:tcMar>
              <w:top w:w="100" w:type="dxa"/>
              <w:start w:w="120" w:type="dxa"/>
              <w:bottom w:w="100" w:type="dxa"/>
              <w:end w:w="120" w:type="dxa"/>
            </w:tcMar>
            <w:vAlign w:val="top"/>
          </w:tcPr>
          <w:p>
            <w:r>
              <w:rPr>
                <w:sz w:val="16"/>
              </w:rPr>
              <w:t>Institutional reputation and durability</w:t>
            </w:r>
          </w:p>
        </w:tc>
        <w:tc>
          <w:tcPr>
            <w:tcW w:type="dxa" w:w="3293"/>
            <w:tcMar>
              <w:top w:w="100" w:type="dxa"/>
              <w:start w:w="120" w:type="dxa"/>
              <w:bottom w:w="100" w:type="dxa"/>
              <w:end w:w="120" w:type="dxa"/>
            </w:tcMar>
            <w:vAlign w:val="top"/>
          </w:tcPr>
          <w:p>
            <w:r>
              <w:rPr>
                <w:sz w:val="16"/>
              </w:rPr>
              <w:t>Choose the path VYNE can defend after the immediate opportunity has passed.</w:t>
            </w:r>
          </w:p>
        </w:tc>
      </w:tr>
      <w:tr>
        <w:tc>
          <w:tcPr>
            <w:tcW w:type="dxa" w:w="3293"/>
            <w:tcMar>
              <w:top w:w="100" w:type="dxa"/>
              <w:start w:w="120" w:type="dxa"/>
              <w:bottom w:w="100" w:type="dxa"/>
              <w:end w:w="120" w:type="dxa"/>
            </w:tcMar>
            <w:vAlign w:val="top"/>
          </w:tcPr>
          <w:p>
            <w:r>
              <w:rPr>
                <w:sz w:val="16"/>
              </w:rPr>
              <w:t>5</w:t>
            </w:r>
          </w:p>
        </w:tc>
        <w:tc>
          <w:tcPr>
            <w:tcW w:type="dxa" w:w="3293"/>
            <w:tcMar>
              <w:top w:w="100" w:type="dxa"/>
              <w:start w:w="120" w:type="dxa"/>
              <w:bottom w:w="100" w:type="dxa"/>
              <w:end w:w="120" w:type="dxa"/>
            </w:tcMar>
            <w:vAlign w:val="top"/>
          </w:tcPr>
          <w:p>
            <w:r>
              <w:rPr>
                <w:sz w:val="16"/>
              </w:rPr>
              <w:t>Commercial outcome</w:t>
            </w:r>
          </w:p>
        </w:tc>
        <w:tc>
          <w:tcPr>
            <w:tcW w:type="dxa" w:w="3293"/>
            <w:tcMar>
              <w:top w:w="100" w:type="dxa"/>
              <w:start w:w="120" w:type="dxa"/>
              <w:bottom w:w="100" w:type="dxa"/>
              <w:end w:w="120" w:type="dxa"/>
            </w:tcMar>
            <w:vAlign w:val="top"/>
          </w:tcPr>
          <w:p>
            <w:r>
              <w:rPr>
                <w:sz w:val="16"/>
              </w:rPr>
              <w:t>Optimize economics only within the boundaries above.</w:t>
            </w:r>
          </w:p>
        </w:tc>
      </w:tr>
    </w:tbl>
    <w:p/>
    <w:p>
      <w:pPr>
        <w:pStyle w:val="BodyText"/>
        <w:spacing w:after="120" w:line="259" w:lineRule="auto"/>
      </w:pPr>
      <w:r>
        <w:rPr>
          <w:b w:val="0"/>
          <w:i w:val="0"/>
        </w:rPr>
        <w:t>When reasonable principles remain in tension, the decision should be documented with the known facts, conflicts, alternatives, reasoning, owner and review date.</w:t>
      </w:r>
    </w:p>
    <w:p>
      <w:pPr>
        <w:pStyle w:val="Heading1"/>
        <w:pBdr>
          <w:bottom w:val="single" w:sz="10" w:space="6" w:color="A97C50"/>
        </w:pBdr>
        <w:spacing w:before="320" w:after="160"/>
      </w:pPr>
      <w:r>
        <w:t>Article XVII — Correction, Learning and Institutional Memory</w:t>
      </w:r>
    </w:p>
    <w:p>
      <w:pPr>
        <w:pStyle w:val="BodyText"/>
        <w:spacing w:after="120" w:line="259" w:lineRule="auto"/>
      </w:pPr>
      <w:r>
        <w:rPr>
          <w:b w:val="0"/>
          <w:i w:val="0"/>
        </w:rPr>
        <w:t>VYNE will not protect its image by hiding error. It will protect trust by responding to error with speed, candor and learning.</w:t>
      </w:r>
    </w:p>
    <w:p>
      <w:pPr>
        <w:pStyle w:val="ListBullet"/>
        <w:spacing w:after="60"/>
        <w:ind w:left="360"/>
      </w:pPr>
      <w:r>
        <w:t>Correct material inaccuracies promptly.</w:t>
      </w:r>
    </w:p>
    <w:p>
      <w:pPr>
        <w:pStyle w:val="ListBullet"/>
        <w:spacing w:after="60"/>
        <w:ind w:left="360"/>
      </w:pPr>
      <w:r>
        <w:t>Notify affected people when an error could alter a decision.</w:t>
      </w:r>
    </w:p>
    <w:p>
      <w:pPr>
        <w:pStyle w:val="ListBullet"/>
        <w:spacing w:after="60"/>
        <w:ind w:left="360"/>
      </w:pPr>
      <w:r>
        <w:t>Preserve a record of the correction and its cause.</w:t>
      </w:r>
    </w:p>
    <w:p>
      <w:pPr>
        <w:pStyle w:val="ListBullet"/>
        <w:spacing w:after="60"/>
        <w:ind w:left="360"/>
      </w:pPr>
      <w:r>
        <w:t>Change the process, source standard, model or training when the lesson is systemic.</w:t>
      </w:r>
    </w:p>
    <w:p>
      <w:pPr>
        <w:pStyle w:val="ListBullet"/>
        <w:spacing w:after="60"/>
        <w:ind w:left="360"/>
      </w:pPr>
      <w:r>
        <w:t>Distinguish an honest error from negligence, concealment or repeated disregard of standards.</w:t>
      </w:r>
    </w:p>
    <w:p>
      <w:pPr>
        <w:pStyle w:val="Heading1"/>
        <w:pBdr>
          <w:bottom w:val="single" w:sz="10" w:space="6" w:color="A97C50"/>
        </w:pBdr>
        <w:spacing w:before="320" w:after="160"/>
      </w:pPr>
      <w:r>
        <w:t>Article XVIII — Governance of the Constitution</w:t>
      </w:r>
    </w:p>
    <w:p>
      <w:pPr>
        <w:pStyle w:val="BodyText"/>
        <w:spacing w:after="120" w:line="259" w:lineRule="auto"/>
      </w:pPr>
      <w:r>
        <w:rPr>
          <w:b w:val="0"/>
          <w:i w:val="0"/>
        </w:rPr>
        <w:t>This Constitution is the highest internal statement of VYNE's institutional principles. It governs strategy, methodology, client experience, authority, technology, operations, economics and leadership.</w:t>
      </w:r>
    </w:p>
    <w:p>
      <w:pPr>
        <w:pStyle w:val="BodyText"/>
        <w:spacing w:after="120" w:line="259" w:lineRule="auto"/>
      </w:pPr>
      <w:r>
        <w:rPr>
          <w:b w:val="0"/>
          <w:i w:val="0"/>
        </w:rPr>
        <w:t>It may evolve, but it should not drift.</w:t>
      </w:r>
    </w:p>
    <w:tbl>
      <w:tblPr>
        <w:tblStyle w:val="TableGrid"/>
        <w:tblW w:type="auto" w:w="0"/>
        <w:jc w:val="center"/>
        <w:tblLayout w:type="autofit"/>
        <w:tblLook w:firstColumn="1" w:firstRow="1" w:lastColumn="0" w:lastRow="0" w:noHBand="0" w:noVBand="1" w:val="04A0"/>
      </w:tblPr>
      <w:tblGrid>
        <w:gridCol w:w="4939"/>
        <w:gridCol w:w="4939"/>
      </w:tblGrid>
      <w:tr>
        <w:tc>
          <w:tcPr>
            <w:tcW w:type="dxa" w:w="4939"/>
            <w:shd w:fill="12233F"/>
            <w:tcMar>
              <w:top w:w="100" w:type="dxa"/>
              <w:start w:w="120" w:type="dxa"/>
              <w:bottom w:w="100" w:type="dxa"/>
              <w:end w:w="120" w:type="dxa"/>
            </w:tcMar>
          </w:tcPr>
          <w:p>
            <w:r>
              <w:rPr>
                <w:b/>
                <w:color w:val="FFFFFF"/>
                <w:sz w:val="16"/>
              </w:rPr>
              <w:t>Change type</w:t>
            </w:r>
          </w:p>
        </w:tc>
        <w:tc>
          <w:tcPr>
            <w:tcW w:type="dxa" w:w="4939"/>
            <w:shd w:fill="12233F"/>
            <w:tcMar>
              <w:top w:w="100" w:type="dxa"/>
              <w:start w:w="120" w:type="dxa"/>
              <w:bottom w:w="100" w:type="dxa"/>
              <w:end w:w="120" w:type="dxa"/>
            </w:tcMar>
          </w:tcPr>
          <w:p>
            <w:r>
              <w:rPr>
                <w:b/>
                <w:color w:val="FFFFFF"/>
                <w:sz w:val="16"/>
              </w:rPr>
              <w:t>Required treatment</w:t>
            </w:r>
          </w:p>
        </w:tc>
      </w:tr>
      <w:tr>
        <w:tc>
          <w:tcPr>
            <w:tcW w:type="dxa" w:w="4939"/>
            <w:tcMar>
              <w:top w:w="100" w:type="dxa"/>
              <w:start w:w="120" w:type="dxa"/>
              <w:bottom w:w="100" w:type="dxa"/>
              <w:end w:w="120" w:type="dxa"/>
            </w:tcMar>
            <w:vAlign w:val="top"/>
          </w:tcPr>
          <w:p>
            <w:r>
              <w:rPr>
                <w:sz w:val="16"/>
              </w:rPr>
              <w:t>Clarification</w:t>
            </w:r>
          </w:p>
        </w:tc>
        <w:tc>
          <w:tcPr>
            <w:tcW w:type="dxa" w:w="4939"/>
            <w:tcMar>
              <w:top w:w="100" w:type="dxa"/>
              <w:start w:w="120" w:type="dxa"/>
              <w:bottom w:w="100" w:type="dxa"/>
              <w:end w:w="120" w:type="dxa"/>
            </w:tcMar>
            <w:vAlign w:val="top"/>
          </w:tcPr>
          <w:p>
            <w:r>
              <w:rPr>
                <w:sz w:val="16"/>
              </w:rPr>
              <w:t>May improve language without changing the principle; document the revision.</w:t>
            </w:r>
          </w:p>
        </w:tc>
      </w:tr>
      <w:tr>
        <w:tc>
          <w:tcPr>
            <w:tcW w:type="dxa" w:w="4939"/>
            <w:tcMar>
              <w:top w:w="100" w:type="dxa"/>
              <w:start w:w="120" w:type="dxa"/>
              <w:bottom w:w="100" w:type="dxa"/>
              <w:end w:w="120" w:type="dxa"/>
            </w:tcMar>
            <w:vAlign w:val="top"/>
          </w:tcPr>
          <w:p>
            <w:r>
              <w:rPr>
                <w:sz w:val="16"/>
              </w:rPr>
              <w:t>Operating interpretation</w:t>
            </w:r>
          </w:p>
        </w:tc>
        <w:tc>
          <w:tcPr>
            <w:tcW w:type="dxa" w:w="4939"/>
            <w:tcMar>
              <w:top w:w="100" w:type="dxa"/>
              <w:start w:w="120" w:type="dxa"/>
              <w:bottom w:w="100" w:type="dxa"/>
              <w:end w:w="120" w:type="dxa"/>
            </w:tcMar>
            <w:vAlign w:val="top"/>
          </w:tcPr>
          <w:p>
            <w:r>
              <w:rPr>
                <w:sz w:val="16"/>
              </w:rPr>
              <w:t>May explain how a principle applies; may not contradict the principle.</w:t>
            </w:r>
          </w:p>
        </w:tc>
      </w:tr>
      <w:tr>
        <w:tc>
          <w:tcPr>
            <w:tcW w:type="dxa" w:w="4939"/>
            <w:tcMar>
              <w:top w:w="100" w:type="dxa"/>
              <w:start w:w="120" w:type="dxa"/>
              <w:bottom w:w="100" w:type="dxa"/>
              <w:end w:w="120" w:type="dxa"/>
            </w:tcMar>
            <w:vAlign w:val="top"/>
          </w:tcPr>
          <w:p>
            <w:r>
              <w:rPr>
                <w:sz w:val="16"/>
              </w:rPr>
              <w:t>Substantive amendment</w:t>
            </w:r>
          </w:p>
        </w:tc>
        <w:tc>
          <w:tcPr>
            <w:tcW w:type="dxa" w:w="4939"/>
            <w:tcMar>
              <w:top w:w="100" w:type="dxa"/>
              <w:start w:w="120" w:type="dxa"/>
              <w:bottom w:w="100" w:type="dxa"/>
              <w:end w:w="120" w:type="dxa"/>
            </w:tcMar>
            <w:vAlign w:val="top"/>
          </w:tcPr>
          <w:p>
            <w:r>
              <w:rPr>
                <w:sz w:val="16"/>
              </w:rPr>
              <w:t>Requires written rationale, conflict analysis and founder or designated governing approval.</w:t>
            </w:r>
          </w:p>
        </w:tc>
      </w:tr>
      <w:tr>
        <w:tc>
          <w:tcPr>
            <w:tcW w:type="dxa" w:w="4939"/>
            <w:tcMar>
              <w:top w:w="100" w:type="dxa"/>
              <w:start w:w="120" w:type="dxa"/>
              <w:bottom w:w="100" w:type="dxa"/>
              <w:end w:w="120" w:type="dxa"/>
            </w:tcMar>
            <w:vAlign w:val="top"/>
          </w:tcPr>
          <w:p>
            <w:r>
              <w:rPr>
                <w:sz w:val="16"/>
              </w:rPr>
              <w:t>Emergency exception</w:t>
            </w:r>
          </w:p>
        </w:tc>
        <w:tc>
          <w:tcPr>
            <w:tcW w:type="dxa" w:w="4939"/>
            <w:tcMar>
              <w:top w:w="100" w:type="dxa"/>
              <w:start w:w="120" w:type="dxa"/>
              <w:bottom w:w="100" w:type="dxa"/>
              <w:end w:w="120" w:type="dxa"/>
            </w:tcMar>
            <w:vAlign w:val="top"/>
          </w:tcPr>
          <w:p>
            <w:r>
              <w:rPr>
                <w:sz w:val="16"/>
              </w:rPr>
              <w:t>Must be lawful, time-limited, documented and reviewed after the emergency.</w:t>
            </w:r>
          </w:p>
        </w:tc>
      </w:tr>
      <w:tr>
        <w:tc>
          <w:tcPr>
            <w:tcW w:type="dxa" w:w="4939"/>
            <w:tcMar>
              <w:top w:w="100" w:type="dxa"/>
              <w:start w:w="120" w:type="dxa"/>
              <w:bottom w:w="100" w:type="dxa"/>
              <w:end w:w="120" w:type="dxa"/>
            </w:tcMar>
            <w:vAlign w:val="top"/>
          </w:tcPr>
          <w:p>
            <w:r>
              <w:rPr>
                <w:sz w:val="16"/>
              </w:rPr>
              <w:t>Commercial override</w:t>
            </w:r>
          </w:p>
        </w:tc>
        <w:tc>
          <w:tcPr>
            <w:tcW w:type="dxa" w:w="4939"/>
            <w:tcMar>
              <w:top w:w="100" w:type="dxa"/>
              <w:start w:w="120" w:type="dxa"/>
              <w:bottom w:w="100" w:type="dxa"/>
              <w:end w:w="120" w:type="dxa"/>
            </w:tcMar>
            <w:vAlign w:val="top"/>
          </w:tcPr>
          <w:p>
            <w:r>
              <w:rPr>
                <w:sz w:val="16"/>
              </w:rPr>
              <w:t>Not permitted merely because the opportunity is valuable.</w:t>
            </w:r>
          </w:p>
        </w:tc>
      </w:tr>
    </w:tbl>
    <w:p/>
    <w:p>
      <w:pPr>
        <w:pStyle w:val="BodyText"/>
        <w:spacing w:after="120" w:line="259" w:lineRule="auto"/>
      </w:pPr>
      <w:r>
        <w:rPr>
          <w:b w:val="0"/>
          <w:i w:val="0"/>
        </w:rPr>
        <w:t>Every version should preserve a change log. Superseded versions belong in the archive rather than being silently replaced.</w:t>
      </w:r>
    </w:p>
    <w:p>
      <w:pPr>
        <w:pStyle w:val="Heading1"/>
        <w:pBdr>
          <w:bottom w:val="single" w:sz="10" w:space="6" w:color="A97C50"/>
        </w:pBdr>
        <w:spacing w:before="320" w:after="160"/>
      </w:pPr>
      <w:r>
        <w:t>Article XIX — The Founder Commitment</w:t>
      </w:r>
    </w:p>
    <w:p>
      <w:pPr>
        <w:pStyle w:val="BodyText"/>
        <w:spacing w:after="120" w:line="259" w:lineRule="auto"/>
      </w:pPr>
      <w:r>
        <w:rPr>
          <w:b w:val="0"/>
          <w:i w:val="0"/>
        </w:rPr>
        <w:t>The founder's responsibility is not to make VYNE dependent on the founder. It is to establish standards strong enough to survive the founder's absence.</w:t>
      </w:r>
    </w:p>
    <w:p>
      <w:pPr>
        <w:pStyle w:val="BodyText"/>
        <w:spacing w:after="120" w:line="259" w:lineRule="auto"/>
      </w:pPr>
      <w:r>
        <w:rPr>
          <w:b w:val="0"/>
          <w:i w:val="0"/>
        </w:rPr>
        <w:t>The founder commits to:</w:t>
      </w:r>
    </w:p>
    <w:p>
      <w:pPr>
        <w:pStyle w:val="ListBullet"/>
        <w:spacing w:after="60"/>
        <w:ind w:left="360"/>
      </w:pPr>
      <w:r>
        <w:t>Protect the institution from short-term decisions that compromise long-term trust.</w:t>
      </w:r>
    </w:p>
    <w:p>
      <w:pPr>
        <w:pStyle w:val="ListBullet"/>
        <w:spacing w:after="60"/>
        <w:ind w:left="360"/>
      </w:pPr>
      <w:r>
        <w:t>Welcome disagreement that improves the quality of a decision.</w:t>
      </w:r>
    </w:p>
    <w:p>
      <w:pPr>
        <w:pStyle w:val="ListBullet"/>
        <w:spacing w:after="60"/>
        <w:ind w:left="360"/>
      </w:pPr>
      <w:r>
        <w:t>Avoid treating personal preference as institutional principle.</w:t>
      </w:r>
    </w:p>
    <w:p>
      <w:pPr>
        <w:pStyle w:val="ListBullet"/>
        <w:spacing w:after="60"/>
        <w:ind w:left="360"/>
      </w:pPr>
      <w:r>
        <w:t>Disclose material conflicts and accept accountability for them.</w:t>
      </w:r>
    </w:p>
    <w:p>
      <w:pPr>
        <w:pStyle w:val="ListBullet"/>
        <w:spacing w:after="60"/>
        <w:ind w:left="360"/>
      </w:pPr>
      <w:r>
        <w:t>Invest in systems, people and controls before growth makes their absence dangerous.</w:t>
      </w:r>
    </w:p>
    <w:p>
      <w:pPr>
        <w:pStyle w:val="ListBullet"/>
        <w:spacing w:after="60"/>
        <w:ind w:left="360"/>
      </w:pPr>
      <w:r>
        <w:t>Build an institution future leaders can inherit without having to guess what it stands for.</w:t>
      </w:r>
    </w:p>
    <w:p>
      <w:pPr>
        <w:pStyle w:val="Heading1"/>
        <w:pBdr>
          <w:bottom w:val="single" w:sz="10" w:space="6" w:color="A97C50"/>
        </w:pBdr>
        <w:spacing w:before="320" w:after="160"/>
      </w:pPr>
      <w:r>
        <w:t>Article XX — The Permanent Test</w:t>
      </w:r>
    </w:p>
    <w:p>
      <w:pPr>
        <w:pStyle w:val="BodyText"/>
        <w:spacing w:after="120" w:line="259" w:lineRule="auto"/>
      </w:pPr>
      <w:r>
        <w:rPr>
          <w:b w:val="0"/>
          <w:i w:val="0"/>
        </w:rPr>
        <w:t>Every major VYNE decision should be evaluated through the following questions:</w:t>
      </w:r>
    </w:p>
    <w:p>
      <w:pPr>
        <w:pStyle w:val="ListNumber"/>
        <w:spacing w:after="60"/>
      </w:pPr>
      <w:r>
        <w:t>Does this improve the quality of an advisor's decision?</w:t>
      </w:r>
    </w:p>
    <w:p>
      <w:pPr>
        <w:pStyle w:val="ListNumber"/>
        <w:spacing w:after="60"/>
      </w:pPr>
      <w:r>
        <w:t>Does it strengthen trust?</w:t>
      </w:r>
    </w:p>
    <w:p>
      <w:pPr>
        <w:pStyle w:val="ListNumber"/>
        <w:spacing w:after="60"/>
      </w:pPr>
      <w:r>
        <w:t>Is it original in expression and coherent with VYNE's architecture?</w:t>
      </w:r>
    </w:p>
    <w:p>
      <w:pPr>
        <w:pStyle w:val="ListNumber"/>
        <w:spacing w:after="60"/>
      </w:pPr>
      <w:r>
        <w:t>Does it simplify complexity without hiding a material trade-off?</w:t>
      </w:r>
    </w:p>
    <w:p>
      <w:pPr>
        <w:pStyle w:val="ListNumber"/>
        <w:spacing w:after="60"/>
      </w:pPr>
      <w:r>
        <w:t>Can the important claims be supported?</w:t>
      </w:r>
    </w:p>
    <w:p>
      <w:pPr>
        <w:pStyle w:val="ListNumber"/>
        <w:spacing w:after="60"/>
      </w:pPr>
      <w:r>
        <w:t>Would VYNE make the same recommendation if the immediate economics changed?</w:t>
      </w:r>
    </w:p>
    <w:p>
      <w:pPr>
        <w:pStyle w:val="ListNumber"/>
        <w:spacing w:after="60"/>
      </w:pPr>
      <w:r>
        <w:t>Can the institution deliver it consistently and securely?</w:t>
      </w:r>
    </w:p>
    <w:p>
      <w:pPr>
        <w:pStyle w:val="ListNumber"/>
        <w:spacing w:after="60"/>
      </w:pPr>
      <w:r>
        <w:t>Would a sophisticated advisor respect it?</w:t>
      </w:r>
    </w:p>
    <w:p>
      <w:pPr>
        <w:pStyle w:val="ListNumber"/>
        <w:spacing w:after="60"/>
      </w:pPr>
      <w:r>
        <w:t>Would VYNE be comfortable defending it ten years from now?</w:t>
      </w:r>
    </w:p>
    <w:tbl>
      <w:tblPr>
        <w:tblW w:type="auto" w:w="0"/>
        <w:jc w:val="center"/>
        <w:tblLayout w:type="autofit"/>
        <w:tblLook w:firstColumn="1" w:firstRow="1" w:lastColumn="0" w:lastRow="0" w:noHBand="0" w:noVBand="1" w:val="04A0"/>
      </w:tblPr>
      <w:tblGrid>
        <w:gridCol w:w="9878"/>
      </w:tblGrid>
      <w:tr>
        <w:tc>
          <w:tcPr>
            <w:tcW w:type="dxa" w:w="9878"/>
            <w:shd w:fill="F5F1E8"/>
            <w:tcMar>
              <w:top w:w="150" w:type="dxa"/>
              <w:start w:w="180" w:type="dxa"/>
              <w:bottom w:w="150" w:type="dxa"/>
              <w:end w:w="180" w:type="dxa"/>
            </w:tcMar>
          </w:tcPr>
          <w:p>
            <w:r/>
            <w:r>
              <w:rPr>
                <w:b/>
                <w:color w:val="A97C50"/>
                <w:sz w:val="17"/>
              </w:rPr>
              <w:t>DEFAULT RULE</w:t>
            </w:r>
          </w:p>
          <w:p>
            <w:pPr>
              <w:spacing w:after="0"/>
            </w:pPr>
            <w:r>
              <w:rPr>
                <w:b/>
                <w:color w:val="12233F"/>
                <w:sz w:val="22"/>
              </w:rPr>
              <w:t>When an idea is useful but not ready, preserve it in the Incubator. Preservation does not require adoption.</w:t>
            </w:r>
          </w:p>
        </w:tc>
      </w:tr>
    </w:tbl>
    <w:p>
      <w:pPr>
        <w:spacing w:after="20"/>
      </w:pPr>
    </w:p>
    <w:p>
      <w:r>
        <w:br w:type="page"/>
      </w:r>
    </w:p>
    <w:p>
      <w:pPr>
        <w:pStyle w:val="Heading1"/>
        <w:pBdr>
          <w:bottom w:val="single" w:sz="10" w:space="6" w:color="A97C50"/>
        </w:pBdr>
        <w:spacing w:before="320" w:after="160"/>
      </w:pPr>
      <w:r>
        <w:t>Schedule A — Non-Negotiable Operating Rules</w:t>
      </w:r>
    </w:p>
    <w:tbl>
      <w:tblPr>
        <w:tblStyle w:val="TableGrid"/>
        <w:tblW w:type="auto" w:w="0"/>
        <w:jc w:val="center"/>
        <w:tblLayout w:type="autofit"/>
        <w:tblLook w:firstColumn="1" w:firstRow="1" w:lastColumn="0" w:lastRow="0" w:noHBand="0" w:noVBand="1" w:val="04A0"/>
      </w:tblPr>
      <w:tblGrid>
        <w:gridCol w:w="4939"/>
        <w:gridCol w:w="4939"/>
      </w:tblGrid>
      <w:tr>
        <w:tc>
          <w:tcPr>
            <w:tcW w:type="dxa" w:w="4939"/>
            <w:shd w:fill="12233F"/>
            <w:tcMar>
              <w:top w:w="100" w:type="dxa"/>
              <w:start w:w="120" w:type="dxa"/>
              <w:bottom w:w="100" w:type="dxa"/>
              <w:end w:w="120" w:type="dxa"/>
            </w:tcMar>
          </w:tcPr>
          <w:p>
            <w:r>
              <w:rPr>
                <w:b/>
                <w:color w:val="FFFFFF"/>
                <w:sz w:val="17"/>
              </w:rPr>
              <w:t>Area</w:t>
            </w:r>
          </w:p>
        </w:tc>
        <w:tc>
          <w:tcPr>
            <w:tcW w:type="dxa" w:w="4939"/>
            <w:shd w:fill="12233F"/>
            <w:tcMar>
              <w:top w:w="100" w:type="dxa"/>
              <w:start w:w="120" w:type="dxa"/>
              <w:bottom w:w="100" w:type="dxa"/>
              <w:end w:w="120" w:type="dxa"/>
            </w:tcMar>
          </w:tcPr>
          <w:p>
            <w:r>
              <w:rPr>
                <w:b/>
                <w:color w:val="FFFFFF"/>
                <w:sz w:val="17"/>
              </w:rPr>
              <w:t>Rule</w:t>
            </w:r>
          </w:p>
        </w:tc>
      </w:tr>
      <w:tr>
        <w:tc>
          <w:tcPr>
            <w:tcW w:type="dxa" w:w="4939"/>
            <w:tcMar>
              <w:top w:w="100" w:type="dxa"/>
              <w:start w:w="120" w:type="dxa"/>
              <w:bottom w:w="100" w:type="dxa"/>
              <w:end w:w="120" w:type="dxa"/>
            </w:tcMar>
            <w:vAlign w:val="top"/>
          </w:tcPr>
          <w:p>
            <w:r>
              <w:rPr>
                <w:sz w:val="17"/>
              </w:rPr>
              <w:t>Advice</w:t>
            </w:r>
          </w:p>
        </w:tc>
        <w:tc>
          <w:tcPr>
            <w:tcW w:type="dxa" w:w="4939"/>
            <w:tcMar>
              <w:top w:w="100" w:type="dxa"/>
              <w:start w:w="120" w:type="dxa"/>
              <w:bottom w:w="100" w:type="dxa"/>
              <w:end w:w="120" w:type="dxa"/>
            </w:tcMar>
            <w:vAlign w:val="top"/>
          </w:tcPr>
          <w:p>
            <w:r>
              <w:rPr>
                <w:sz w:val="17"/>
              </w:rPr>
              <w:t>No predetermined recommendation disguised as discovery.</w:t>
            </w:r>
          </w:p>
        </w:tc>
      </w:tr>
      <w:tr>
        <w:tc>
          <w:tcPr>
            <w:tcW w:type="dxa" w:w="4939"/>
            <w:tcMar>
              <w:top w:w="100" w:type="dxa"/>
              <w:start w:w="120" w:type="dxa"/>
              <w:bottom w:w="100" w:type="dxa"/>
              <w:end w:w="120" w:type="dxa"/>
            </w:tcMar>
            <w:vAlign w:val="top"/>
          </w:tcPr>
          <w:p>
            <w:r>
              <w:rPr>
                <w:sz w:val="17"/>
              </w:rPr>
              <w:t>Disclosure</w:t>
            </w:r>
          </w:p>
        </w:tc>
        <w:tc>
          <w:tcPr>
            <w:tcW w:type="dxa" w:w="4939"/>
            <w:tcMar>
              <w:top w:w="100" w:type="dxa"/>
              <w:start w:w="120" w:type="dxa"/>
              <w:bottom w:w="100" w:type="dxa"/>
              <w:end w:w="120" w:type="dxa"/>
            </w:tcMar>
            <w:vAlign w:val="top"/>
          </w:tcPr>
          <w:p>
            <w:r>
              <w:rPr>
                <w:sz w:val="17"/>
              </w:rPr>
              <w:t>Material compensation and conflicts must be understandable.</w:t>
            </w:r>
          </w:p>
        </w:tc>
      </w:tr>
      <w:tr>
        <w:tc>
          <w:tcPr>
            <w:tcW w:type="dxa" w:w="4939"/>
            <w:tcMar>
              <w:top w:w="100" w:type="dxa"/>
              <w:start w:w="120" w:type="dxa"/>
              <w:bottom w:w="100" w:type="dxa"/>
              <w:end w:w="120" w:type="dxa"/>
            </w:tcMar>
            <w:vAlign w:val="top"/>
          </w:tcPr>
          <w:p>
            <w:r>
              <w:rPr>
                <w:sz w:val="17"/>
              </w:rPr>
              <w:t>Evidence</w:t>
            </w:r>
          </w:p>
        </w:tc>
        <w:tc>
          <w:tcPr>
            <w:tcW w:type="dxa" w:w="4939"/>
            <w:tcMar>
              <w:top w:w="100" w:type="dxa"/>
              <w:start w:w="120" w:type="dxa"/>
              <w:bottom w:w="100" w:type="dxa"/>
              <w:end w:w="120" w:type="dxa"/>
            </w:tcMar>
            <w:vAlign w:val="top"/>
          </w:tcPr>
          <w:p>
            <w:r>
              <w:rPr>
                <w:sz w:val="17"/>
              </w:rPr>
              <w:t>Facts, estimates, inference, opinion and unknowns must not be blended.</w:t>
            </w:r>
          </w:p>
        </w:tc>
      </w:tr>
      <w:tr>
        <w:tc>
          <w:tcPr>
            <w:tcW w:type="dxa" w:w="4939"/>
            <w:tcMar>
              <w:top w:w="100" w:type="dxa"/>
              <w:start w:w="120" w:type="dxa"/>
              <w:bottom w:w="100" w:type="dxa"/>
              <w:end w:w="120" w:type="dxa"/>
            </w:tcMar>
            <w:vAlign w:val="top"/>
          </w:tcPr>
          <w:p>
            <w:r>
              <w:rPr>
                <w:sz w:val="17"/>
              </w:rPr>
              <w:t>Confidentiality</w:t>
            </w:r>
          </w:p>
        </w:tc>
        <w:tc>
          <w:tcPr>
            <w:tcW w:type="dxa" w:w="4939"/>
            <w:tcMar>
              <w:top w:w="100" w:type="dxa"/>
              <w:start w:w="120" w:type="dxa"/>
              <w:bottom w:w="100" w:type="dxa"/>
              <w:end w:w="120" w:type="dxa"/>
            </w:tcMar>
            <w:vAlign w:val="top"/>
          </w:tcPr>
          <w:p>
            <w:r>
              <w:rPr>
                <w:sz w:val="17"/>
              </w:rPr>
              <w:t>No identity disclosure or data use beyond authorized purpose.</w:t>
            </w:r>
          </w:p>
        </w:tc>
      </w:tr>
      <w:tr>
        <w:tc>
          <w:tcPr>
            <w:tcW w:type="dxa" w:w="4939"/>
            <w:tcMar>
              <w:top w:w="100" w:type="dxa"/>
              <w:start w:w="120" w:type="dxa"/>
              <w:bottom w:w="100" w:type="dxa"/>
              <w:end w:w="120" w:type="dxa"/>
            </w:tcMar>
            <w:vAlign w:val="top"/>
          </w:tcPr>
          <w:p>
            <w:r>
              <w:rPr>
                <w:sz w:val="17"/>
              </w:rPr>
              <w:t>Technology</w:t>
            </w:r>
          </w:p>
        </w:tc>
        <w:tc>
          <w:tcPr>
            <w:tcW w:type="dxa" w:w="4939"/>
            <w:tcMar>
              <w:top w:w="100" w:type="dxa"/>
              <w:start w:w="120" w:type="dxa"/>
              <w:bottom w:w="100" w:type="dxa"/>
              <w:end w:w="120" w:type="dxa"/>
            </w:tcMar>
            <w:vAlign w:val="top"/>
          </w:tcPr>
          <w:p>
            <w:r>
              <w:rPr>
                <w:sz w:val="17"/>
              </w:rPr>
              <w:t>No confidential advisor data in unapproved prototypes.</w:t>
            </w:r>
          </w:p>
        </w:tc>
      </w:tr>
      <w:tr>
        <w:tc>
          <w:tcPr>
            <w:tcW w:type="dxa" w:w="4939"/>
            <w:tcMar>
              <w:top w:w="100" w:type="dxa"/>
              <w:start w:w="120" w:type="dxa"/>
              <w:bottom w:w="100" w:type="dxa"/>
              <w:end w:w="120" w:type="dxa"/>
            </w:tcMar>
            <w:vAlign w:val="top"/>
          </w:tcPr>
          <w:p>
            <w:r>
              <w:rPr>
                <w:sz w:val="17"/>
              </w:rPr>
              <w:t>AI</w:t>
            </w:r>
          </w:p>
        </w:tc>
        <w:tc>
          <w:tcPr>
            <w:tcW w:type="dxa" w:w="4939"/>
            <w:tcMar>
              <w:top w:w="100" w:type="dxa"/>
              <w:start w:w="120" w:type="dxa"/>
              <w:bottom w:w="100" w:type="dxa"/>
              <w:end w:w="120" w:type="dxa"/>
            </w:tcMar>
            <w:vAlign w:val="top"/>
          </w:tcPr>
          <w:p>
            <w:r>
              <w:rPr>
                <w:sz w:val="17"/>
              </w:rPr>
              <w:t>No consequential external recommendation without accountable human review.</w:t>
            </w:r>
          </w:p>
        </w:tc>
      </w:tr>
      <w:tr>
        <w:tc>
          <w:tcPr>
            <w:tcW w:type="dxa" w:w="4939"/>
            <w:tcMar>
              <w:top w:w="100" w:type="dxa"/>
              <w:start w:w="120" w:type="dxa"/>
              <w:bottom w:w="100" w:type="dxa"/>
              <w:end w:w="120" w:type="dxa"/>
            </w:tcMar>
            <w:vAlign w:val="top"/>
          </w:tcPr>
          <w:p>
            <w:r>
              <w:rPr>
                <w:sz w:val="17"/>
              </w:rPr>
              <w:t>Marketing</w:t>
            </w:r>
          </w:p>
        </w:tc>
        <w:tc>
          <w:tcPr>
            <w:tcW w:type="dxa" w:w="4939"/>
            <w:tcMar>
              <w:top w:w="100" w:type="dxa"/>
              <w:start w:w="120" w:type="dxa"/>
              <w:bottom w:w="100" w:type="dxa"/>
              <w:end w:w="120" w:type="dxa"/>
            </w:tcMar>
            <w:vAlign w:val="top"/>
          </w:tcPr>
          <w:p>
            <w:r>
              <w:rPr>
                <w:sz w:val="17"/>
              </w:rPr>
              <w:t>No unsupported superiority, performance or market-intelligence claim.</w:t>
            </w:r>
          </w:p>
        </w:tc>
      </w:tr>
      <w:tr>
        <w:tc>
          <w:tcPr>
            <w:tcW w:type="dxa" w:w="4939"/>
            <w:tcMar>
              <w:top w:w="100" w:type="dxa"/>
              <w:start w:w="120" w:type="dxa"/>
              <w:bottom w:w="100" w:type="dxa"/>
              <w:end w:w="120" w:type="dxa"/>
            </w:tcMar>
            <w:vAlign w:val="top"/>
          </w:tcPr>
          <w:p>
            <w:r>
              <w:rPr>
                <w:sz w:val="17"/>
              </w:rPr>
              <w:t>Frameworks</w:t>
            </w:r>
          </w:p>
        </w:tc>
        <w:tc>
          <w:tcPr>
            <w:tcW w:type="dxa" w:w="4939"/>
            <w:tcMar>
              <w:top w:w="100" w:type="dxa"/>
              <w:start w:w="120" w:type="dxa"/>
              <w:bottom w:w="100" w:type="dxa"/>
              <w:end w:w="120" w:type="dxa"/>
            </w:tcMar>
            <w:vAlign w:val="top"/>
          </w:tcPr>
          <w:p>
            <w:r>
              <w:rPr>
                <w:sz w:val="17"/>
              </w:rPr>
              <w:t>No new public framework without architecture and originality review.</w:t>
            </w:r>
          </w:p>
        </w:tc>
      </w:tr>
      <w:tr>
        <w:tc>
          <w:tcPr>
            <w:tcW w:type="dxa" w:w="4939"/>
            <w:tcMar>
              <w:top w:w="100" w:type="dxa"/>
              <w:start w:w="120" w:type="dxa"/>
              <w:bottom w:w="100" w:type="dxa"/>
              <w:end w:w="120" w:type="dxa"/>
            </w:tcMar>
            <w:vAlign w:val="top"/>
          </w:tcPr>
          <w:p>
            <w:r>
              <w:rPr>
                <w:sz w:val="17"/>
              </w:rPr>
              <w:t>Legal</w:t>
            </w:r>
          </w:p>
        </w:tc>
        <w:tc>
          <w:tcPr>
            <w:tcW w:type="dxa" w:w="4939"/>
            <w:tcMar>
              <w:top w:w="100" w:type="dxa"/>
              <w:start w:w="120" w:type="dxa"/>
              <w:bottom w:w="100" w:type="dxa"/>
              <w:end w:w="120" w:type="dxa"/>
            </w:tcMar>
            <w:vAlign w:val="top"/>
          </w:tcPr>
          <w:p>
            <w:r>
              <w:rPr>
                <w:sz w:val="17"/>
              </w:rPr>
              <w:t>No final contractor, restrictive-covenant, privacy or IP position without counsel where required.</w:t>
            </w:r>
          </w:p>
        </w:tc>
      </w:tr>
      <w:tr>
        <w:tc>
          <w:tcPr>
            <w:tcW w:type="dxa" w:w="4939"/>
            <w:tcMar>
              <w:top w:w="100" w:type="dxa"/>
              <w:start w:w="120" w:type="dxa"/>
              <w:bottom w:w="100" w:type="dxa"/>
              <w:end w:w="120" w:type="dxa"/>
            </w:tcMar>
            <w:vAlign w:val="top"/>
          </w:tcPr>
          <w:p>
            <w:r>
              <w:rPr>
                <w:sz w:val="17"/>
              </w:rPr>
              <w:t>Correction</w:t>
            </w:r>
          </w:p>
        </w:tc>
        <w:tc>
          <w:tcPr>
            <w:tcW w:type="dxa" w:w="4939"/>
            <w:tcMar>
              <w:top w:w="100" w:type="dxa"/>
              <w:start w:w="120" w:type="dxa"/>
              <w:bottom w:w="100" w:type="dxa"/>
              <w:end w:w="120" w:type="dxa"/>
            </w:tcMar>
            <w:vAlign w:val="top"/>
          </w:tcPr>
          <w:p>
            <w:r>
              <w:rPr>
                <w:sz w:val="17"/>
              </w:rPr>
              <w:t>No concealment of a material error.</w:t>
            </w:r>
          </w:p>
        </w:tc>
      </w:tr>
    </w:tbl>
    <w:p/>
    <w:p>
      <w:pPr>
        <w:pStyle w:val="Heading1"/>
        <w:pBdr>
          <w:bottom w:val="single" w:sz="10" w:space="6" w:color="A97C50"/>
        </w:pBdr>
        <w:spacing w:before="320" w:after="160"/>
      </w:pPr>
      <w:r>
        <w:t>Schedule B — Originality and Competitive Research Protocol</w:t>
      </w:r>
    </w:p>
    <w:p>
      <w:pPr>
        <w:pStyle w:val="BodyText"/>
        <w:spacing w:after="120" w:line="259" w:lineRule="auto"/>
      </w:pPr>
      <w:r>
        <w:rPr>
          <w:b w:val="0"/>
          <w:i w:val="0"/>
        </w:rPr>
        <w:t>VYNE may study competitors to understand the market. Competitive research must not become a shortcut for creative or strategic work.</w:t>
      </w:r>
    </w:p>
    <w:tbl>
      <w:tblPr>
        <w:tblStyle w:val="TableGrid"/>
        <w:tblW w:type="auto" w:w="0"/>
        <w:jc w:val="center"/>
        <w:tblLayout w:type="autofit"/>
        <w:tblLook w:firstColumn="1" w:firstRow="1" w:lastColumn="0" w:lastRow="0" w:noHBand="0" w:noVBand="1" w:val="04A0"/>
      </w:tblPr>
      <w:tblGrid>
        <w:gridCol w:w="4939"/>
        <w:gridCol w:w="4939"/>
      </w:tblGrid>
      <w:tr>
        <w:tc>
          <w:tcPr>
            <w:tcW w:type="dxa" w:w="4939"/>
            <w:shd w:fill="12233F"/>
            <w:tcMar>
              <w:top w:w="100" w:type="dxa"/>
              <w:start w:w="120" w:type="dxa"/>
              <w:bottom w:w="100" w:type="dxa"/>
              <w:end w:w="120" w:type="dxa"/>
            </w:tcMar>
          </w:tcPr>
          <w:p>
            <w:r>
              <w:rPr>
                <w:b/>
                <w:color w:val="FFFFFF"/>
                <w:sz w:val="17"/>
              </w:rPr>
              <w:t>Step</w:t>
            </w:r>
          </w:p>
        </w:tc>
        <w:tc>
          <w:tcPr>
            <w:tcW w:type="dxa" w:w="4939"/>
            <w:shd w:fill="12233F"/>
            <w:tcMar>
              <w:top w:w="100" w:type="dxa"/>
              <w:start w:w="120" w:type="dxa"/>
              <w:bottom w:w="100" w:type="dxa"/>
              <w:end w:w="120" w:type="dxa"/>
            </w:tcMar>
          </w:tcPr>
          <w:p>
            <w:r>
              <w:rPr>
                <w:b/>
                <w:color w:val="FFFFFF"/>
                <w:sz w:val="17"/>
              </w:rPr>
              <w:t>Control</w:t>
            </w:r>
          </w:p>
        </w:tc>
      </w:tr>
      <w:tr>
        <w:tc>
          <w:tcPr>
            <w:tcW w:type="dxa" w:w="4939"/>
            <w:tcMar>
              <w:top w:w="100" w:type="dxa"/>
              <w:start w:w="120" w:type="dxa"/>
              <w:bottom w:w="100" w:type="dxa"/>
              <w:end w:w="120" w:type="dxa"/>
            </w:tcMar>
            <w:vAlign w:val="top"/>
          </w:tcPr>
          <w:p>
            <w:r>
              <w:rPr>
                <w:sz w:val="17"/>
              </w:rPr>
              <w:t>Observe</w:t>
            </w:r>
          </w:p>
        </w:tc>
        <w:tc>
          <w:tcPr>
            <w:tcW w:type="dxa" w:w="4939"/>
            <w:tcMar>
              <w:top w:w="100" w:type="dxa"/>
              <w:start w:w="120" w:type="dxa"/>
              <w:bottom w:w="100" w:type="dxa"/>
              <w:end w:w="120" w:type="dxa"/>
            </w:tcMar>
            <w:vAlign w:val="top"/>
          </w:tcPr>
          <w:p>
            <w:r>
              <w:rPr>
                <w:sz w:val="17"/>
              </w:rPr>
              <w:t>Identify the customer problem, category convention or market gap without importing distinctive expression.</w:t>
            </w:r>
          </w:p>
        </w:tc>
      </w:tr>
      <w:tr>
        <w:tc>
          <w:tcPr>
            <w:tcW w:type="dxa" w:w="4939"/>
            <w:tcMar>
              <w:top w:w="100" w:type="dxa"/>
              <w:start w:w="120" w:type="dxa"/>
              <w:bottom w:w="100" w:type="dxa"/>
              <w:end w:w="120" w:type="dxa"/>
            </w:tcMar>
            <w:vAlign w:val="top"/>
          </w:tcPr>
          <w:p>
            <w:r>
              <w:rPr>
                <w:sz w:val="17"/>
              </w:rPr>
              <w:t>Abstract</w:t>
            </w:r>
          </w:p>
        </w:tc>
        <w:tc>
          <w:tcPr>
            <w:tcW w:type="dxa" w:w="4939"/>
            <w:tcMar>
              <w:top w:w="100" w:type="dxa"/>
              <w:start w:w="120" w:type="dxa"/>
              <w:bottom w:w="100" w:type="dxa"/>
              <w:end w:w="120" w:type="dxa"/>
            </w:tcMar>
            <w:vAlign w:val="top"/>
          </w:tcPr>
          <w:p>
            <w:r>
              <w:rPr>
                <w:sz w:val="17"/>
              </w:rPr>
              <w:t>Describe the underlying need in neutral terms.</w:t>
            </w:r>
          </w:p>
        </w:tc>
      </w:tr>
      <w:tr>
        <w:tc>
          <w:tcPr>
            <w:tcW w:type="dxa" w:w="4939"/>
            <w:tcMar>
              <w:top w:w="100" w:type="dxa"/>
              <w:start w:w="120" w:type="dxa"/>
              <w:bottom w:w="100" w:type="dxa"/>
              <w:end w:w="120" w:type="dxa"/>
            </w:tcMar>
            <w:vAlign w:val="top"/>
          </w:tcPr>
          <w:p>
            <w:r>
              <w:rPr>
                <w:sz w:val="17"/>
              </w:rPr>
              <w:t>Design</w:t>
            </w:r>
          </w:p>
        </w:tc>
        <w:tc>
          <w:tcPr>
            <w:tcW w:type="dxa" w:w="4939"/>
            <w:tcMar>
              <w:top w:w="100" w:type="dxa"/>
              <w:start w:w="120" w:type="dxa"/>
              <w:bottom w:w="100" w:type="dxa"/>
              <w:end w:w="120" w:type="dxa"/>
            </w:tcMar>
            <w:vAlign w:val="top"/>
          </w:tcPr>
          <w:p>
            <w:r>
              <w:rPr>
                <w:sz w:val="17"/>
              </w:rPr>
              <w:t>Build a VYNE response from its own purpose, audience, logic and standards.</w:t>
            </w:r>
          </w:p>
        </w:tc>
      </w:tr>
      <w:tr>
        <w:tc>
          <w:tcPr>
            <w:tcW w:type="dxa" w:w="4939"/>
            <w:tcMar>
              <w:top w:w="100" w:type="dxa"/>
              <w:start w:w="120" w:type="dxa"/>
              <w:bottom w:w="100" w:type="dxa"/>
              <w:end w:w="120" w:type="dxa"/>
            </w:tcMar>
            <w:vAlign w:val="top"/>
          </w:tcPr>
          <w:p>
            <w:r>
              <w:rPr>
                <w:sz w:val="17"/>
              </w:rPr>
              <w:t>Differentiate</w:t>
            </w:r>
          </w:p>
        </w:tc>
        <w:tc>
          <w:tcPr>
            <w:tcW w:type="dxa" w:w="4939"/>
            <w:tcMar>
              <w:top w:w="100" w:type="dxa"/>
              <w:start w:w="120" w:type="dxa"/>
              <w:bottom w:w="100" w:type="dxa"/>
              <w:end w:w="120" w:type="dxa"/>
            </w:tcMar>
            <w:vAlign w:val="top"/>
          </w:tcPr>
          <w:p>
            <w:r>
              <w:rPr>
                <w:sz w:val="17"/>
              </w:rPr>
              <w:t>Confirm that name, sequence, language, visual form and intended use are recognizably VYNE.</w:t>
            </w:r>
          </w:p>
        </w:tc>
      </w:tr>
      <w:tr>
        <w:tc>
          <w:tcPr>
            <w:tcW w:type="dxa" w:w="4939"/>
            <w:tcMar>
              <w:top w:w="100" w:type="dxa"/>
              <w:start w:w="120" w:type="dxa"/>
              <w:bottom w:w="100" w:type="dxa"/>
              <w:end w:w="120" w:type="dxa"/>
            </w:tcMar>
            <w:vAlign w:val="top"/>
          </w:tcPr>
          <w:p>
            <w:r>
              <w:rPr>
                <w:sz w:val="17"/>
              </w:rPr>
              <w:t>Document</w:t>
            </w:r>
          </w:p>
        </w:tc>
        <w:tc>
          <w:tcPr>
            <w:tcW w:type="dxa" w:w="4939"/>
            <w:tcMar>
              <w:top w:w="100" w:type="dxa"/>
              <w:start w:w="120" w:type="dxa"/>
              <w:bottom w:w="100" w:type="dxa"/>
              <w:end w:w="120" w:type="dxa"/>
            </w:tcMar>
            <w:vAlign w:val="top"/>
          </w:tcPr>
          <w:p>
            <w:r>
              <w:rPr>
                <w:sz w:val="17"/>
              </w:rPr>
              <w:t>Record the source of inspiration when material and preserve the independent design rationale.</w:t>
            </w:r>
          </w:p>
        </w:tc>
      </w:tr>
      <w:tr>
        <w:tc>
          <w:tcPr>
            <w:tcW w:type="dxa" w:w="4939"/>
            <w:tcMar>
              <w:top w:w="100" w:type="dxa"/>
              <w:start w:w="120" w:type="dxa"/>
              <w:bottom w:w="100" w:type="dxa"/>
              <w:end w:w="120" w:type="dxa"/>
            </w:tcMar>
            <w:vAlign w:val="top"/>
          </w:tcPr>
          <w:p>
            <w:r>
              <w:rPr>
                <w:sz w:val="17"/>
              </w:rPr>
              <w:t>Review</w:t>
            </w:r>
          </w:p>
        </w:tc>
        <w:tc>
          <w:tcPr>
            <w:tcW w:type="dxa" w:w="4939"/>
            <w:tcMar>
              <w:top w:w="100" w:type="dxa"/>
              <w:start w:w="120" w:type="dxa"/>
              <w:bottom w:w="100" w:type="dxa"/>
              <w:end w:w="120" w:type="dxa"/>
            </w:tcMar>
            <w:vAlign w:val="top"/>
          </w:tcPr>
          <w:p>
            <w:r>
              <w:rPr>
                <w:sz w:val="17"/>
              </w:rPr>
              <w:t>Escalate high-visibility names, marks, taglines and close category similarities for legal review.</w:t>
            </w:r>
          </w:p>
        </w:tc>
      </w:tr>
    </w:tbl>
    <w:p/>
    <w:p>
      <w:pPr>
        <w:pStyle w:val="BodyText"/>
        <w:spacing w:after="120" w:line="259" w:lineRule="auto"/>
      </w:pPr>
      <w:r>
        <w:rPr>
          <w:b w:val="0"/>
          <w:i w:val="0"/>
        </w:rPr>
        <w:t>The protocol prohibits copying distinctive wording, diagrams, page composition, branded labels, proprietary scoring, protected images or confidential competitor materials. It also prohibits using an AI system to 'rewrite' competitor content into superficially different language.</w:t>
      </w:r>
    </w:p>
    <w:p>
      <w:pPr>
        <w:pStyle w:val="Heading1"/>
        <w:pBdr>
          <w:bottom w:val="single" w:sz="10" w:space="6" w:color="A97C50"/>
        </w:pBdr>
        <w:spacing w:before="320" w:after="160"/>
      </w:pPr>
      <w:r>
        <w:t>Schedule C — Constitutional Decision Record</w:t>
      </w:r>
    </w:p>
    <w:p>
      <w:pPr>
        <w:pStyle w:val="BodyText"/>
        <w:spacing w:after="120" w:line="259" w:lineRule="auto"/>
      </w:pPr>
      <w:r>
        <w:rPr>
          <w:b w:val="0"/>
          <w:i w:val="0"/>
        </w:rPr>
        <w:t>Use this record when a material decision creates tension among advisor interest, evidence, confidentiality, legal obligation, institutional reputation and economics.</w:t>
      </w:r>
    </w:p>
    <w:tbl>
      <w:tblPr>
        <w:tblStyle w:val="TableGrid"/>
        <w:tblW w:type="auto" w:w="0"/>
        <w:jc w:val="center"/>
        <w:tblLayout w:type="autofit"/>
        <w:tblLook w:firstColumn="1" w:firstRow="1" w:lastColumn="0" w:lastRow="0" w:noHBand="0" w:noVBand="1" w:val="04A0"/>
      </w:tblPr>
      <w:tblGrid>
        <w:gridCol w:w="4939"/>
        <w:gridCol w:w="4939"/>
      </w:tblGrid>
      <w:tr>
        <w:tc>
          <w:tcPr>
            <w:tcW w:type="dxa" w:w="4939"/>
            <w:shd w:fill="12233F"/>
            <w:tcMar>
              <w:top w:w="100" w:type="dxa"/>
              <w:start w:w="120" w:type="dxa"/>
              <w:bottom w:w="100" w:type="dxa"/>
              <w:end w:w="120" w:type="dxa"/>
            </w:tcMar>
          </w:tcPr>
          <w:p>
            <w:r>
              <w:rPr>
                <w:b/>
                <w:color w:val="FFFFFF"/>
                <w:sz w:val="16"/>
              </w:rPr>
              <w:t>Field</w:t>
            </w:r>
          </w:p>
        </w:tc>
        <w:tc>
          <w:tcPr>
            <w:tcW w:type="dxa" w:w="4939"/>
            <w:shd w:fill="12233F"/>
            <w:tcMar>
              <w:top w:w="100" w:type="dxa"/>
              <w:start w:w="120" w:type="dxa"/>
              <w:bottom w:w="100" w:type="dxa"/>
              <w:end w:w="120" w:type="dxa"/>
            </w:tcMar>
          </w:tcPr>
          <w:p>
            <w:r>
              <w:rPr>
                <w:b/>
                <w:color w:val="FFFFFF"/>
                <w:sz w:val="16"/>
              </w:rPr>
              <w:t>Required entry</w:t>
            </w:r>
          </w:p>
        </w:tc>
      </w:tr>
      <w:tr>
        <w:tc>
          <w:tcPr>
            <w:tcW w:type="dxa" w:w="4939"/>
            <w:tcMar>
              <w:top w:w="100" w:type="dxa"/>
              <w:start w:w="120" w:type="dxa"/>
              <w:bottom w:w="100" w:type="dxa"/>
              <w:end w:w="120" w:type="dxa"/>
            </w:tcMar>
            <w:vAlign w:val="top"/>
          </w:tcPr>
          <w:p>
            <w:r>
              <w:rPr>
                <w:sz w:val="16"/>
              </w:rPr>
              <w:t>Decision</w:t>
            </w:r>
          </w:p>
        </w:tc>
        <w:tc>
          <w:tcPr>
            <w:tcW w:type="dxa" w:w="4939"/>
            <w:tcMar>
              <w:top w:w="100" w:type="dxa"/>
              <w:start w:w="120" w:type="dxa"/>
              <w:bottom w:w="100" w:type="dxa"/>
              <w:end w:w="120" w:type="dxa"/>
            </w:tcMar>
            <w:vAlign w:val="top"/>
          </w:tcPr>
          <w:p>
            <w:r>
              <w:rPr>
                <w:sz w:val="16"/>
              </w:rPr>
              <w:t>What precisely is being decided?</w:t>
            </w:r>
          </w:p>
        </w:tc>
      </w:tr>
      <w:tr>
        <w:tc>
          <w:tcPr>
            <w:tcW w:type="dxa" w:w="4939"/>
            <w:tcMar>
              <w:top w:w="100" w:type="dxa"/>
              <w:start w:w="120" w:type="dxa"/>
              <w:bottom w:w="100" w:type="dxa"/>
              <w:end w:w="120" w:type="dxa"/>
            </w:tcMar>
            <w:vAlign w:val="top"/>
          </w:tcPr>
          <w:p>
            <w:r>
              <w:rPr>
                <w:sz w:val="16"/>
              </w:rPr>
              <w:t>Owner</w:t>
            </w:r>
          </w:p>
        </w:tc>
        <w:tc>
          <w:tcPr>
            <w:tcW w:type="dxa" w:w="4939"/>
            <w:tcMar>
              <w:top w:w="100" w:type="dxa"/>
              <w:start w:w="120" w:type="dxa"/>
              <w:bottom w:w="100" w:type="dxa"/>
              <w:end w:w="120" w:type="dxa"/>
            </w:tcMar>
            <w:vAlign w:val="top"/>
          </w:tcPr>
          <w:p>
            <w:r>
              <w:rPr>
                <w:sz w:val="16"/>
              </w:rPr>
              <w:t>Who is accountable for the decision?</w:t>
            </w:r>
          </w:p>
        </w:tc>
      </w:tr>
      <w:tr>
        <w:tc>
          <w:tcPr>
            <w:tcW w:type="dxa" w:w="4939"/>
            <w:tcMar>
              <w:top w:w="100" w:type="dxa"/>
              <w:start w:w="120" w:type="dxa"/>
              <w:bottom w:w="100" w:type="dxa"/>
              <w:end w:w="120" w:type="dxa"/>
            </w:tcMar>
            <w:vAlign w:val="top"/>
          </w:tcPr>
          <w:p>
            <w:r>
              <w:rPr>
                <w:sz w:val="16"/>
              </w:rPr>
              <w:t>Advisor objective</w:t>
            </w:r>
          </w:p>
        </w:tc>
        <w:tc>
          <w:tcPr>
            <w:tcW w:type="dxa" w:w="4939"/>
            <w:tcMar>
              <w:top w:w="100" w:type="dxa"/>
              <w:start w:w="120" w:type="dxa"/>
              <w:bottom w:w="100" w:type="dxa"/>
              <w:end w:w="120" w:type="dxa"/>
            </w:tcMar>
            <w:vAlign w:val="top"/>
          </w:tcPr>
          <w:p>
            <w:r>
              <w:rPr>
                <w:sz w:val="16"/>
              </w:rPr>
              <w:t>What outcome is the advisor trying to achieve?</w:t>
            </w:r>
          </w:p>
        </w:tc>
      </w:tr>
      <w:tr>
        <w:tc>
          <w:tcPr>
            <w:tcW w:type="dxa" w:w="4939"/>
            <w:tcMar>
              <w:top w:w="100" w:type="dxa"/>
              <w:start w:w="120" w:type="dxa"/>
              <w:bottom w:w="100" w:type="dxa"/>
              <w:end w:w="120" w:type="dxa"/>
            </w:tcMar>
            <w:vAlign w:val="top"/>
          </w:tcPr>
          <w:p>
            <w:r>
              <w:rPr>
                <w:sz w:val="16"/>
              </w:rPr>
              <w:t>Known facts</w:t>
            </w:r>
          </w:p>
        </w:tc>
        <w:tc>
          <w:tcPr>
            <w:tcW w:type="dxa" w:w="4939"/>
            <w:tcMar>
              <w:top w:w="100" w:type="dxa"/>
              <w:start w:w="120" w:type="dxa"/>
              <w:bottom w:w="100" w:type="dxa"/>
              <w:end w:w="120" w:type="dxa"/>
            </w:tcMar>
            <w:vAlign w:val="top"/>
          </w:tcPr>
          <w:p>
            <w:r>
              <w:rPr>
                <w:sz w:val="16"/>
              </w:rPr>
              <w:t>What has been verified?</w:t>
            </w:r>
          </w:p>
        </w:tc>
      </w:tr>
      <w:tr>
        <w:tc>
          <w:tcPr>
            <w:tcW w:type="dxa" w:w="4939"/>
            <w:tcMar>
              <w:top w:w="100" w:type="dxa"/>
              <w:start w:w="120" w:type="dxa"/>
              <w:bottom w:w="100" w:type="dxa"/>
              <w:end w:w="120" w:type="dxa"/>
            </w:tcMar>
            <w:vAlign w:val="top"/>
          </w:tcPr>
          <w:p>
            <w:r>
              <w:rPr>
                <w:sz w:val="16"/>
              </w:rPr>
              <w:t>Assumptions and unknowns</w:t>
            </w:r>
          </w:p>
        </w:tc>
        <w:tc>
          <w:tcPr>
            <w:tcW w:type="dxa" w:w="4939"/>
            <w:tcMar>
              <w:top w:w="100" w:type="dxa"/>
              <w:start w:w="120" w:type="dxa"/>
              <w:bottom w:w="100" w:type="dxa"/>
              <w:end w:w="120" w:type="dxa"/>
            </w:tcMar>
            <w:vAlign w:val="top"/>
          </w:tcPr>
          <w:p>
            <w:r>
              <w:rPr>
                <w:sz w:val="16"/>
              </w:rPr>
              <w:t>What remains estimated, inferred or unresolved?</w:t>
            </w:r>
          </w:p>
        </w:tc>
      </w:tr>
      <w:tr>
        <w:tc>
          <w:tcPr>
            <w:tcW w:type="dxa" w:w="4939"/>
            <w:tcMar>
              <w:top w:w="100" w:type="dxa"/>
              <w:start w:w="120" w:type="dxa"/>
              <w:bottom w:w="100" w:type="dxa"/>
              <w:end w:w="120" w:type="dxa"/>
            </w:tcMar>
            <w:vAlign w:val="top"/>
          </w:tcPr>
          <w:p>
            <w:r>
              <w:rPr>
                <w:sz w:val="16"/>
              </w:rPr>
              <w:t>Alternatives</w:t>
            </w:r>
          </w:p>
        </w:tc>
        <w:tc>
          <w:tcPr>
            <w:tcW w:type="dxa" w:w="4939"/>
            <w:tcMar>
              <w:top w:w="100" w:type="dxa"/>
              <w:start w:w="120" w:type="dxa"/>
              <w:bottom w:w="100" w:type="dxa"/>
              <w:end w:w="120" w:type="dxa"/>
            </w:tcMar>
            <w:vAlign w:val="top"/>
          </w:tcPr>
          <w:p>
            <w:r>
              <w:rPr>
                <w:sz w:val="16"/>
              </w:rPr>
              <w:t>What credible paths were evaluated, including staying or waiting?</w:t>
            </w:r>
          </w:p>
        </w:tc>
      </w:tr>
      <w:tr>
        <w:tc>
          <w:tcPr>
            <w:tcW w:type="dxa" w:w="4939"/>
            <w:tcMar>
              <w:top w:w="100" w:type="dxa"/>
              <w:start w:w="120" w:type="dxa"/>
              <w:bottom w:w="100" w:type="dxa"/>
              <w:end w:w="120" w:type="dxa"/>
            </w:tcMar>
            <w:vAlign w:val="top"/>
          </w:tcPr>
          <w:p>
            <w:r>
              <w:rPr>
                <w:sz w:val="16"/>
              </w:rPr>
              <w:t>Conflicts</w:t>
            </w:r>
          </w:p>
        </w:tc>
        <w:tc>
          <w:tcPr>
            <w:tcW w:type="dxa" w:w="4939"/>
            <w:tcMar>
              <w:top w:w="100" w:type="dxa"/>
              <w:start w:w="120" w:type="dxa"/>
              <w:bottom w:w="100" w:type="dxa"/>
              <w:end w:w="120" w:type="dxa"/>
            </w:tcMar>
            <w:vAlign w:val="top"/>
          </w:tcPr>
          <w:p>
            <w:r>
              <w:rPr>
                <w:sz w:val="16"/>
              </w:rPr>
              <w:t>What economic, relational or organizational interests may influence judgment?</w:t>
            </w:r>
          </w:p>
        </w:tc>
      </w:tr>
      <w:tr>
        <w:tc>
          <w:tcPr>
            <w:tcW w:type="dxa" w:w="4939"/>
            <w:tcMar>
              <w:top w:w="100" w:type="dxa"/>
              <w:start w:w="120" w:type="dxa"/>
              <w:bottom w:w="100" w:type="dxa"/>
              <w:end w:w="120" w:type="dxa"/>
            </w:tcMar>
            <w:vAlign w:val="top"/>
          </w:tcPr>
          <w:p>
            <w:r>
              <w:rPr>
                <w:sz w:val="16"/>
              </w:rPr>
              <w:t>Constitutional principles</w:t>
            </w:r>
          </w:p>
        </w:tc>
        <w:tc>
          <w:tcPr>
            <w:tcW w:type="dxa" w:w="4939"/>
            <w:tcMar>
              <w:top w:w="100" w:type="dxa"/>
              <w:start w:w="120" w:type="dxa"/>
              <w:bottom w:w="100" w:type="dxa"/>
              <w:end w:w="120" w:type="dxa"/>
            </w:tcMar>
            <w:vAlign w:val="top"/>
          </w:tcPr>
          <w:p>
            <w:r>
              <w:rPr>
                <w:sz w:val="16"/>
              </w:rPr>
              <w:t>Which Articles govern the decision?</w:t>
            </w:r>
          </w:p>
        </w:tc>
      </w:tr>
      <w:tr>
        <w:tc>
          <w:tcPr>
            <w:tcW w:type="dxa" w:w="4939"/>
            <w:tcMar>
              <w:top w:w="100" w:type="dxa"/>
              <w:start w:w="120" w:type="dxa"/>
              <w:bottom w:w="100" w:type="dxa"/>
              <w:end w:w="120" w:type="dxa"/>
            </w:tcMar>
            <w:vAlign w:val="top"/>
          </w:tcPr>
          <w:p>
            <w:r>
              <w:rPr>
                <w:sz w:val="16"/>
              </w:rPr>
              <w:t>Conclusion</w:t>
            </w:r>
          </w:p>
        </w:tc>
        <w:tc>
          <w:tcPr>
            <w:tcW w:type="dxa" w:w="4939"/>
            <w:tcMar>
              <w:top w:w="100" w:type="dxa"/>
              <w:start w:w="120" w:type="dxa"/>
              <w:bottom w:w="100" w:type="dxa"/>
              <w:end w:w="120" w:type="dxa"/>
            </w:tcMar>
            <w:vAlign w:val="top"/>
          </w:tcPr>
          <w:p>
            <w:r>
              <w:rPr>
                <w:sz w:val="16"/>
              </w:rPr>
              <w:t>What is the decision and why?</w:t>
            </w:r>
          </w:p>
        </w:tc>
      </w:tr>
      <w:tr>
        <w:tc>
          <w:tcPr>
            <w:tcW w:type="dxa" w:w="4939"/>
            <w:tcMar>
              <w:top w:w="100" w:type="dxa"/>
              <w:start w:w="120" w:type="dxa"/>
              <w:bottom w:w="100" w:type="dxa"/>
              <w:end w:w="120" w:type="dxa"/>
            </w:tcMar>
            <w:vAlign w:val="top"/>
          </w:tcPr>
          <w:p>
            <w:r>
              <w:rPr>
                <w:sz w:val="16"/>
              </w:rPr>
              <w:t>Conditions / review date</w:t>
            </w:r>
          </w:p>
        </w:tc>
        <w:tc>
          <w:tcPr>
            <w:tcW w:type="dxa" w:w="4939"/>
            <w:tcMar>
              <w:top w:w="100" w:type="dxa"/>
              <w:start w:w="120" w:type="dxa"/>
              <w:bottom w:w="100" w:type="dxa"/>
              <w:end w:w="120" w:type="dxa"/>
            </w:tcMar>
            <w:vAlign w:val="top"/>
          </w:tcPr>
          <w:p>
            <w:r>
              <w:rPr>
                <w:sz w:val="16"/>
              </w:rPr>
              <w:t>What could change the decision and when will it be revisited?</w:t>
            </w:r>
          </w:p>
        </w:tc>
      </w:tr>
    </w:tbl>
    <w:p/>
    <w:p>
      <w:pPr>
        <w:pStyle w:val="Heading1"/>
        <w:pBdr>
          <w:bottom w:val="single" w:sz="10" w:space="6" w:color="A97C50"/>
        </w:pBdr>
        <w:spacing w:before="320" w:after="160"/>
      </w:pPr>
      <w:r>
        <w:t>Schedule D — Adoption and Change Log</w:t>
      </w:r>
    </w:p>
    <w:tbl>
      <w:tblPr>
        <w:tblStyle w:val="TableGrid"/>
        <w:tblW w:type="auto" w:w="0"/>
        <w:jc w:val="center"/>
        <w:tblLayout w:type="autofit"/>
        <w:tblLook w:firstColumn="1" w:firstRow="1" w:lastColumn="0" w:lastRow="0" w:noHBand="0" w:noVBand="1" w:val="04A0"/>
      </w:tblPr>
      <w:tblGrid>
        <w:gridCol w:w="2469"/>
        <w:gridCol w:w="2469"/>
        <w:gridCol w:w="2469"/>
        <w:gridCol w:w="2469"/>
      </w:tblGrid>
      <w:tr>
        <w:tc>
          <w:tcPr>
            <w:tcW w:type="dxa" w:w="2469"/>
            <w:shd w:fill="12233F"/>
            <w:tcMar>
              <w:top w:w="100" w:type="dxa"/>
              <w:start w:w="120" w:type="dxa"/>
              <w:bottom w:w="100" w:type="dxa"/>
              <w:end w:w="120" w:type="dxa"/>
            </w:tcMar>
          </w:tcPr>
          <w:p>
            <w:r>
              <w:rPr>
                <w:b/>
                <w:color w:val="FFFFFF"/>
                <w:sz w:val="17"/>
              </w:rPr>
              <w:t>Version</w:t>
            </w:r>
          </w:p>
        </w:tc>
        <w:tc>
          <w:tcPr>
            <w:tcW w:type="dxa" w:w="2469"/>
            <w:shd w:fill="12233F"/>
            <w:tcMar>
              <w:top w:w="100" w:type="dxa"/>
              <w:start w:w="120" w:type="dxa"/>
              <w:bottom w:w="100" w:type="dxa"/>
              <w:end w:w="120" w:type="dxa"/>
            </w:tcMar>
          </w:tcPr>
          <w:p>
            <w:r>
              <w:rPr>
                <w:b/>
                <w:color w:val="FFFFFF"/>
                <w:sz w:val="17"/>
              </w:rPr>
              <w:t>Date</w:t>
            </w:r>
          </w:p>
        </w:tc>
        <w:tc>
          <w:tcPr>
            <w:tcW w:type="dxa" w:w="2469"/>
            <w:shd w:fill="12233F"/>
            <w:tcMar>
              <w:top w:w="100" w:type="dxa"/>
              <w:start w:w="120" w:type="dxa"/>
              <w:bottom w:w="100" w:type="dxa"/>
              <w:end w:w="120" w:type="dxa"/>
            </w:tcMar>
          </w:tcPr>
          <w:p>
            <w:r>
              <w:rPr>
                <w:b/>
                <w:color w:val="FFFFFF"/>
                <w:sz w:val="17"/>
              </w:rPr>
              <w:t>Status</w:t>
            </w:r>
          </w:p>
        </w:tc>
        <w:tc>
          <w:tcPr>
            <w:tcW w:type="dxa" w:w="2469"/>
            <w:shd w:fill="12233F"/>
            <w:tcMar>
              <w:top w:w="100" w:type="dxa"/>
              <w:start w:w="120" w:type="dxa"/>
              <w:bottom w:w="100" w:type="dxa"/>
              <w:end w:w="120" w:type="dxa"/>
            </w:tcMar>
          </w:tcPr>
          <w:p>
            <w:r>
              <w:rPr>
                <w:b/>
                <w:color w:val="FFFFFF"/>
                <w:sz w:val="17"/>
              </w:rPr>
              <w:t>Summary</w:t>
            </w:r>
          </w:p>
        </w:tc>
      </w:tr>
      <w:tr>
        <w:tc>
          <w:tcPr>
            <w:tcW w:type="dxa" w:w="2469"/>
            <w:tcMar>
              <w:top w:w="100" w:type="dxa"/>
              <w:start w:w="120" w:type="dxa"/>
              <w:bottom w:w="100" w:type="dxa"/>
              <w:end w:w="120" w:type="dxa"/>
            </w:tcMar>
            <w:vAlign w:val="top"/>
          </w:tcPr>
          <w:p>
            <w:r>
              <w:rPr>
                <w:sz w:val="17"/>
              </w:rPr>
              <w:t>0.1</w:t>
            </w:r>
          </w:p>
        </w:tc>
        <w:tc>
          <w:tcPr>
            <w:tcW w:type="dxa" w:w="2469"/>
            <w:tcMar>
              <w:top w:w="100" w:type="dxa"/>
              <w:start w:w="120" w:type="dxa"/>
              <w:bottom w:w="100" w:type="dxa"/>
              <w:end w:w="120" w:type="dxa"/>
            </w:tcMar>
            <w:vAlign w:val="top"/>
          </w:tcPr>
          <w:p>
            <w:r>
              <w:rPr>
                <w:sz w:val="17"/>
              </w:rPr>
              <w:t>July 2026</w:t>
            </w:r>
          </w:p>
        </w:tc>
        <w:tc>
          <w:tcPr>
            <w:tcW w:type="dxa" w:w="2469"/>
            <w:tcMar>
              <w:top w:w="100" w:type="dxa"/>
              <w:start w:w="120" w:type="dxa"/>
              <w:bottom w:w="100" w:type="dxa"/>
              <w:end w:w="120" w:type="dxa"/>
            </w:tcMar>
            <w:vAlign w:val="top"/>
          </w:tcPr>
          <w:p>
            <w:r>
              <w:rPr>
                <w:sz w:val="17"/>
              </w:rPr>
              <w:t>Founding governance draft</w:t>
            </w:r>
          </w:p>
        </w:tc>
        <w:tc>
          <w:tcPr>
            <w:tcW w:type="dxa" w:w="2469"/>
            <w:tcMar>
              <w:top w:w="100" w:type="dxa"/>
              <w:start w:w="120" w:type="dxa"/>
              <w:bottom w:w="100" w:type="dxa"/>
              <w:end w:w="120" w:type="dxa"/>
            </w:tcMar>
            <w:vAlign w:val="top"/>
          </w:tcPr>
          <w:p>
            <w:r>
              <w:rPr>
                <w:sz w:val="17"/>
              </w:rPr>
              <w:t>Establishes purpose, identity, Decision Quality doctrine, VYNE Standard, obligations, institutional boundaries and originality controls.</w:t>
            </w:r>
          </w:p>
        </w:tc>
      </w:tr>
      <w:tr>
        <w:tc>
          <w:tcPr>
            <w:tcW w:type="dxa" w:w="2469"/>
            <w:tcMar>
              <w:top w:w="100" w:type="dxa"/>
              <w:start w:w="120" w:type="dxa"/>
              <w:bottom w:w="100" w:type="dxa"/>
              <w:end w:w="120" w:type="dxa"/>
            </w:tcMar>
            <w:vAlign w:val="top"/>
          </w:tcPr>
          <w:p>
            <w:r>
              <w:rPr>
                <w:sz w:val="17"/>
              </w:rPr>
            </w:r>
          </w:p>
        </w:tc>
        <w:tc>
          <w:tcPr>
            <w:tcW w:type="dxa" w:w="2469"/>
            <w:tcMar>
              <w:top w:w="100" w:type="dxa"/>
              <w:start w:w="120" w:type="dxa"/>
              <w:bottom w:w="100" w:type="dxa"/>
              <w:end w:w="120" w:type="dxa"/>
            </w:tcMar>
            <w:vAlign w:val="top"/>
          </w:tcPr>
          <w:p>
            <w:r>
              <w:rPr>
                <w:sz w:val="17"/>
              </w:rPr>
            </w:r>
          </w:p>
        </w:tc>
        <w:tc>
          <w:tcPr>
            <w:tcW w:type="dxa" w:w="2469"/>
            <w:tcMar>
              <w:top w:w="100" w:type="dxa"/>
              <w:start w:w="120" w:type="dxa"/>
              <w:bottom w:w="100" w:type="dxa"/>
              <w:end w:w="120" w:type="dxa"/>
            </w:tcMar>
            <w:vAlign w:val="top"/>
          </w:tcPr>
          <w:p>
            <w:r>
              <w:rPr>
                <w:sz w:val="17"/>
              </w:rPr>
            </w:r>
          </w:p>
        </w:tc>
        <w:tc>
          <w:tcPr>
            <w:tcW w:type="dxa" w:w="2469"/>
            <w:tcMar>
              <w:top w:w="100" w:type="dxa"/>
              <w:start w:w="120" w:type="dxa"/>
              <w:bottom w:w="100" w:type="dxa"/>
              <w:end w:w="120" w:type="dxa"/>
            </w:tcMar>
            <w:vAlign w:val="top"/>
          </w:tcPr>
          <w:p>
            <w:r>
              <w:rPr>
                <w:sz w:val="17"/>
              </w:rPr>
            </w:r>
          </w:p>
        </w:tc>
      </w:tr>
      <w:tr>
        <w:tc>
          <w:tcPr>
            <w:tcW w:type="dxa" w:w="2469"/>
            <w:tcMar>
              <w:top w:w="100" w:type="dxa"/>
              <w:start w:w="120" w:type="dxa"/>
              <w:bottom w:w="100" w:type="dxa"/>
              <w:end w:w="120" w:type="dxa"/>
            </w:tcMar>
            <w:vAlign w:val="top"/>
          </w:tcPr>
          <w:p>
            <w:r>
              <w:rPr>
                <w:sz w:val="17"/>
              </w:rPr>
            </w:r>
          </w:p>
        </w:tc>
        <w:tc>
          <w:tcPr>
            <w:tcW w:type="dxa" w:w="2469"/>
            <w:tcMar>
              <w:top w:w="100" w:type="dxa"/>
              <w:start w:w="120" w:type="dxa"/>
              <w:bottom w:w="100" w:type="dxa"/>
              <w:end w:w="120" w:type="dxa"/>
            </w:tcMar>
            <w:vAlign w:val="top"/>
          </w:tcPr>
          <w:p>
            <w:r>
              <w:rPr>
                <w:sz w:val="17"/>
              </w:rPr>
            </w:r>
          </w:p>
        </w:tc>
        <w:tc>
          <w:tcPr>
            <w:tcW w:type="dxa" w:w="2469"/>
            <w:tcMar>
              <w:top w:w="100" w:type="dxa"/>
              <w:start w:w="120" w:type="dxa"/>
              <w:bottom w:w="100" w:type="dxa"/>
              <w:end w:w="120" w:type="dxa"/>
            </w:tcMar>
            <w:vAlign w:val="top"/>
          </w:tcPr>
          <w:p>
            <w:r>
              <w:rPr>
                <w:sz w:val="17"/>
              </w:rPr>
            </w:r>
          </w:p>
        </w:tc>
        <w:tc>
          <w:tcPr>
            <w:tcW w:type="dxa" w:w="2469"/>
            <w:tcMar>
              <w:top w:w="100" w:type="dxa"/>
              <w:start w:w="120" w:type="dxa"/>
              <w:bottom w:w="100" w:type="dxa"/>
              <w:end w:w="120" w:type="dxa"/>
            </w:tcMar>
            <w:vAlign w:val="top"/>
          </w:tcPr>
          <w:p>
            <w:r>
              <w:rPr>
                <w:sz w:val="17"/>
              </w:rPr>
            </w:r>
          </w:p>
        </w:tc>
      </w:tr>
    </w:tbl>
    <w:p/>
    <w:p>
      <w:pPr>
        <w:pStyle w:val="Heading1"/>
        <w:pBdr>
          <w:bottom w:val="single" w:sz="10" w:space="6" w:color="A97C50"/>
        </w:pBdr>
        <w:spacing w:before="320" w:after="160"/>
      </w:pPr>
      <w:r>
        <w:t>Closing Declaration</w:t>
      </w:r>
    </w:p>
    <w:p>
      <w:pPr>
        <w:pStyle w:val="BodyText"/>
        <w:spacing w:after="120" w:line="259" w:lineRule="auto"/>
      </w:pPr>
      <w:r>
        <w:rPr>
          <w:b w:val="0"/>
          <w:i w:val="0"/>
        </w:rPr>
        <w:t>VYNE will be judged not only by the advisors who move, but by the quality of every decision it helps an advisor make.</w:t>
      </w:r>
    </w:p>
    <w:p>
      <w:pPr>
        <w:pStyle w:val="BodyText"/>
        <w:spacing w:after="120" w:line="259" w:lineRule="auto"/>
      </w:pPr>
      <w:r>
        <w:rPr>
          <w:b w:val="0"/>
          <w:i w:val="0"/>
        </w:rPr>
        <w:t>The institution will earn the right to advise by being objective when objectivity is costly, clear when complexity is profitable, restrained when urgency is tempting and accountable when mistakes occur.</w:t>
      </w:r>
    </w:p>
    <w:tbl>
      <w:tblPr>
        <w:tblW w:type="auto" w:w="0"/>
        <w:jc w:val="center"/>
        <w:tblLayout w:type="autofit"/>
        <w:tblLook w:firstColumn="1" w:firstRow="1" w:lastColumn="0" w:lastRow="0" w:noHBand="0" w:noVBand="1" w:val="04A0"/>
      </w:tblPr>
      <w:tblGrid>
        <w:gridCol w:w="9878"/>
      </w:tblGrid>
      <w:tr>
        <w:tc>
          <w:tcPr>
            <w:tcW w:type="dxa" w:w="9878"/>
            <w:shd w:fill="12233F"/>
            <w:tcMar>
              <w:top w:w="150" w:type="dxa"/>
              <w:start w:w="180" w:type="dxa"/>
              <w:bottom w:w="150" w:type="dxa"/>
              <w:end w:w="180" w:type="dxa"/>
            </w:tcMar>
          </w:tcPr>
          <w:p>
            <w:r/>
            <w:r>
              <w:rPr>
                <w:b/>
                <w:color w:val="FFFFFF"/>
                <w:sz w:val="17"/>
              </w:rPr>
              <w:t>THE PERMANENT PROMISE</w:t>
            </w:r>
          </w:p>
          <w:p>
            <w:pPr>
              <w:spacing w:after="0"/>
            </w:pPr>
            <w:r>
              <w:rPr>
                <w:b/>
                <w:color w:val="FFFFFF"/>
                <w:sz w:val="22"/>
              </w:rPr>
              <w:t>VYNE helped me make a better decision than I would have made on my own.</w:t>
            </w:r>
          </w:p>
        </w:tc>
      </w:tr>
    </w:tbl>
    <w:p>
      <w:pPr>
        <w:spacing w:after="20"/>
      </w:pPr>
    </w:p>
    <w:p>
      <w:pPr>
        <w:pStyle w:val="Heading1"/>
        <w:pBdr>
          <w:bottom w:val="single" w:sz="10" w:space="6" w:color="A97C50"/>
        </w:pBdr>
        <w:spacing w:before="320" w:after="160"/>
      </w:pPr>
      <w:r>
        <w:t>Status and Next Governing Build</w:t>
      </w:r>
    </w:p>
    <w:p>
      <w:pPr>
        <w:pStyle w:val="BodyText"/>
        <w:spacing w:after="120" w:line="259" w:lineRule="auto"/>
      </w:pPr>
      <w:r>
        <w:rPr>
          <w:b w:val="0"/>
          <w:i w:val="0"/>
        </w:rPr>
        <w:t>This document is a founding governance draft. It should be reviewed for strategic coherence, legal implications, trademark availability and consistency with the final VYNE Framework before formal adoption.</w:t>
      </w:r>
    </w:p>
    <w:p>
      <w:pPr>
        <w:pStyle w:val="BodyText"/>
        <w:spacing w:after="120" w:line="259" w:lineRule="auto"/>
      </w:pPr>
      <w:r>
        <w:rPr>
          <w:b w:val="0"/>
          <w:i w:val="0"/>
        </w:rPr>
        <w:t>The next canonical build is the VYNE Framework and VYNE's 9 Methodology Canon. That work will translate the Constitution into a complete advisor decision process without borrowing competitor expression or architecture.</w:t>
      </w:r>
    </w:p>
    <w:sectPr w:rsidR="00FC693F" w:rsidRPr="0006063C" w:rsidSect="00034616">
      <w:footerReference w:type="default" r:id="rId9"/>
      <w:pgSz w:w="12240" w:h="15840"/>
      <w:pgMar w:top="936"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D495B"/>
        <w:sz w:val="16"/>
      </w:rPr>
      <w:t xml:space="preserve">VYNE STRATEGIES  |  VOLUME I — THE CONSTITUTION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D26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233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233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23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color w:val="1D2633"/>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