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B48A35"/>
          <w:sz w:val="22"/>
        </w:rPr>
        <w:t>V Y N E   S T R A T E G I E S</w:t>
      </w:r>
    </w:p>
    <w:p>
      <w:pPr>
        <w:jc w:val="center"/>
      </w:pPr>
      <w:r>
        <w:rPr>
          <w:b/>
          <w:color w:val="425066"/>
          <w:sz w:val="26"/>
        </w:rPr>
        <w:t>VOLUME III</w:t>
      </w:r>
    </w:p>
    <w:p>
      <w:pPr>
        <w:jc w:val="center"/>
      </w:pPr>
      <w:r>
        <w:rPr>
          <w:rFonts w:ascii="Aptos Display" w:hAnsi="Aptos Display"/>
          <w:b/>
          <w:color w:val="12233F"/>
          <w:sz w:val="58"/>
        </w:rPr>
        <w:t>THE CLIENT EXPERIENCE SYSTEM</w:t>
      </w:r>
    </w:p>
    <w:p>
      <w:pPr>
        <w:jc w:val="center"/>
      </w:pPr>
      <w:r>
        <w:rPr>
          <w:rFonts w:ascii="Aptos Display" w:hAnsi="Aptos Display"/>
          <w:b/>
          <w:color w:val="214E3B"/>
          <w:sz w:val="38"/>
        </w:rPr>
        <w:t>and Advisor Studio Blueprint</w:t>
      </w:r>
    </w:p>
    <w:p>
      <w:pPr>
        <w:jc w:val="center"/>
      </w:pPr>
      <w:r>
        <w:rPr>
          <w:color w:val="425066"/>
          <w:sz w:val="26"/>
        </w:rPr>
        <w:t>How VYNE turns decision quality into a repeatable, private and premium advisor experience</w:t>
      </w:r>
    </w:p>
    <w:tbl>
      <w:tblPr>
        <w:tblW w:type="auto" w:w="0"/>
        <w:jc w:val="center"/>
        <w:tblLook w:firstColumn="1" w:firstRow="1" w:lastColumn="0" w:lastRow="0" w:noHBand="0" w:noVBand="1" w:val="04A0"/>
      </w:tblPr>
      <w:tblGrid>
        <w:gridCol w:w="9994"/>
      </w:tblGrid>
      <w:tr>
        <w:tc>
          <w:tcPr>
            <w:tcW w:type="dxa" w:w="9994"/>
            <w:shd w:fill="12233F"/>
            <w:tcMar>
              <w:top w:w="140" w:type="dxa"/>
              <w:start w:w="170" w:type="dxa"/>
              <w:bottom w:w="140" w:type="dxa"/>
              <w:end w:w="170" w:type="dxa"/>
            </w:tcMar>
          </w:tcPr>
          <w:p>
            <w:r/>
            <w:r>
              <w:rPr>
                <w:b/>
                <w:color w:val="FFFFFF"/>
                <w:sz w:val="17"/>
              </w:rPr>
              <w:t>PERMANENT SEPARATION</w:t>
            </w:r>
          </w:p>
          <w:p>
            <w:pPr>
              <w:spacing w:after="0"/>
            </w:pPr>
            <w:r>
              <w:rPr>
                <w:b/>
                <w:color w:val="FFFFFF"/>
                <w:sz w:val="22"/>
              </w:rPr>
              <w:t>VYNE OS is the founder's internal operating system. Advisor Studio is the controlled advisor-facing environment. They may share approved data and models, but they are not the same product.</w:t>
            </w:r>
          </w:p>
        </w:tc>
      </w:tr>
    </w:tbl>
    <w:p>
      <w:pPr>
        <w:spacing w:after="20"/>
      </w:pPr>
    </w:p>
    <w:p>
      <w:pPr>
        <w:spacing w:before="1040"/>
        <w:jc w:val="center"/>
      </w:pPr>
      <w:r>
        <w:rPr>
          <w:b/>
          <w:color w:val="8B2E2E"/>
          <w:sz w:val="18"/>
        </w:rPr>
        <w:t>VERSION 0.1  |  JULY 2026  |  CONFIDENTIAL — FOUNDING EXPERIENCE BLUEPRINT</w:t>
      </w:r>
    </w:p>
    <w:p>
      <w:r>
        <w:br w:type="page"/>
      </w:r>
    </w:p>
    <w:p>
      <w:pPr>
        <w:pStyle w:val="Heading1"/>
        <w:pBdr>
          <w:bottom w:val="single" w:sz="10" w:space="6" w:color="B48A35"/>
        </w:pBdr>
      </w:pPr>
      <w:r>
        <w:t>Executive Decision</w:t>
      </w:r>
    </w:p>
    <w:p>
      <w:pPr>
        <w:pStyle w:val="BodyText"/>
        <w:spacing w:after="120" w:line="259" w:lineRule="auto"/>
      </w:pPr>
      <w:r>
        <w:rPr>
          <w:b w:val="0"/>
          <w:i w:val="0"/>
        </w:rPr>
        <w:t>VYNE should operate as a two-environment platform built around one shared methodology.</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E8F0EA"/>
            <w:tcMar>
              <w:top w:w="140" w:type="dxa"/>
              <w:start w:w="130" w:type="dxa"/>
              <w:bottom w:w="140" w:type="dxa"/>
              <w:end w:w="130" w:type="dxa"/>
            </w:tcMar>
          </w:tcPr>
          <w:p>
            <w:r/>
            <w:r>
              <w:rPr>
                <w:b/>
                <w:color w:val="12233F"/>
                <w:sz w:val="24"/>
              </w:rPr>
              <w:t>VYNE OS</w:t>
            </w:r>
          </w:p>
          <w:p>
            <w:r>
              <w:rPr>
                <w:i/>
                <w:color w:val="425066"/>
                <w:sz w:val="17"/>
              </w:rPr>
              <w:t>Founder-facing</w:t>
            </w:r>
          </w:p>
          <w:p>
            <w:pPr>
              <w:pStyle w:val="ListBullet"/>
              <w:spacing w:after="20"/>
            </w:pPr>
            <w:r>
              <w:t>CRM and pipeline</w:t>
            </w:r>
          </w:p>
          <w:p>
            <w:pPr>
              <w:pStyle w:val="ListBullet"/>
              <w:spacing w:after="20"/>
            </w:pPr>
            <w:r>
              <w:t>Internal notes</w:t>
            </w:r>
          </w:p>
          <w:p>
            <w:pPr>
              <w:pStyle w:val="ListBullet"/>
              <w:spacing w:after="20"/>
            </w:pPr>
            <w:r>
              <w:t>Firm intelligence</w:t>
            </w:r>
          </w:p>
          <w:p>
            <w:pPr>
              <w:pStyle w:val="ListBullet"/>
              <w:spacing w:after="20"/>
            </w:pPr>
            <w:r>
              <w:t>Recruiter activity</w:t>
            </w:r>
          </w:p>
          <w:p>
            <w:pPr>
              <w:pStyle w:val="ListBullet"/>
              <w:spacing w:after="20"/>
            </w:pPr>
            <w:r>
              <w:t>Fees and collections</w:t>
            </w:r>
          </w:p>
          <w:p>
            <w:pPr>
              <w:pStyle w:val="ListBullet"/>
              <w:spacing w:after="20"/>
            </w:pPr>
            <w:r>
              <w:t>Tasks and follow-up</w:t>
            </w:r>
          </w:p>
        </w:tc>
        <w:tc>
          <w:tcPr>
            <w:tcW w:type="dxa" w:w="3331"/>
            <w:shd w:fill="E8F0F8"/>
            <w:tcMar>
              <w:top w:w="140" w:type="dxa"/>
              <w:start w:w="130" w:type="dxa"/>
              <w:bottom w:w="140" w:type="dxa"/>
              <w:end w:w="130" w:type="dxa"/>
            </w:tcMar>
          </w:tcPr>
          <w:p>
            <w:r/>
            <w:r>
              <w:rPr>
                <w:b/>
                <w:color w:val="12233F"/>
                <w:sz w:val="24"/>
              </w:rPr>
              <w:t>Decision Engine</w:t>
            </w:r>
          </w:p>
          <w:p>
            <w:r>
              <w:rPr>
                <w:i/>
                <w:color w:val="425066"/>
                <w:sz w:val="17"/>
              </w:rPr>
              <w:t>Shared intellectual core</w:t>
            </w:r>
          </w:p>
          <w:p>
            <w:pPr>
              <w:pStyle w:val="ListBullet"/>
              <w:spacing w:after="20"/>
            </w:pPr>
            <w:r>
              <w:t>VYNE Framework</w:t>
            </w:r>
          </w:p>
          <w:p>
            <w:pPr>
              <w:pStyle w:val="ListBullet"/>
              <w:spacing w:after="20"/>
            </w:pPr>
            <w:r>
              <w:t>VYNE's 9</w:t>
            </w:r>
          </w:p>
          <w:p>
            <w:pPr>
              <w:pStyle w:val="ListBullet"/>
              <w:spacing w:after="20"/>
            </w:pPr>
            <w:r>
              <w:t>Models and assumptions</w:t>
            </w:r>
          </w:p>
          <w:p>
            <w:pPr>
              <w:pStyle w:val="ListBullet"/>
              <w:spacing w:after="20"/>
            </w:pPr>
            <w:r>
              <w:t>Decision states</w:t>
            </w:r>
          </w:p>
          <w:p>
            <w:pPr>
              <w:pStyle w:val="ListBullet"/>
              <w:spacing w:after="20"/>
            </w:pPr>
            <w:r>
              <w:t>Evidence and permissions</w:t>
            </w:r>
          </w:p>
          <w:p>
            <w:pPr>
              <w:pStyle w:val="ListBullet"/>
              <w:spacing w:after="20"/>
            </w:pPr>
            <w:r>
              <w:t>Advisor deliverables</w:t>
            </w:r>
          </w:p>
        </w:tc>
        <w:tc>
          <w:tcPr>
            <w:tcW w:type="dxa" w:w="3331"/>
            <w:shd w:fill="F5EFD9"/>
            <w:tcMar>
              <w:top w:w="140" w:type="dxa"/>
              <w:start w:w="130" w:type="dxa"/>
              <w:bottom w:w="140" w:type="dxa"/>
              <w:end w:w="130" w:type="dxa"/>
            </w:tcMar>
          </w:tcPr>
          <w:p>
            <w:r/>
            <w:r>
              <w:rPr>
                <w:b/>
                <w:color w:val="12233F"/>
                <w:sz w:val="24"/>
              </w:rPr>
              <w:t>Advisor Studio</w:t>
            </w:r>
          </w:p>
          <w:p>
            <w:r>
              <w:rPr>
                <w:i/>
                <w:color w:val="425066"/>
                <w:sz w:val="17"/>
              </w:rPr>
              <w:t>Advisor-facing</w:t>
            </w:r>
          </w:p>
          <w:p>
            <w:pPr>
              <w:pStyle w:val="ListBullet"/>
              <w:spacing w:after="20"/>
            </w:pPr>
            <w:r>
              <w:t>Decision journey</w:t>
            </w:r>
          </w:p>
          <w:p>
            <w:pPr>
              <w:pStyle w:val="ListBullet"/>
              <w:spacing w:after="20"/>
            </w:pPr>
            <w:r>
              <w:t>Approved models</w:t>
            </w:r>
          </w:p>
          <w:p>
            <w:pPr>
              <w:pStyle w:val="ListBullet"/>
              <w:spacing w:after="20"/>
            </w:pPr>
            <w:r>
              <w:t>Secure documents</w:t>
            </w:r>
          </w:p>
          <w:p>
            <w:pPr>
              <w:pStyle w:val="ListBullet"/>
              <w:spacing w:after="20"/>
            </w:pPr>
            <w:r>
              <w:t>Meeting outputs</w:t>
            </w:r>
          </w:p>
          <w:p>
            <w:pPr>
              <w:pStyle w:val="ListBullet"/>
              <w:spacing w:after="20"/>
            </w:pPr>
            <w:r>
              <w:t>Recommendations</w:t>
            </w:r>
          </w:p>
          <w:p>
            <w:pPr>
              <w:pStyle w:val="ListBullet"/>
              <w:spacing w:after="20"/>
            </w:pPr>
            <w:r>
              <w:t>Tasks and timeline</w:t>
            </w:r>
          </w:p>
        </w:tc>
      </w:tr>
    </w:tbl>
    <w:p/>
    <w:p>
      <w:pPr>
        <w:pStyle w:val="BodyText"/>
        <w:spacing w:after="120" w:line="259" w:lineRule="auto"/>
      </w:pPr>
      <w:r>
        <w:rPr>
          <w:b w:val="0"/>
          <w:i w:val="0"/>
        </w:rPr>
        <w:t>The internal system manages the business. The advisor-facing system manages the experience. A controlled publishing layer determines what moves from one environment to the other.</w:t>
      </w:r>
    </w:p>
    <w:tbl>
      <w:tblPr>
        <w:tblW w:type="auto" w:w="0"/>
        <w:jc w:val="center"/>
        <w:tblLook w:firstColumn="1" w:firstRow="1" w:lastColumn="0" w:lastRow="0" w:noHBand="0" w:noVBand="1" w:val="04A0"/>
      </w:tblPr>
      <w:tblGrid>
        <w:gridCol w:w="9994"/>
      </w:tblGrid>
      <w:tr>
        <w:tc>
          <w:tcPr>
            <w:tcW w:type="dxa" w:w="9994"/>
            <w:shd w:fill="F7F4ED"/>
            <w:tcMar>
              <w:top w:w="140" w:type="dxa"/>
              <w:start w:w="170" w:type="dxa"/>
              <w:bottom w:w="140" w:type="dxa"/>
              <w:end w:w="170" w:type="dxa"/>
            </w:tcMar>
          </w:tcPr>
          <w:p>
            <w:r/>
            <w:r>
              <w:rPr>
                <w:b/>
                <w:color w:val="B48A35"/>
                <w:sz w:val="17"/>
              </w:rPr>
              <w:t>ARCHITECTURAL RULE</w:t>
            </w:r>
          </w:p>
          <w:p>
            <w:pPr>
              <w:spacing w:after="0"/>
            </w:pPr>
            <w:r>
              <w:rPr>
                <w:b/>
                <w:color w:val="12233F"/>
                <w:sz w:val="22"/>
              </w:rPr>
              <w:t>Nothing becomes advisor-visible merely because it exists inside VYNE OS. Every advisor-facing item must be intentionally published, versioned and permissioned.</w:t>
            </w:r>
          </w:p>
        </w:tc>
      </w:tr>
    </w:tbl>
    <w:p>
      <w:pPr>
        <w:spacing w:after="20"/>
      </w:pPr>
    </w:p>
    <w:p>
      <w:pPr>
        <w:pStyle w:val="Heading1"/>
        <w:pBdr>
          <w:bottom w:val="single" w:sz="10" w:space="6" w:color="B48A35"/>
        </w:pBdr>
      </w:pPr>
      <w:r>
        <w:t>1. Experience Promise</w:t>
      </w:r>
    </w:p>
    <w:p>
      <w:pPr>
        <w:pStyle w:val="BodyText"/>
        <w:spacing w:after="120" w:line="259" w:lineRule="auto"/>
      </w:pPr>
      <w:r>
        <w:rPr>
          <w:b w:val="0"/>
          <w:i w:val="0"/>
        </w:rPr>
        <w:t>The advisor should experience VYNE as calm, private, intelligent and unusually clear. The process should reduce noise without concealing trade-offs.</w:t>
      </w:r>
    </w:p>
    <w:tbl>
      <w:tblPr>
        <w:tblW w:type="auto" w:w="0"/>
        <w:jc w:val="center"/>
        <w:tblLook w:firstColumn="1" w:firstRow="1" w:lastColumn="0" w:lastRow="0" w:noHBand="0" w:noVBand="1" w:val="04A0"/>
      </w:tblPr>
      <w:tblGrid>
        <w:gridCol w:w="9994"/>
      </w:tblGrid>
      <w:tr>
        <w:tc>
          <w:tcPr>
            <w:tcW w:type="dxa" w:w="9994"/>
            <w:shd w:fill="E8F0EA"/>
            <w:tcMar>
              <w:top w:w="140" w:type="dxa"/>
              <w:start w:w="170" w:type="dxa"/>
              <w:bottom w:w="140" w:type="dxa"/>
              <w:end w:w="170" w:type="dxa"/>
            </w:tcMar>
          </w:tcPr>
          <w:p>
            <w:r/>
            <w:r>
              <w:rPr>
                <w:b/>
                <w:color w:val="B48A35"/>
                <w:sz w:val="17"/>
              </w:rPr>
              <w:t>DESIRED REACTION</w:t>
            </w:r>
          </w:p>
          <w:p>
            <w:pPr>
              <w:spacing w:after="0"/>
            </w:pPr>
            <w:r>
              <w:rPr>
                <w:b/>
                <w:color w:val="12233F"/>
                <w:sz w:val="22"/>
              </w:rPr>
              <w:t>I finally understand the decision, what matters most, what remains unknown and what I should do next.</w:t>
            </w:r>
          </w:p>
        </w:tc>
      </w:tr>
    </w:tbl>
    <w:p>
      <w:pPr>
        <w:spacing w:after="20"/>
      </w:pPr>
    </w:p>
    <w:p>
      <w:pPr>
        <w:pStyle w:val="BodyText"/>
        <w:spacing w:after="120" w:line="259" w:lineRule="auto"/>
      </w:pPr>
      <w:r>
        <w:rPr>
          <w:b w:val="0"/>
          <w:i w:val="0"/>
        </w:rPr>
        <w:t>The experience must never feel like:</w:t>
      </w:r>
    </w:p>
    <w:p>
      <w:pPr>
        <w:pStyle w:val="ListBullet"/>
        <w:spacing w:after="60"/>
      </w:pPr>
      <w:r>
        <w:t>A recruiting funnel disguised as advice</w:t>
      </w:r>
    </w:p>
    <w:p>
      <w:pPr>
        <w:pStyle w:val="ListBullet"/>
        <w:spacing w:after="60"/>
      </w:pPr>
      <w:r>
        <w:t>A software demo that places the advisor inside VYNE's internal workflow</w:t>
      </w:r>
    </w:p>
    <w:p>
      <w:pPr>
        <w:pStyle w:val="ListBullet"/>
        <w:spacing w:after="60"/>
      </w:pPr>
      <w:r>
        <w:t>A data-entry exercise</w:t>
      </w:r>
    </w:p>
    <w:p>
      <w:pPr>
        <w:pStyle w:val="ListBullet"/>
        <w:spacing w:after="60"/>
      </w:pPr>
      <w:r>
        <w:t>A high-pressure comparison of firms before objectives are clear</w:t>
      </w:r>
    </w:p>
    <w:p>
      <w:pPr>
        <w:pStyle w:val="ListBullet"/>
        <w:spacing w:after="60"/>
      </w:pPr>
      <w:r>
        <w:t>A black-box model that produces an unexplained answer</w:t>
      </w:r>
    </w:p>
    <w:p>
      <w:pPr>
        <w:pStyle w:val="ListBullet"/>
        <w:spacing w:after="60"/>
      </w:pPr>
      <w:r>
        <w:t>A portal filled with documents the advisor cannot interpret</w:t>
      </w:r>
    </w:p>
    <w:p>
      <w:pPr>
        <w:pStyle w:val="Heading1"/>
        <w:pBdr>
          <w:bottom w:val="single" w:sz="10" w:space="6" w:color="B48A35"/>
        </w:pBdr>
      </w:pPr>
      <w:r>
        <w:t>2. The Experience Principles</w:t>
      </w:r>
    </w:p>
    <w:tbl>
      <w:tblPr>
        <w:tblStyle w:val="TableGrid"/>
        <w:tblW w:type="auto" w:w="0"/>
        <w:jc w:val="center"/>
        <w:tblLook w:firstColumn="1" w:firstRow="1" w:lastColumn="0" w:lastRow="0" w:noHBand="0" w:noVBand="1" w:val="04A0"/>
      </w:tblPr>
      <w:tblGrid>
        <w:gridCol w:w="4997"/>
        <w:gridCol w:w="4997"/>
      </w:tblGrid>
      <w:tr>
        <w:tc>
          <w:tcPr>
            <w:tcW w:type="dxa" w:w="4997"/>
            <w:shd w:fill="12233F"/>
            <w:tcMar>
              <w:top w:w="100" w:type="dxa"/>
              <w:start w:w="120" w:type="dxa"/>
              <w:bottom w:w="100" w:type="dxa"/>
              <w:end w:w="120" w:type="dxa"/>
            </w:tcMar>
          </w:tcPr>
          <w:p>
            <w:r>
              <w:rPr>
                <w:b/>
                <w:color w:val="FFFFFF"/>
                <w:sz w:val="16"/>
              </w:rPr>
              <w:t>Principle</w:t>
            </w:r>
          </w:p>
        </w:tc>
        <w:tc>
          <w:tcPr>
            <w:tcW w:type="dxa" w:w="4997"/>
            <w:shd w:fill="12233F"/>
            <w:tcMar>
              <w:top w:w="100" w:type="dxa"/>
              <w:start w:w="120" w:type="dxa"/>
              <w:bottom w:w="100" w:type="dxa"/>
              <w:end w:w="120" w:type="dxa"/>
            </w:tcMar>
          </w:tcPr>
          <w:p>
            <w:r>
              <w:rPr>
                <w:b/>
                <w:color w:val="FFFFFF"/>
                <w:sz w:val="16"/>
              </w:rPr>
              <w:t>Observable standard</w:t>
            </w:r>
          </w:p>
        </w:tc>
      </w:tr>
      <w:tr>
        <w:tc>
          <w:tcPr>
            <w:tcW w:type="dxa" w:w="4997"/>
            <w:tcMar>
              <w:top w:w="100" w:type="dxa"/>
              <w:start w:w="120" w:type="dxa"/>
              <w:bottom w:w="100" w:type="dxa"/>
              <w:end w:w="120" w:type="dxa"/>
            </w:tcMar>
            <w:vAlign w:val="top"/>
          </w:tcPr>
          <w:p>
            <w:r>
              <w:rPr>
                <w:sz w:val="16"/>
              </w:rPr>
              <w:t>Clarity before commitment</w:t>
            </w:r>
          </w:p>
        </w:tc>
        <w:tc>
          <w:tcPr>
            <w:tcW w:type="dxa" w:w="4997"/>
            <w:tcMar>
              <w:top w:w="100" w:type="dxa"/>
              <w:start w:w="120" w:type="dxa"/>
              <w:bottom w:w="100" w:type="dxa"/>
              <w:end w:w="120" w:type="dxa"/>
            </w:tcMar>
            <w:vAlign w:val="top"/>
          </w:tcPr>
          <w:p>
            <w:r>
              <w:rPr>
                <w:sz w:val="16"/>
              </w:rPr>
              <w:t>The advisor receives understanding before VYNE asks for a consequential next step.</w:t>
            </w:r>
          </w:p>
        </w:tc>
      </w:tr>
      <w:tr>
        <w:tc>
          <w:tcPr>
            <w:tcW w:type="dxa" w:w="4997"/>
            <w:tcMar>
              <w:top w:w="100" w:type="dxa"/>
              <w:start w:w="120" w:type="dxa"/>
              <w:bottom w:w="100" w:type="dxa"/>
              <w:end w:w="120" w:type="dxa"/>
            </w:tcMar>
            <w:vAlign w:val="top"/>
          </w:tcPr>
          <w:p>
            <w:r>
              <w:rPr>
                <w:sz w:val="16"/>
              </w:rPr>
              <w:t>Permission before action</w:t>
            </w:r>
          </w:p>
        </w:tc>
        <w:tc>
          <w:tcPr>
            <w:tcW w:type="dxa" w:w="4997"/>
            <w:tcMar>
              <w:top w:w="100" w:type="dxa"/>
              <w:start w:w="120" w:type="dxa"/>
              <w:bottom w:w="100" w:type="dxa"/>
              <w:end w:w="120" w:type="dxa"/>
            </w:tcMar>
            <w:vAlign w:val="top"/>
          </w:tcPr>
          <w:p>
            <w:r>
              <w:rPr>
                <w:sz w:val="16"/>
              </w:rPr>
              <w:t>Introductions, disclosures, submissions and publication require explicit authority.</w:t>
            </w:r>
          </w:p>
        </w:tc>
      </w:tr>
      <w:tr>
        <w:tc>
          <w:tcPr>
            <w:tcW w:type="dxa" w:w="4997"/>
            <w:tcMar>
              <w:top w:w="100" w:type="dxa"/>
              <w:start w:w="120" w:type="dxa"/>
              <w:bottom w:w="100" w:type="dxa"/>
              <w:end w:w="120" w:type="dxa"/>
            </w:tcMar>
            <w:vAlign w:val="top"/>
          </w:tcPr>
          <w:p>
            <w:r>
              <w:rPr>
                <w:sz w:val="16"/>
              </w:rPr>
              <w:t>One decision at a time</w:t>
            </w:r>
          </w:p>
        </w:tc>
        <w:tc>
          <w:tcPr>
            <w:tcW w:type="dxa" w:w="4997"/>
            <w:tcMar>
              <w:top w:w="100" w:type="dxa"/>
              <w:start w:w="120" w:type="dxa"/>
              <w:bottom w:w="100" w:type="dxa"/>
              <w:end w:w="120" w:type="dxa"/>
            </w:tcMar>
            <w:vAlign w:val="top"/>
          </w:tcPr>
          <w:p>
            <w:r>
              <w:rPr>
                <w:sz w:val="16"/>
              </w:rPr>
              <w:t>The experience should not expose every possible channel before the current question is defined.</w:t>
            </w:r>
          </w:p>
        </w:tc>
      </w:tr>
      <w:tr>
        <w:tc>
          <w:tcPr>
            <w:tcW w:type="dxa" w:w="4997"/>
            <w:tcMar>
              <w:top w:w="100" w:type="dxa"/>
              <w:start w:w="120" w:type="dxa"/>
              <w:bottom w:w="100" w:type="dxa"/>
              <w:end w:w="120" w:type="dxa"/>
            </w:tcMar>
            <w:vAlign w:val="top"/>
          </w:tcPr>
          <w:p>
            <w:r>
              <w:rPr>
                <w:sz w:val="16"/>
              </w:rPr>
              <w:t>Evidence with context</w:t>
            </w:r>
          </w:p>
        </w:tc>
        <w:tc>
          <w:tcPr>
            <w:tcW w:type="dxa" w:w="4997"/>
            <w:tcMar>
              <w:top w:w="100" w:type="dxa"/>
              <w:start w:w="120" w:type="dxa"/>
              <w:bottom w:w="100" w:type="dxa"/>
              <w:end w:w="120" w:type="dxa"/>
            </w:tcMar>
            <w:vAlign w:val="top"/>
          </w:tcPr>
          <w:p>
            <w:r>
              <w:rPr>
                <w:sz w:val="16"/>
              </w:rPr>
              <w:t>Models and comparisons must reveal assumptions, limitations and decision impact.</w:t>
            </w:r>
          </w:p>
        </w:tc>
      </w:tr>
      <w:tr>
        <w:tc>
          <w:tcPr>
            <w:tcW w:type="dxa" w:w="4997"/>
            <w:tcMar>
              <w:top w:w="100" w:type="dxa"/>
              <w:start w:w="120" w:type="dxa"/>
              <w:bottom w:w="100" w:type="dxa"/>
              <w:end w:w="120" w:type="dxa"/>
            </w:tcMar>
            <w:vAlign w:val="top"/>
          </w:tcPr>
          <w:p>
            <w:r>
              <w:rPr>
                <w:sz w:val="16"/>
              </w:rPr>
              <w:t>Private by default</w:t>
            </w:r>
          </w:p>
        </w:tc>
        <w:tc>
          <w:tcPr>
            <w:tcW w:type="dxa" w:w="4997"/>
            <w:tcMar>
              <w:top w:w="100" w:type="dxa"/>
              <w:start w:w="120" w:type="dxa"/>
              <w:bottom w:w="100" w:type="dxa"/>
              <w:end w:w="120" w:type="dxa"/>
            </w:tcMar>
            <w:vAlign w:val="top"/>
          </w:tcPr>
          <w:p>
            <w:r>
              <w:rPr>
                <w:sz w:val="16"/>
              </w:rPr>
              <w:t>Internal notes, economic interests and unrelated records never become advisor-visible.</w:t>
            </w:r>
          </w:p>
        </w:tc>
      </w:tr>
      <w:tr>
        <w:tc>
          <w:tcPr>
            <w:tcW w:type="dxa" w:w="4997"/>
            <w:tcMar>
              <w:top w:w="100" w:type="dxa"/>
              <w:start w:w="120" w:type="dxa"/>
              <w:bottom w:w="100" w:type="dxa"/>
              <w:end w:w="120" w:type="dxa"/>
            </w:tcMar>
            <w:vAlign w:val="top"/>
          </w:tcPr>
          <w:p>
            <w:r>
              <w:rPr>
                <w:sz w:val="16"/>
              </w:rPr>
              <w:t>Progress without pressure</w:t>
            </w:r>
          </w:p>
        </w:tc>
        <w:tc>
          <w:tcPr>
            <w:tcW w:type="dxa" w:w="4997"/>
            <w:tcMar>
              <w:top w:w="100" w:type="dxa"/>
              <w:start w:w="120" w:type="dxa"/>
              <w:bottom w:w="100" w:type="dxa"/>
              <w:end w:w="120" w:type="dxa"/>
            </w:tcMar>
            <w:vAlign w:val="top"/>
          </w:tcPr>
          <w:p>
            <w:r>
              <w:rPr>
                <w:sz w:val="16"/>
              </w:rPr>
              <w:t>The advisor always knows the next step but is not pushed through artificial urgency.</w:t>
            </w:r>
          </w:p>
        </w:tc>
      </w:tr>
      <w:tr>
        <w:tc>
          <w:tcPr>
            <w:tcW w:type="dxa" w:w="4997"/>
            <w:tcMar>
              <w:top w:w="100" w:type="dxa"/>
              <w:start w:w="120" w:type="dxa"/>
              <w:bottom w:w="100" w:type="dxa"/>
              <w:end w:w="120" w:type="dxa"/>
            </w:tcMar>
            <w:vAlign w:val="top"/>
          </w:tcPr>
          <w:p>
            <w:r>
              <w:rPr>
                <w:sz w:val="16"/>
              </w:rPr>
              <w:t>Human accountability</w:t>
            </w:r>
          </w:p>
        </w:tc>
        <w:tc>
          <w:tcPr>
            <w:tcW w:type="dxa" w:w="4997"/>
            <w:tcMar>
              <w:top w:w="100" w:type="dxa"/>
              <w:start w:w="120" w:type="dxa"/>
              <w:bottom w:w="100" w:type="dxa"/>
              <w:end w:w="120" w:type="dxa"/>
            </w:tcMar>
            <w:vAlign w:val="top"/>
          </w:tcPr>
          <w:p>
            <w:r>
              <w:rPr>
                <w:sz w:val="16"/>
              </w:rPr>
              <w:t>Technology organizes and models; VYNE owns the interpretation and recommendation.</w:t>
            </w:r>
          </w:p>
        </w:tc>
      </w:tr>
      <w:tr>
        <w:tc>
          <w:tcPr>
            <w:tcW w:type="dxa" w:w="4997"/>
            <w:tcMar>
              <w:top w:w="100" w:type="dxa"/>
              <w:start w:w="120" w:type="dxa"/>
              <w:bottom w:w="100" w:type="dxa"/>
              <w:end w:w="120" w:type="dxa"/>
            </w:tcMar>
            <w:vAlign w:val="top"/>
          </w:tcPr>
          <w:p>
            <w:r>
              <w:rPr>
                <w:sz w:val="16"/>
              </w:rPr>
              <w:t>A premium minimum</w:t>
            </w:r>
          </w:p>
        </w:tc>
        <w:tc>
          <w:tcPr>
            <w:tcW w:type="dxa" w:w="4997"/>
            <w:tcMar>
              <w:top w:w="100" w:type="dxa"/>
              <w:start w:w="120" w:type="dxa"/>
              <w:bottom w:w="100" w:type="dxa"/>
              <w:end w:w="120" w:type="dxa"/>
            </w:tcMar>
            <w:vAlign w:val="top"/>
          </w:tcPr>
          <w:p>
            <w:r>
              <w:rPr>
                <w:sz w:val="16"/>
              </w:rPr>
              <w:t>Every published deliverable must feel complete, intentional and worthy of the decision.</w:t>
            </w:r>
          </w:p>
        </w:tc>
      </w:tr>
    </w:tbl>
    <w:p/>
    <w:p>
      <w:pPr>
        <w:pStyle w:val="Heading1"/>
        <w:pBdr>
          <w:bottom w:val="single" w:sz="10" w:space="6" w:color="B48A35"/>
        </w:pBdr>
      </w:pPr>
      <w:r>
        <w:t>3. The Advisor Journey</w:t>
      </w:r>
    </w:p>
    <w:p>
      <w:pPr>
        <w:pStyle w:val="BodyText"/>
        <w:spacing w:after="120" w:line="259" w:lineRule="auto"/>
      </w:pPr>
      <w:r>
        <w:rPr>
          <w:b w:val="0"/>
          <w:i w:val="0"/>
        </w:rPr>
        <w:t>The client experience is organized around decision readiness rather than a sales funnel. The commercial pipeline remains inside VYNE OS.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2233F"/>
            <w:tcMar>
              <w:top w:w="100" w:type="dxa"/>
              <w:start w:w="120" w:type="dxa"/>
              <w:bottom w:w="100" w:type="dxa"/>
              <w:end w:w="120" w:type="dxa"/>
            </w:tcMar>
          </w:tcPr>
          <w:p>
            <w:r>
              <w:rPr>
                <w:b/>
                <w:color w:val="FFFFFF"/>
                <w:sz w:val="15"/>
              </w:rPr>
              <w:t>Stage</w:t>
            </w:r>
          </w:p>
        </w:tc>
        <w:tc>
          <w:tcPr>
            <w:tcW w:type="dxa" w:w="2498"/>
            <w:shd w:fill="12233F"/>
            <w:tcMar>
              <w:top w:w="100" w:type="dxa"/>
              <w:start w:w="120" w:type="dxa"/>
              <w:bottom w:w="100" w:type="dxa"/>
              <w:end w:w="120" w:type="dxa"/>
            </w:tcMar>
          </w:tcPr>
          <w:p>
            <w:r>
              <w:rPr>
                <w:b/>
                <w:color w:val="FFFFFF"/>
                <w:sz w:val="15"/>
              </w:rPr>
              <w:t>Purpose</w:t>
            </w:r>
          </w:p>
        </w:tc>
        <w:tc>
          <w:tcPr>
            <w:tcW w:type="dxa" w:w="2498"/>
            <w:shd w:fill="12233F"/>
            <w:tcMar>
              <w:top w:w="100" w:type="dxa"/>
              <w:start w:w="120" w:type="dxa"/>
              <w:bottom w:w="100" w:type="dxa"/>
              <w:end w:w="120" w:type="dxa"/>
            </w:tcMar>
          </w:tcPr>
          <w:p>
            <w:r>
              <w:rPr>
                <w:b/>
                <w:color w:val="FFFFFF"/>
                <w:sz w:val="15"/>
              </w:rPr>
              <w:t>Advisor state at completion</w:t>
            </w:r>
          </w:p>
        </w:tc>
        <w:tc>
          <w:tcPr>
            <w:tcW w:type="dxa" w:w="2498"/>
            <w:shd w:fill="12233F"/>
            <w:tcMar>
              <w:top w:w="100" w:type="dxa"/>
              <w:start w:w="120" w:type="dxa"/>
              <w:bottom w:w="100" w:type="dxa"/>
              <w:end w:w="120" w:type="dxa"/>
            </w:tcMar>
          </w:tcPr>
          <w:p>
            <w:r>
              <w:rPr>
                <w:b/>
                <w:color w:val="FFFFFF"/>
                <w:sz w:val="15"/>
              </w:rPr>
              <w:t>Permission gate</w:t>
            </w:r>
          </w:p>
        </w:tc>
      </w:tr>
      <w:tr>
        <w:tc>
          <w:tcPr>
            <w:tcW w:type="dxa" w:w="2498"/>
            <w:tcMar>
              <w:top w:w="100" w:type="dxa"/>
              <w:start w:w="120" w:type="dxa"/>
              <w:bottom w:w="100" w:type="dxa"/>
              <w:end w:w="120" w:type="dxa"/>
            </w:tcMar>
            <w:vAlign w:val="top"/>
          </w:tcPr>
          <w:p>
            <w:r>
              <w:rPr>
                <w:sz w:val="15"/>
              </w:rPr>
              <w:t>DISCOVER</w:t>
            </w:r>
          </w:p>
        </w:tc>
        <w:tc>
          <w:tcPr>
            <w:tcW w:type="dxa" w:w="2498"/>
            <w:tcMar>
              <w:top w:w="100" w:type="dxa"/>
              <w:start w:w="120" w:type="dxa"/>
              <w:bottom w:w="100" w:type="dxa"/>
              <w:end w:w="120" w:type="dxa"/>
            </w:tcMar>
            <w:vAlign w:val="top"/>
          </w:tcPr>
          <w:p>
            <w:r>
              <w:rPr>
                <w:sz w:val="15"/>
              </w:rPr>
              <w:t>The advisor encounters a useful answer, research insight or referral.</w:t>
            </w:r>
          </w:p>
        </w:tc>
        <w:tc>
          <w:tcPr>
            <w:tcW w:type="dxa" w:w="2498"/>
            <w:tcMar>
              <w:top w:w="100" w:type="dxa"/>
              <w:start w:w="120" w:type="dxa"/>
              <w:bottom w:w="100" w:type="dxa"/>
              <w:end w:w="120" w:type="dxa"/>
            </w:tcMar>
            <w:vAlign w:val="top"/>
          </w:tcPr>
          <w:p>
            <w:r>
              <w:rPr>
                <w:sz w:val="15"/>
              </w:rPr>
              <w:t>I may have found a credible source.</w:t>
            </w:r>
          </w:p>
        </w:tc>
        <w:tc>
          <w:tcPr>
            <w:tcW w:type="dxa" w:w="2498"/>
            <w:tcMar>
              <w:top w:w="100" w:type="dxa"/>
              <w:start w:w="120" w:type="dxa"/>
              <w:bottom w:w="100" w:type="dxa"/>
              <w:end w:w="120" w:type="dxa"/>
            </w:tcMar>
            <w:vAlign w:val="top"/>
          </w:tcPr>
          <w:p>
            <w:r>
              <w:rPr>
                <w:sz w:val="15"/>
              </w:rPr>
              <w:t>No confidential data required.</w:t>
            </w:r>
          </w:p>
        </w:tc>
      </w:tr>
      <w:tr>
        <w:tc>
          <w:tcPr>
            <w:tcW w:type="dxa" w:w="2498"/>
            <w:tcMar>
              <w:top w:w="100" w:type="dxa"/>
              <w:start w:w="120" w:type="dxa"/>
              <w:bottom w:w="100" w:type="dxa"/>
              <w:end w:w="120" w:type="dxa"/>
            </w:tcMar>
            <w:vAlign w:val="top"/>
          </w:tcPr>
          <w:p>
            <w:r>
              <w:rPr>
                <w:sz w:val="15"/>
              </w:rPr>
              <w:t>ORIENT</w:t>
            </w:r>
          </w:p>
        </w:tc>
        <w:tc>
          <w:tcPr>
            <w:tcW w:type="dxa" w:w="2498"/>
            <w:tcMar>
              <w:top w:w="100" w:type="dxa"/>
              <w:start w:w="120" w:type="dxa"/>
              <w:bottom w:w="100" w:type="dxa"/>
              <w:end w:w="120" w:type="dxa"/>
            </w:tcMar>
            <w:vAlign w:val="top"/>
          </w:tcPr>
          <w:p>
            <w:r>
              <w:rPr>
                <w:sz w:val="15"/>
              </w:rPr>
              <w:t>VYNE clarifies the decision and explains the process.</w:t>
            </w:r>
          </w:p>
        </w:tc>
        <w:tc>
          <w:tcPr>
            <w:tcW w:type="dxa" w:w="2498"/>
            <w:tcMar>
              <w:top w:w="100" w:type="dxa"/>
              <w:start w:w="120" w:type="dxa"/>
              <w:bottom w:w="100" w:type="dxa"/>
              <w:end w:w="120" w:type="dxa"/>
            </w:tcMar>
            <w:vAlign w:val="top"/>
          </w:tcPr>
          <w:p>
            <w:r>
              <w:rPr>
                <w:sz w:val="15"/>
              </w:rPr>
              <w:t>I understand what VYNE does and does not do.</w:t>
            </w:r>
          </w:p>
        </w:tc>
        <w:tc>
          <w:tcPr>
            <w:tcW w:type="dxa" w:w="2498"/>
            <w:tcMar>
              <w:top w:w="100" w:type="dxa"/>
              <w:start w:w="120" w:type="dxa"/>
              <w:bottom w:w="100" w:type="dxa"/>
              <w:end w:w="120" w:type="dxa"/>
            </w:tcMar>
            <w:vAlign w:val="top"/>
          </w:tcPr>
          <w:p>
            <w:r>
              <w:rPr>
                <w:sz w:val="15"/>
              </w:rPr>
              <w:t>Permission to conduct an initial confidential conversation.</w:t>
            </w:r>
          </w:p>
        </w:tc>
      </w:tr>
      <w:tr>
        <w:tc>
          <w:tcPr>
            <w:tcW w:type="dxa" w:w="2498"/>
            <w:tcMar>
              <w:top w:w="100" w:type="dxa"/>
              <w:start w:w="120" w:type="dxa"/>
              <w:bottom w:w="100" w:type="dxa"/>
              <w:end w:w="120" w:type="dxa"/>
            </w:tcMar>
            <w:vAlign w:val="top"/>
          </w:tcPr>
          <w:p>
            <w:r>
              <w:rPr>
                <w:sz w:val="15"/>
              </w:rPr>
              <w:t>UNDERSTAND</w:t>
            </w:r>
          </w:p>
        </w:tc>
        <w:tc>
          <w:tcPr>
            <w:tcW w:type="dxa" w:w="2498"/>
            <w:tcMar>
              <w:top w:w="100" w:type="dxa"/>
              <w:start w:w="120" w:type="dxa"/>
              <w:bottom w:w="100" w:type="dxa"/>
              <w:end w:w="120" w:type="dxa"/>
            </w:tcMar>
            <w:vAlign w:val="top"/>
          </w:tcPr>
          <w:p>
            <w:r>
              <w:rPr>
                <w:sz w:val="15"/>
              </w:rPr>
              <w:t>VYNE establishes Current Reality and Future-State Direction.</w:t>
            </w:r>
          </w:p>
        </w:tc>
        <w:tc>
          <w:tcPr>
            <w:tcW w:type="dxa" w:w="2498"/>
            <w:tcMar>
              <w:top w:w="100" w:type="dxa"/>
              <w:start w:w="120" w:type="dxa"/>
              <w:bottom w:w="100" w:type="dxa"/>
              <w:end w:w="120" w:type="dxa"/>
            </w:tcMar>
            <w:vAlign w:val="top"/>
          </w:tcPr>
          <w:p>
            <w:r>
              <w:rPr>
                <w:sz w:val="15"/>
              </w:rPr>
              <w:t>My situation has been heard and organized.</w:t>
            </w:r>
          </w:p>
        </w:tc>
        <w:tc>
          <w:tcPr>
            <w:tcW w:type="dxa" w:w="2498"/>
            <w:tcMar>
              <w:top w:w="100" w:type="dxa"/>
              <w:start w:w="120" w:type="dxa"/>
              <w:bottom w:w="100" w:type="dxa"/>
              <w:end w:w="120" w:type="dxa"/>
            </w:tcMar>
            <w:vAlign w:val="top"/>
          </w:tcPr>
          <w:p>
            <w:r>
              <w:rPr>
                <w:sz w:val="15"/>
              </w:rPr>
              <w:t>Permission to document and analyze agreed information.</w:t>
            </w:r>
          </w:p>
        </w:tc>
      </w:tr>
      <w:tr>
        <w:tc>
          <w:tcPr>
            <w:tcW w:type="dxa" w:w="2498"/>
            <w:tcMar>
              <w:top w:w="100" w:type="dxa"/>
              <w:start w:w="120" w:type="dxa"/>
              <w:bottom w:w="100" w:type="dxa"/>
              <w:end w:w="120" w:type="dxa"/>
            </w:tcMar>
            <w:vAlign w:val="top"/>
          </w:tcPr>
          <w:p>
            <w:r>
              <w:rPr>
                <w:sz w:val="15"/>
              </w:rPr>
              <w:t>INVESTIGATE</w:t>
            </w:r>
          </w:p>
        </w:tc>
        <w:tc>
          <w:tcPr>
            <w:tcW w:type="dxa" w:w="2498"/>
            <w:tcMar>
              <w:top w:w="100" w:type="dxa"/>
              <w:start w:w="120" w:type="dxa"/>
              <w:bottom w:w="100" w:type="dxa"/>
              <w:end w:w="120" w:type="dxa"/>
            </w:tcMar>
            <w:vAlign w:val="top"/>
          </w:tcPr>
          <w:p>
            <w:r>
              <w:rPr>
                <w:sz w:val="15"/>
              </w:rPr>
              <w:t>Constraints, unknowns and evidence needs are identified.</w:t>
            </w:r>
          </w:p>
        </w:tc>
        <w:tc>
          <w:tcPr>
            <w:tcW w:type="dxa" w:w="2498"/>
            <w:tcMar>
              <w:top w:w="100" w:type="dxa"/>
              <w:start w:w="120" w:type="dxa"/>
              <w:bottom w:w="100" w:type="dxa"/>
              <w:end w:w="120" w:type="dxa"/>
            </w:tcMar>
            <w:vAlign w:val="top"/>
          </w:tcPr>
          <w:p>
            <w:r>
              <w:rPr>
                <w:sz w:val="15"/>
              </w:rPr>
              <w:t>I know what must be learned before comparing options.</w:t>
            </w:r>
          </w:p>
        </w:tc>
        <w:tc>
          <w:tcPr>
            <w:tcW w:type="dxa" w:w="2498"/>
            <w:tcMar>
              <w:top w:w="100" w:type="dxa"/>
              <w:start w:w="120" w:type="dxa"/>
              <w:bottom w:w="100" w:type="dxa"/>
              <w:end w:w="120" w:type="dxa"/>
            </w:tcMar>
            <w:vAlign w:val="top"/>
          </w:tcPr>
          <w:p>
            <w:r>
              <w:rPr>
                <w:sz w:val="15"/>
              </w:rPr>
              <w:t>Permission for specific diligence activities.</w:t>
            </w:r>
          </w:p>
        </w:tc>
      </w:tr>
      <w:tr>
        <w:tc>
          <w:tcPr>
            <w:tcW w:type="dxa" w:w="2498"/>
            <w:tcMar>
              <w:top w:w="100" w:type="dxa"/>
              <w:start w:w="120" w:type="dxa"/>
              <w:bottom w:w="100" w:type="dxa"/>
              <w:end w:w="120" w:type="dxa"/>
            </w:tcMar>
            <w:vAlign w:val="top"/>
          </w:tcPr>
          <w:p>
            <w:r>
              <w:rPr>
                <w:sz w:val="15"/>
              </w:rPr>
              <w:t>COMPARE</w:t>
            </w:r>
          </w:p>
        </w:tc>
        <w:tc>
          <w:tcPr>
            <w:tcW w:type="dxa" w:w="2498"/>
            <w:tcMar>
              <w:top w:w="100" w:type="dxa"/>
              <w:start w:w="120" w:type="dxa"/>
              <w:bottom w:w="100" w:type="dxa"/>
              <w:end w:w="120" w:type="dxa"/>
            </w:tcMar>
            <w:vAlign w:val="top"/>
          </w:tcPr>
          <w:p>
            <w:r>
              <w:rPr>
                <w:sz w:val="15"/>
              </w:rPr>
              <w:t>Credible alternatives and economics are evaluated consistently.</w:t>
            </w:r>
          </w:p>
        </w:tc>
        <w:tc>
          <w:tcPr>
            <w:tcW w:type="dxa" w:w="2498"/>
            <w:tcMar>
              <w:top w:w="100" w:type="dxa"/>
              <w:start w:w="120" w:type="dxa"/>
              <w:bottom w:w="100" w:type="dxa"/>
              <w:end w:w="120" w:type="dxa"/>
            </w:tcMar>
            <w:vAlign w:val="top"/>
          </w:tcPr>
          <w:p>
            <w:r>
              <w:rPr>
                <w:sz w:val="15"/>
              </w:rPr>
              <w:t>I can see the real trade-offs.</w:t>
            </w:r>
          </w:p>
        </w:tc>
        <w:tc>
          <w:tcPr>
            <w:tcW w:type="dxa" w:w="2498"/>
            <w:tcMar>
              <w:top w:w="100" w:type="dxa"/>
              <w:start w:w="120" w:type="dxa"/>
              <w:bottom w:w="100" w:type="dxa"/>
              <w:end w:w="120" w:type="dxa"/>
            </w:tcMar>
            <w:vAlign w:val="top"/>
          </w:tcPr>
          <w:p>
            <w:r>
              <w:rPr>
                <w:sz w:val="15"/>
              </w:rPr>
              <w:t>Permission to model and, where authorized, engage selected firms.</w:t>
            </w:r>
          </w:p>
        </w:tc>
      </w:tr>
      <w:tr>
        <w:tc>
          <w:tcPr>
            <w:tcW w:type="dxa" w:w="2498"/>
            <w:tcMar>
              <w:top w:w="100" w:type="dxa"/>
              <w:start w:w="120" w:type="dxa"/>
              <w:bottom w:w="100" w:type="dxa"/>
              <w:end w:w="120" w:type="dxa"/>
            </w:tcMar>
            <w:vAlign w:val="top"/>
          </w:tcPr>
          <w:p>
            <w:r>
              <w:rPr>
                <w:sz w:val="15"/>
              </w:rPr>
              <w:t>DECIDE</w:t>
            </w:r>
          </w:p>
        </w:tc>
        <w:tc>
          <w:tcPr>
            <w:tcW w:type="dxa" w:w="2498"/>
            <w:tcMar>
              <w:top w:w="100" w:type="dxa"/>
              <w:start w:w="120" w:type="dxa"/>
              <w:bottom w:w="100" w:type="dxa"/>
              <w:end w:w="120" w:type="dxa"/>
            </w:tcMar>
            <w:vAlign w:val="top"/>
          </w:tcPr>
          <w:p>
            <w:r>
              <w:rPr>
                <w:sz w:val="15"/>
              </w:rPr>
              <w:t>The advisor reaches a decision state and owns the reasoning.</w:t>
            </w:r>
          </w:p>
        </w:tc>
        <w:tc>
          <w:tcPr>
            <w:tcW w:type="dxa" w:w="2498"/>
            <w:tcMar>
              <w:top w:w="100" w:type="dxa"/>
              <w:start w:w="120" w:type="dxa"/>
              <w:bottom w:w="100" w:type="dxa"/>
              <w:end w:w="120" w:type="dxa"/>
            </w:tcMar>
            <w:vAlign w:val="top"/>
          </w:tcPr>
          <w:p>
            <w:r>
              <w:rPr>
                <w:sz w:val="15"/>
              </w:rPr>
              <w:t>I can defend the decision in my own words.</w:t>
            </w:r>
          </w:p>
        </w:tc>
        <w:tc>
          <w:tcPr>
            <w:tcW w:type="dxa" w:w="2498"/>
            <w:tcMar>
              <w:top w:w="100" w:type="dxa"/>
              <w:start w:w="120" w:type="dxa"/>
              <w:bottom w:w="100" w:type="dxa"/>
              <w:end w:w="120" w:type="dxa"/>
            </w:tcMar>
            <w:vAlign w:val="top"/>
          </w:tcPr>
          <w:p>
            <w:r>
              <w:rPr>
                <w:sz w:val="15"/>
              </w:rPr>
              <w:t>Permission to proceed, pause, stay or strengthen.</w:t>
            </w:r>
          </w:p>
        </w:tc>
      </w:tr>
      <w:tr>
        <w:tc>
          <w:tcPr>
            <w:tcW w:type="dxa" w:w="2498"/>
            <w:tcMar>
              <w:top w:w="100" w:type="dxa"/>
              <w:start w:w="120" w:type="dxa"/>
              <w:bottom w:w="100" w:type="dxa"/>
              <w:end w:w="120" w:type="dxa"/>
            </w:tcMar>
            <w:vAlign w:val="top"/>
          </w:tcPr>
          <w:p>
            <w:r>
              <w:rPr>
                <w:sz w:val="15"/>
              </w:rPr>
              <w:t>ACT</w:t>
            </w:r>
          </w:p>
        </w:tc>
        <w:tc>
          <w:tcPr>
            <w:tcW w:type="dxa" w:w="2498"/>
            <w:tcMar>
              <w:top w:w="100" w:type="dxa"/>
              <w:start w:w="120" w:type="dxa"/>
              <w:bottom w:w="100" w:type="dxa"/>
              <w:end w:w="120" w:type="dxa"/>
            </w:tcMar>
            <w:vAlign w:val="top"/>
          </w:tcPr>
          <w:p>
            <w:r>
              <w:rPr>
                <w:sz w:val="15"/>
              </w:rPr>
              <w:t>The chosen path is implemented through a controlled plan.</w:t>
            </w:r>
          </w:p>
        </w:tc>
        <w:tc>
          <w:tcPr>
            <w:tcW w:type="dxa" w:w="2498"/>
            <w:tcMar>
              <w:top w:w="100" w:type="dxa"/>
              <w:start w:w="120" w:type="dxa"/>
              <w:bottom w:w="100" w:type="dxa"/>
              <w:end w:w="120" w:type="dxa"/>
            </w:tcMar>
            <w:vAlign w:val="top"/>
          </w:tcPr>
          <w:p>
            <w:r>
              <w:rPr>
                <w:sz w:val="15"/>
              </w:rPr>
              <w:t>I know what happens next and who owns it.</w:t>
            </w:r>
          </w:p>
        </w:tc>
        <w:tc>
          <w:tcPr>
            <w:tcW w:type="dxa" w:w="2498"/>
            <w:tcMar>
              <w:top w:w="100" w:type="dxa"/>
              <w:start w:w="120" w:type="dxa"/>
              <w:bottom w:w="100" w:type="dxa"/>
              <w:end w:w="120" w:type="dxa"/>
            </w:tcMar>
            <w:vAlign w:val="top"/>
          </w:tcPr>
          <w:p>
            <w:r>
              <w:rPr>
                <w:sz w:val="15"/>
              </w:rPr>
              <w:t>Task-specific authorization.</w:t>
            </w:r>
          </w:p>
        </w:tc>
      </w:tr>
      <w:tr>
        <w:tc>
          <w:tcPr>
            <w:tcW w:type="dxa" w:w="2498"/>
            <w:tcMar>
              <w:top w:w="100" w:type="dxa"/>
              <w:start w:w="120" w:type="dxa"/>
              <w:bottom w:w="100" w:type="dxa"/>
              <w:end w:w="120" w:type="dxa"/>
            </w:tcMar>
            <w:vAlign w:val="top"/>
          </w:tcPr>
          <w:p>
            <w:r>
              <w:rPr>
                <w:sz w:val="15"/>
              </w:rPr>
              <w:t>REVIEW</w:t>
            </w:r>
          </w:p>
        </w:tc>
        <w:tc>
          <w:tcPr>
            <w:tcW w:type="dxa" w:w="2498"/>
            <w:tcMar>
              <w:top w:w="100" w:type="dxa"/>
              <w:start w:w="120" w:type="dxa"/>
              <w:bottom w:w="100" w:type="dxa"/>
              <w:end w:w="120" w:type="dxa"/>
            </w:tcMar>
            <w:vAlign w:val="top"/>
          </w:tcPr>
          <w:p>
            <w:r>
              <w:rPr>
                <w:sz w:val="15"/>
              </w:rPr>
              <w:t>VYNE evaluates outcome, progress and lessons.</w:t>
            </w:r>
          </w:p>
        </w:tc>
        <w:tc>
          <w:tcPr>
            <w:tcW w:type="dxa" w:w="2498"/>
            <w:tcMar>
              <w:top w:w="100" w:type="dxa"/>
              <w:start w:w="120" w:type="dxa"/>
              <w:bottom w:w="100" w:type="dxa"/>
              <w:end w:w="120" w:type="dxa"/>
            </w:tcMar>
            <w:vAlign w:val="top"/>
          </w:tcPr>
          <w:p>
            <w:r>
              <w:rPr>
                <w:sz w:val="15"/>
              </w:rPr>
              <w:t>The decision is being measured, not forgotten.</w:t>
            </w:r>
          </w:p>
        </w:tc>
        <w:tc>
          <w:tcPr>
            <w:tcW w:type="dxa" w:w="2498"/>
            <w:tcMar>
              <w:top w:w="100" w:type="dxa"/>
              <w:start w:w="120" w:type="dxa"/>
              <w:bottom w:w="100" w:type="dxa"/>
              <w:end w:w="120" w:type="dxa"/>
            </w:tcMar>
            <w:vAlign w:val="top"/>
          </w:tcPr>
          <w:p>
            <w:r>
              <w:rPr>
                <w:sz w:val="15"/>
              </w:rPr>
              <w:t>Agreed follow-up scope.</w:t>
            </w:r>
          </w:p>
        </w:tc>
      </w:tr>
    </w:tbl>
    <w:p/>
    <w:p>
      <w:pPr>
        <w:pStyle w:val="Heading1"/>
        <w:pBdr>
          <w:bottom w:val="single" w:sz="10" w:space="6" w:color="B48A35"/>
        </w:pBdr>
      </w:pPr>
      <w:r>
        <w:t>4. Advisor State</w:t>
      </w:r>
    </w:p>
    <w:p>
      <w:pPr>
        <w:pStyle w:val="BodyText"/>
        <w:spacing w:after="120" w:line="259" w:lineRule="auto"/>
      </w:pPr>
      <w:r>
        <w:rPr>
          <w:b w:val="0"/>
          <w:i w:val="0"/>
        </w:rPr>
        <w:t>Advisor State is a required operating consideration, not a personality label. It captures the advisor's readiness, confidence, trust and cognitive load at a specific point in the decision.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233F"/>
            <w:tcMar>
              <w:top w:w="100" w:type="dxa"/>
              <w:start w:w="120" w:type="dxa"/>
              <w:bottom w:w="100" w:type="dxa"/>
              <w:end w:w="120" w:type="dxa"/>
            </w:tcMar>
          </w:tcPr>
          <w:p>
            <w:r>
              <w:rPr>
                <w:b/>
                <w:color w:val="FFFFFF"/>
                <w:sz w:val="16"/>
              </w:rPr>
              <w:t>State dimension</w:t>
            </w:r>
          </w:p>
        </w:tc>
        <w:tc>
          <w:tcPr>
            <w:tcW w:type="dxa" w:w="3331"/>
            <w:shd w:fill="12233F"/>
            <w:tcMar>
              <w:top w:w="100" w:type="dxa"/>
              <w:start w:w="120" w:type="dxa"/>
              <w:bottom w:w="100" w:type="dxa"/>
              <w:end w:w="120" w:type="dxa"/>
            </w:tcMar>
          </w:tcPr>
          <w:p>
            <w:r>
              <w:rPr>
                <w:b/>
                <w:color w:val="FFFFFF"/>
                <w:sz w:val="16"/>
              </w:rPr>
              <w:t>Examples</w:t>
            </w:r>
          </w:p>
        </w:tc>
        <w:tc>
          <w:tcPr>
            <w:tcW w:type="dxa" w:w="3331"/>
            <w:shd w:fill="12233F"/>
            <w:tcMar>
              <w:top w:w="100" w:type="dxa"/>
              <w:start w:w="120" w:type="dxa"/>
              <w:bottom w:w="100" w:type="dxa"/>
              <w:end w:w="120" w:type="dxa"/>
            </w:tcMar>
          </w:tcPr>
          <w:p>
            <w:r>
              <w:rPr>
                <w:b/>
                <w:color w:val="FFFFFF"/>
                <w:sz w:val="16"/>
              </w:rPr>
              <w:t>Consultant response</w:t>
            </w:r>
          </w:p>
        </w:tc>
      </w:tr>
      <w:tr>
        <w:tc>
          <w:tcPr>
            <w:tcW w:type="dxa" w:w="3331"/>
            <w:tcMar>
              <w:top w:w="100" w:type="dxa"/>
              <w:start w:w="120" w:type="dxa"/>
              <w:bottom w:w="100" w:type="dxa"/>
              <w:end w:w="120" w:type="dxa"/>
            </w:tcMar>
            <w:vAlign w:val="top"/>
          </w:tcPr>
          <w:p>
            <w:r>
              <w:rPr>
                <w:sz w:val="16"/>
              </w:rPr>
              <w:t>Trust</w:t>
            </w:r>
          </w:p>
        </w:tc>
        <w:tc>
          <w:tcPr>
            <w:tcW w:type="dxa" w:w="3331"/>
            <w:tcMar>
              <w:top w:w="100" w:type="dxa"/>
              <w:start w:w="120" w:type="dxa"/>
              <w:bottom w:w="100" w:type="dxa"/>
              <w:end w:w="120" w:type="dxa"/>
            </w:tcMar>
            <w:vAlign w:val="top"/>
          </w:tcPr>
          <w:p>
            <w:r>
              <w:rPr>
                <w:sz w:val="16"/>
              </w:rPr>
              <w:t>Guarded, testing, open, dependent</w:t>
            </w:r>
          </w:p>
        </w:tc>
        <w:tc>
          <w:tcPr>
            <w:tcW w:type="dxa" w:w="3331"/>
            <w:tcMar>
              <w:top w:w="100" w:type="dxa"/>
              <w:start w:w="120" w:type="dxa"/>
              <w:bottom w:w="100" w:type="dxa"/>
              <w:end w:w="120" w:type="dxa"/>
            </w:tcMar>
            <w:vAlign w:val="top"/>
          </w:tcPr>
          <w:p>
            <w:r>
              <w:rPr>
                <w:sz w:val="16"/>
              </w:rPr>
              <w:t>Earn permission; never exploit reliance.</w:t>
            </w:r>
          </w:p>
        </w:tc>
      </w:tr>
      <w:tr>
        <w:tc>
          <w:tcPr>
            <w:tcW w:type="dxa" w:w="3331"/>
            <w:tcMar>
              <w:top w:w="100" w:type="dxa"/>
              <w:start w:w="120" w:type="dxa"/>
              <w:bottom w:w="100" w:type="dxa"/>
              <w:end w:w="120" w:type="dxa"/>
            </w:tcMar>
            <w:vAlign w:val="top"/>
          </w:tcPr>
          <w:p>
            <w:r>
              <w:rPr>
                <w:sz w:val="16"/>
              </w:rPr>
              <w:t>Clarity</w:t>
            </w:r>
          </w:p>
        </w:tc>
        <w:tc>
          <w:tcPr>
            <w:tcW w:type="dxa" w:w="3331"/>
            <w:tcMar>
              <w:top w:w="100" w:type="dxa"/>
              <w:start w:w="120" w:type="dxa"/>
              <w:bottom w:w="100" w:type="dxa"/>
              <w:end w:w="120" w:type="dxa"/>
            </w:tcMar>
            <w:vAlign w:val="top"/>
          </w:tcPr>
          <w:p>
            <w:r>
              <w:rPr>
                <w:sz w:val="16"/>
              </w:rPr>
              <w:t>Confused, exploring, focused, decided</w:t>
            </w:r>
          </w:p>
        </w:tc>
        <w:tc>
          <w:tcPr>
            <w:tcW w:type="dxa" w:w="3331"/>
            <w:tcMar>
              <w:top w:w="100" w:type="dxa"/>
              <w:start w:w="120" w:type="dxa"/>
              <w:bottom w:w="100" w:type="dxa"/>
              <w:end w:w="120" w:type="dxa"/>
            </w:tcMar>
            <w:vAlign w:val="top"/>
          </w:tcPr>
          <w:p>
            <w:r>
              <w:rPr>
                <w:sz w:val="16"/>
              </w:rPr>
              <w:t>Match the amount of information to the advisor's ability to use it.</w:t>
            </w:r>
          </w:p>
        </w:tc>
      </w:tr>
      <w:tr>
        <w:tc>
          <w:tcPr>
            <w:tcW w:type="dxa" w:w="3331"/>
            <w:tcMar>
              <w:top w:w="100" w:type="dxa"/>
              <w:start w:w="120" w:type="dxa"/>
              <w:bottom w:w="100" w:type="dxa"/>
              <w:end w:w="120" w:type="dxa"/>
            </w:tcMar>
            <w:vAlign w:val="top"/>
          </w:tcPr>
          <w:p>
            <w:r>
              <w:rPr>
                <w:sz w:val="16"/>
              </w:rPr>
              <w:t>Readiness</w:t>
            </w:r>
          </w:p>
        </w:tc>
        <w:tc>
          <w:tcPr>
            <w:tcW w:type="dxa" w:w="3331"/>
            <w:tcMar>
              <w:top w:w="100" w:type="dxa"/>
              <w:start w:w="120" w:type="dxa"/>
              <w:bottom w:w="100" w:type="dxa"/>
              <w:end w:w="120" w:type="dxa"/>
            </w:tcMar>
            <w:vAlign w:val="top"/>
          </w:tcPr>
          <w:p>
            <w:r>
              <w:rPr>
                <w:sz w:val="16"/>
              </w:rPr>
              <w:t>Curious, preparing, active, committed</w:t>
            </w:r>
          </w:p>
        </w:tc>
        <w:tc>
          <w:tcPr>
            <w:tcW w:type="dxa" w:w="3331"/>
            <w:tcMar>
              <w:top w:w="100" w:type="dxa"/>
              <w:start w:w="120" w:type="dxa"/>
              <w:bottom w:w="100" w:type="dxa"/>
              <w:end w:w="120" w:type="dxa"/>
            </w:tcMar>
            <w:vAlign w:val="top"/>
          </w:tcPr>
          <w:p>
            <w:r>
              <w:rPr>
                <w:sz w:val="16"/>
              </w:rPr>
              <w:t>Do not advance the process faster than readiness supports.</w:t>
            </w:r>
          </w:p>
        </w:tc>
      </w:tr>
      <w:tr>
        <w:tc>
          <w:tcPr>
            <w:tcW w:type="dxa" w:w="3331"/>
            <w:tcMar>
              <w:top w:w="100" w:type="dxa"/>
              <w:start w:w="120" w:type="dxa"/>
              <w:bottom w:w="100" w:type="dxa"/>
              <w:end w:w="120" w:type="dxa"/>
            </w:tcMar>
            <w:vAlign w:val="top"/>
          </w:tcPr>
          <w:p>
            <w:r>
              <w:rPr>
                <w:sz w:val="16"/>
              </w:rPr>
              <w:t>Emotional load</w:t>
            </w:r>
          </w:p>
        </w:tc>
        <w:tc>
          <w:tcPr>
            <w:tcW w:type="dxa" w:w="3331"/>
            <w:tcMar>
              <w:top w:w="100" w:type="dxa"/>
              <w:start w:w="120" w:type="dxa"/>
              <w:bottom w:w="100" w:type="dxa"/>
              <w:end w:w="120" w:type="dxa"/>
            </w:tcMar>
            <w:vAlign w:val="top"/>
          </w:tcPr>
          <w:p>
            <w:r>
              <w:rPr>
                <w:sz w:val="16"/>
              </w:rPr>
              <w:t>Calm, frustrated, fearful, exhausted, energized</w:t>
            </w:r>
          </w:p>
        </w:tc>
        <w:tc>
          <w:tcPr>
            <w:tcW w:type="dxa" w:w="3331"/>
            <w:tcMar>
              <w:top w:w="100" w:type="dxa"/>
              <w:start w:w="120" w:type="dxa"/>
              <w:bottom w:w="100" w:type="dxa"/>
              <w:end w:w="120" w:type="dxa"/>
            </w:tcMar>
            <w:vAlign w:val="top"/>
          </w:tcPr>
          <w:p>
            <w:r>
              <w:rPr>
                <w:sz w:val="16"/>
              </w:rPr>
              <w:t>Acknowledge the condition without allowing emotion to silently govern the decision.</w:t>
            </w:r>
          </w:p>
        </w:tc>
      </w:tr>
      <w:tr>
        <w:tc>
          <w:tcPr>
            <w:tcW w:type="dxa" w:w="3331"/>
            <w:tcMar>
              <w:top w:w="100" w:type="dxa"/>
              <w:start w:w="120" w:type="dxa"/>
              <w:bottom w:w="100" w:type="dxa"/>
              <w:end w:w="120" w:type="dxa"/>
            </w:tcMar>
            <w:vAlign w:val="top"/>
          </w:tcPr>
          <w:p>
            <w:r>
              <w:rPr>
                <w:sz w:val="16"/>
              </w:rPr>
              <w:t>Team alignment</w:t>
            </w:r>
          </w:p>
        </w:tc>
        <w:tc>
          <w:tcPr>
            <w:tcW w:type="dxa" w:w="3331"/>
            <w:tcMar>
              <w:top w:w="100" w:type="dxa"/>
              <w:start w:w="120" w:type="dxa"/>
              <w:bottom w:w="100" w:type="dxa"/>
              <w:end w:w="120" w:type="dxa"/>
            </w:tcMar>
            <w:vAlign w:val="top"/>
          </w:tcPr>
          <w:p>
            <w:r>
              <w:rPr>
                <w:sz w:val="16"/>
              </w:rPr>
              <w:t>Unknown, divided, cautiously aligned, committed</w:t>
            </w:r>
          </w:p>
        </w:tc>
        <w:tc>
          <w:tcPr>
            <w:tcW w:type="dxa" w:w="3331"/>
            <w:tcMar>
              <w:top w:w="100" w:type="dxa"/>
              <w:start w:w="120" w:type="dxa"/>
              <w:bottom w:w="100" w:type="dxa"/>
              <w:end w:w="120" w:type="dxa"/>
            </w:tcMar>
            <w:vAlign w:val="top"/>
          </w:tcPr>
          <w:p>
            <w:r>
              <w:rPr>
                <w:sz w:val="16"/>
              </w:rPr>
              <w:t>Treat each material stakeholder as a separate source of readiness.</w:t>
            </w:r>
          </w:p>
        </w:tc>
      </w:tr>
      <w:tr>
        <w:tc>
          <w:tcPr>
            <w:tcW w:type="dxa" w:w="3331"/>
            <w:tcMar>
              <w:top w:w="100" w:type="dxa"/>
              <w:start w:w="120" w:type="dxa"/>
              <w:bottom w:w="100" w:type="dxa"/>
              <w:end w:w="120" w:type="dxa"/>
            </w:tcMar>
            <w:vAlign w:val="top"/>
          </w:tcPr>
          <w:p>
            <w:r>
              <w:rPr>
                <w:sz w:val="16"/>
              </w:rPr>
              <w:t>Evidence confidence</w:t>
            </w:r>
          </w:p>
        </w:tc>
        <w:tc>
          <w:tcPr>
            <w:tcW w:type="dxa" w:w="3331"/>
            <w:tcMar>
              <w:top w:w="100" w:type="dxa"/>
              <w:start w:w="120" w:type="dxa"/>
              <w:bottom w:w="100" w:type="dxa"/>
              <w:end w:w="120" w:type="dxa"/>
            </w:tcMar>
            <w:vAlign w:val="top"/>
          </w:tcPr>
          <w:p>
            <w:r>
              <w:rPr>
                <w:sz w:val="16"/>
              </w:rPr>
              <w:t>Low, mixed, sufficient, verified</w:t>
            </w:r>
          </w:p>
        </w:tc>
        <w:tc>
          <w:tcPr>
            <w:tcW w:type="dxa" w:w="3331"/>
            <w:tcMar>
              <w:top w:w="100" w:type="dxa"/>
              <w:start w:w="120" w:type="dxa"/>
              <w:bottom w:w="100" w:type="dxa"/>
              <w:end w:w="120" w:type="dxa"/>
            </w:tcMar>
            <w:vAlign w:val="top"/>
          </w:tcPr>
          <w:p>
            <w:r>
              <w:rPr>
                <w:sz w:val="16"/>
              </w:rPr>
              <w:t>Direct work toward decision-changing unknowns.</w:t>
            </w:r>
          </w:p>
        </w:tc>
      </w:tr>
    </w:tbl>
    <w:p/>
    <w:tbl>
      <w:tblPr>
        <w:tblW w:type="auto" w:w="0"/>
        <w:jc w:val="center"/>
        <w:tblLook w:firstColumn="1" w:firstRow="1" w:lastColumn="0" w:lastRow="0" w:noHBand="0" w:noVBand="1" w:val="04A0"/>
      </w:tblPr>
      <w:tblGrid>
        <w:gridCol w:w="9994"/>
      </w:tblGrid>
      <w:tr>
        <w:tc>
          <w:tcPr>
            <w:tcW w:type="dxa" w:w="9994"/>
            <w:shd w:fill="F7F4ED"/>
            <w:tcMar>
              <w:top w:w="140" w:type="dxa"/>
              <w:start w:w="170" w:type="dxa"/>
              <w:bottom w:w="140" w:type="dxa"/>
              <w:end w:w="170" w:type="dxa"/>
            </w:tcMar>
          </w:tcPr>
          <w:p>
            <w:r/>
            <w:r>
              <w:rPr>
                <w:b/>
                <w:color w:val="B48A35"/>
                <w:sz w:val="17"/>
              </w:rPr>
              <w:t>USE RULE</w:t>
            </w:r>
          </w:p>
          <w:p>
            <w:pPr>
              <w:spacing w:after="0"/>
            </w:pPr>
            <w:r>
              <w:rPr>
                <w:b/>
                <w:color w:val="12233F"/>
                <w:sz w:val="22"/>
              </w:rPr>
              <w:t>Advisor State informs how the meeting is run. It does not become a score used to manipulate the advisor.</w:t>
            </w:r>
          </w:p>
        </w:tc>
      </w:tr>
    </w:tbl>
    <w:p>
      <w:pPr>
        <w:spacing w:after="20"/>
      </w:pPr>
    </w:p>
    <w:p>
      <w:pPr>
        <w:pStyle w:val="Heading1"/>
        <w:pBdr>
          <w:bottom w:val="single" w:sz="10" w:space="6" w:color="B48A35"/>
        </w:pBdr>
      </w:pPr>
      <w:r>
        <w:t>5. The Service System</w:t>
      </w:r>
    </w:p>
    <w:p>
      <w:pPr>
        <w:pStyle w:val="BodyText"/>
        <w:spacing w:after="120" w:line="259" w:lineRule="auto"/>
      </w:pPr>
      <w:r>
        <w:rPr>
          <w:b w:val="0"/>
          <w:i w:val="0"/>
        </w:rPr>
        <w:t>ROOT, BRANCH and GROW are defined client engagements. Their role is to execute the VYNE Framework through a clear scope.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2233F"/>
            <w:tcMar>
              <w:top w:w="100" w:type="dxa"/>
              <w:start w:w="120" w:type="dxa"/>
              <w:bottom w:w="100" w:type="dxa"/>
              <w:end w:w="120" w:type="dxa"/>
            </w:tcMar>
          </w:tcPr>
          <w:p>
            <w:r>
              <w:rPr>
                <w:b/>
                <w:color w:val="FFFFFF"/>
                <w:sz w:val="16"/>
              </w:rPr>
              <w:t>Service</w:t>
            </w:r>
          </w:p>
        </w:tc>
        <w:tc>
          <w:tcPr>
            <w:tcW w:type="dxa" w:w="2498"/>
            <w:shd w:fill="12233F"/>
            <w:tcMar>
              <w:top w:w="100" w:type="dxa"/>
              <w:start w:w="120" w:type="dxa"/>
              <w:bottom w:w="100" w:type="dxa"/>
              <w:end w:w="120" w:type="dxa"/>
            </w:tcMar>
          </w:tcPr>
          <w:p>
            <w:r>
              <w:rPr>
                <w:b/>
                <w:color w:val="FFFFFF"/>
                <w:sz w:val="16"/>
              </w:rPr>
              <w:t>Primary outcome</w:t>
            </w:r>
          </w:p>
        </w:tc>
        <w:tc>
          <w:tcPr>
            <w:tcW w:type="dxa" w:w="2498"/>
            <w:shd w:fill="12233F"/>
            <w:tcMar>
              <w:top w:w="100" w:type="dxa"/>
              <w:start w:w="120" w:type="dxa"/>
              <w:bottom w:w="100" w:type="dxa"/>
              <w:end w:w="120" w:type="dxa"/>
            </w:tcMar>
          </w:tcPr>
          <w:p>
            <w:r>
              <w:rPr>
                <w:b/>
                <w:color w:val="FFFFFF"/>
                <w:sz w:val="16"/>
              </w:rPr>
              <w:t>Entry condition</w:t>
            </w:r>
          </w:p>
        </w:tc>
        <w:tc>
          <w:tcPr>
            <w:tcW w:type="dxa" w:w="2498"/>
            <w:shd w:fill="12233F"/>
            <w:tcMar>
              <w:top w:w="100" w:type="dxa"/>
              <w:start w:w="120" w:type="dxa"/>
              <w:bottom w:w="100" w:type="dxa"/>
              <w:end w:w="120" w:type="dxa"/>
            </w:tcMar>
          </w:tcPr>
          <w:p>
            <w:r>
              <w:rPr>
                <w:b/>
                <w:color w:val="FFFFFF"/>
                <w:sz w:val="16"/>
              </w:rPr>
              <w:t>Exit condition</w:t>
            </w:r>
          </w:p>
        </w:tc>
      </w:tr>
      <w:tr>
        <w:tc>
          <w:tcPr>
            <w:tcW w:type="dxa" w:w="2498"/>
            <w:tcMar>
              <w:top w:w="100" w:type="dxa"/>
              <w:start w:w="120" w:type="dxa"/>
              <w:bottom w:w="100" w:type="dxa"/>
              <w:end w:w="120" w:type="dxa"/>
            </w:tcMar>
            <w:vAlign w:val="top"/>
          </w:tcPr>
          <w:p>
            <w:r>
              <w:rPr>
                <w:sz w:val="16"/>
              </w:rPr>
              <w:t>ROOT</w:t>
            </w:r>
          </w:p>
        </w:tc>
        <w:tc>
          <w:tcPr>
            <w:tcW w:type="dxa" w:w="2498"/>
            <w:tcMar>
              <w:top w:w="100" w:type="dxa"/>
              <w:start w:w="120" w:type="dxa"/>
              <w:bottom w:w="100" w:type="dxa"/>
              <w:end w:w="120" w:type="dxa"/>
            </w:tcMar>
            <w:vAlign w:val="top"/>
          </w:tcPr>
          <w:p>
            <w:r>
              <w:rPr>
                <w:sz w:val="16"/>
              </w:rPr>
              <w:t>Define the advisor's decision, Current Reality and Future-State Mandate.</w:t>
            </w:r>
          </w:p>
        </w:tc>
        <w:tc>
          <w:tcPr>
            <w:tcW w:type="dxa" w:w="2498"/>
            <w:tcMar>
              <w:top w:w="100" w:type="dxa"/>
              <w:start w:w="120" w:type="dxa"/>
              <w:bottom w:w="100" w:type="dxa"/>
              <w:end w:w="120" w:type="dxa"/>
            </w:tcMar>
            <w:vAlign w:val="top"/>
          </w:tcPr>
          <w:p>
            <w:r>
              <w:rPr>
                <w:sz w:val="16"/>
              </w:rPr>
              <w:t>A meaningful decision or persistent tension exists.</w:t>
            </w:r>
          </w:p>
        </w:tc>
        <w:tc>
          <w:tcPr>
            <w:tcW w:type="dxa" w:w="2498"/>
            <w:tcMar>
              <w:top w:w="100" w:type="dxa"/>
              <w:start w:w="120" w:type="dxa"/>
              <w:bottom w:w="100" w:type="dxa"/>
              <w:end w:w="120" w:type="dxa"/>
            </w:tcMar>
            <w:vAlign w:val="top"/>
          </w:tcPr>
          <w:p>
            <w:r>
              <w:rPr>
                <w:sz w:val="16"/>
              </w:rPr>
              <w:t>The decision is clear enough to determine whether further work is warranted.</w:t>
            </w:r>
          </w:p>
        </w:tc>
      </w:tr>
      <w:tr>
        <w:tc>
          <w:tcPr>
            <w:tcW w:type="dxa" w:w="2498"/>
            <w:tcMar>
              <w:top w:w="100" w:type="dxa"/>
              <w:start w:w="120" w:type="dxa"/>
              <w:bottom w:w="100" w:type="dxa"/>
              <w:end w:w="120" w:type="dxa"/>
            </w:tcMar>
            <w:vAlign w:val="top"/>
          </w:tcPr>
          <w:p>
            <w:r>
              <w:rPr>
                <w:sz w:val="16"/>
              </w:rPr>
              <w:t>BRANCH</w:t>
            </w:r>
          </w:p>
        </w:tc>
        <w:tc>
          <w:tcPr>
            <w:tcW w:type="dxa" w:w="2498"/>
            <w:tcMar>
              <w:top w:w="100" w:type="dxa"/>
              <w:start w:w="120" w:type="dxa"/>
              <w:bottom w:w="100" w:type="dxa"/>
              <w:end w:w="120" w:type="dxa"/>
            </w:tcMar>
            <w:vAlign w:val="top"/>
          </w:tcPr>
          <w:p>
            <w:r>
              <w:rPr>
                <w:sz w:val="16"/>
              </w:rPr>
              <w:t>Evaluate credible paths, constraints, economics and diligence.</w:t>
            </w:r>
          </w:p>
        </w:tc>
        <w:tc>
          <w:tcPr>
            <w:tcW w:type="dxa" w:w="2498"/>
            <w:tcMar>
              <w:top w:w="100" w:type="dxa"/>
              <w:start w:w="120" w:type="dxa"/>
              <w:bottom w:w="100" w:type="dxa"/>
              <w:end w:w="120" w:type="dxa"/>
            </w:tcMar>
            <w:vAlign w:val="top"/>
          </w:tcPr>
          <w:p>
            <w:r>
              <w:rPr>
                <w:sz w:val="16"/>
              </w:rPr>
              <w:t>ROOT outputs are sufficient or equivalent information has been established.</w:t>
            </w:r>
          </w:p>
        </w:tc>
        <w:tc>
          <w:tcPr>
            <w:tcW w:type="dxa" w:w="2498"/>
            <w:tcMar>
              <w:top w:w="100" w:type="dxa"/>
              <w:start w:w="120" w:type="dxa"/>
              <w:bottom w:w="100" w:type="dxa"/>
              <w:end w:w="120" w:type="dxa"/>
            </w:tcMar>
            <w:vAlign w:val="top"/>
          </w:tcPr>
          <w:p>
            <w:r>
              <w:rPr>
                <w:sz w:val="16"/>
              </w:rPr>
              <w:t>The advisor reaches a defensible decision state and authorized action path.</w:t>
            </w:r>
          </w:p>
        </w:tc>
      </w:tr>
      <w:tr>
        <w:tc>
          <w:tcPr>
            <w:tcW w:type="dxa" w:w="2498"/>
            <w:tcMar>
              <w:top w:w="100" w:type="dxa"/>
              <w:start w:w="120" w:type="dxa"/>
              <w:bottom w:w="100" w:type="dxa"/>
              <w:end w:w="120" w:type="dxa"/>
            </w:tcMar>
            <w:vAlign w:val="top"/>
          </w:tcPr>
          <w:p>
            <w:r>
              <w:rPr>
                <w:sz w:val="16"/>
              </w:rPr>
              <w:t>GROW</w:t>
            </w:r>
          </w:p>
        </w:tc>
        <w:tc>
          <w:tcPr>
            <w:tcW w:type="dxa" w:w="2498"/>
            <w:tcMar>
              <w:top w:w="100" w:type="dxa"/>
              <w:start w:w="120" w:type="dxa"/>
              <w:bottom w:w="100" w:type="dxa"/>
              <w:end w:w="120" w:type="dxa"/>
            </w:tcMar>
            <w:vAlign w:val="top"/>
          </w:tcPr>
          <w:p>
            <w:r>
              <w:rPr>
                <w:sz w:val="16"/>
              </w:rPr>
              <w:t>Execute a defined stay, strengthen, succession, integration or post-decision mandate.</w:t>
            </w:r>
          </w:p>
        </w:tc>
        <w:tc>
          <w:tcPr>
            <w:tcW w:type="dxa" w:w="2498"/>
            <w:tcMar>
              <w:top w:w="100" w:type="dxa"/>
              <w:start w:w="120" w:type="dxa"/>
              <w:bottom w:w="100" w:type="dxa"/>
              <w:end w:w="120" w:type="dxa"/>
            </w:tcMar>
            <w:vAlign w:val="top"/>
          </w:tcPr>
          <w:p>
            <w:r>
              <w:rPr>
                <w:sz w:val="16"/>
              </w:rPr>
              <w:t>A decision has been made and the work is specifically scoped.</w:t>
            </w:r>
          </w:p>
        </w:tc>
        <w:tc>
          <w:tcPr>
            <w:tcW w:type="dxa" w:w="2498"/>
            <w:tcMar>
              <w:top w:w="100" w:type="dxa"/>
              <w:start w:w="120" w:type="dxa"/>
              <w:bottom w:w="100" w:type="dxa"/>
              <w:end w:w="120" w:type="dxa"/>
            </w:tcMar>
            <w:vAlign w:val="top"/>
          </w:tcPr>
          <w:p>
            <w:r>
              <w:rPr>
                <w:sz w:val="16"/>
              </w:rPr>
              <w:t>Agreed implementation outcome is completed or transitioned to another engagement.</w:t>
            </w:r>
          </w:p>
        </w:tc>
      </w:tr>
    </w:tbl>
    <w:p/>
    <w:p>
      <w:pPr>
        <w:pStyle w:val="Heading1"/>
        <w:pBdr>
          <w:bottom w:val="single" w:sz="10" w:space="6" w:color="B48A35"/>
        </w:pBdr>
      </w:pPr>
      <w:r>
        <w:t>6. ROOT Service Standard</w:t>
      </w:r>
    </w:p>
    <w:p>
      <w:pPr>
        <w:pStyle w:val="Heading2"/>
      </w:pPr>
      <w:r>
        <w:t>6.1 Advisor objective</w:t>
      </w:r>
    </w:p>
    <w:p>
      <w:pPr>
        <w:pStyle w:val="BodyText"/>
        <w:spacing w:after="120" w:line="259" w:lineRule="auto"/>
      </w:pPr>
      <w:r>
        <w:rPr>
          <w:b w:val="0"/>
          <w:i w:val="0"/>
        </w:rPr>
        <w:t>Understand what is actually happening, what must be protected and what the next chapter should make possible.</w:t>
      </w:r>
    </w:p>
    <w:p>
      <w:pPr>
        <w:pStyle w:val="Heading2"/>
      </w:pPr>
      <w:r>
        <w:t>6.2 Required meetings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233F"/>
            <w:tcMar>
              <w:top w:w="100" w:type="dxa"/>
              <w:start w:w="120" w:type="dxa"/>
              <w:bottom w:w="100" w:type="dxa"/>
              <w:end w:w="120" w:type="dxa"/>
            </w:tcMar>
          </w:tcPr>
          <w:p>
            <w:r>
              <w:rPr>
                <w:b/>
                <w:color w:val="FFFFFF"/>
                <w:sz w:val="16"/>
              </w:rPr>
              <w:t>Meeting</w:t>
            </w:r>
          </w:p>
        </w:tc>
        <w:tc>
          <w:tcPr>
            <w:tcW w:type="dxa" w:w="3331"/>
            <w:shd w:fill="12233F"/>
            <w:tcMar>
              <w:top w:w="100" w:type="dxa"/>
              <w:start w:w="120" w:type="dxa"/>
              <w:bottom w:w="100" w:type="dxa"/>
              <w:end w:w="120" w:type="dxa"/>
            </w:tcMar>
          </w:tcPr>
          <w:p>
            <w:r>
              <w:rPr>
                <w:b/>
                <w:color w:val="FFFFFF"/>
                <w:sz w:val="16"/>
              </w:rPr>
              <w:t>Purpose</w:t>
            </w:r>
          </w:p>
        </w:tc>
        <w:tc>
          <w:tcPr>
            <w:tcW w:type="dxa" w:w="3331"/>
            <w:shd w:fill="12233F"/>
            <w:tcMar>
              <w:top w:w="100" w:type="dxa"/>
              <w:start w:w="120" w:type="dxa"/>
              <w:bottom w:w="100" w:type="dxa"/>
              <w:end w:w="120" w:type="dxa"/>
            </w:tcMar>
          </w:tcPr>
          <w:p>
            <w:r>
              <w:rPr>
                <w:b/>
                <w:color w:val="FFFFFF"/>
                <w:sz w:val="16"/>
              </w:rPr>
              <w:t>Required output</w:t>
            </w:r>
          </w:p>
        </w:tc>
      </w:tr>
      <w:tr>
        <w:tc>
          <w:tcPr>
            <w:tcW w:type="dxa" w:w="3331"/>
            <w:tcMar>
              <w:top w:w="100" w:type="dxa"/>
              <w:start w:w="120" w:type="dxa"/>
              <w:bottom w:w="100" w:type="dxa"/>
              <w:end w:w="120" w:type="dxa"/>
            </w:tcMar>
            <w:vAlign w:val="top"/>
          </w:tcPr>
          <w:p>
            <w:r>
              <w:rPr>
                <w:sz w:val="16"/>
              </w:rPr>
              <w:t>Orientation Conversation</w:t>
            </w:r>
          </w:p>
        </w:tc>
        <w:tc>
          <w:tcPr>
            <w:tcW w:type="dxa" w:w="3331"/>
            <w:tcMar>
              <w:top w:w="100" w:type="dxa"/>
              <w:start w:w="120" w:type="dxa"/>
              <w:bottom w:w="100" w:type="dxa"/>
              <w:end w:w="120" w:type="dxa"/>
            </w:tcMar>
            <w:vAlign w:val="top"/>
          </w:tcPr>
          <w:p>
            <w:r>
              <w:rPr>
                <w:sz w:val="16"/>
              </w:rPr>
              <w:t>Define the question, explain independence and establish permission.</w:t>
            </w:r>
          </w:p>
        </w:tc>
        <w:tc>
          <w:tcPr>
            <w:tcW w:type="dxa" w:w="3331"/>
            <w:tcMar>
              <w:top w:w="100" w:type="dxa"/>
              <w:start w:w="120" w:type="dxa"/>
              <w:bottom w:w="100" w:type="dxa"/>
              <w:end w:w="120" w:type="dxa"/>
            </w:tcMar>
            <w:vAlign w:val="top"/>
          </w:tcPr>
          <w:p>
            <w:r>
              <w:rPr>
                <w:sz w:val="16"/>
              </w:rPr>
              <w:t>Decision statement and engagement fit.</w:t>
            </w:r>
          </w:p>
        </w:tc>
      </w:tr>
      <w:tr>
        <w:tc>
          <w:tcPr>
            <w:tcW w:type="dxa" w:w="3331"/>
            <w:tcMar>
              <w:top w:w="100" w:type="dxa"/>
              <w:start w:w="120" w:type="dxa"/>
              <w:bottom w:w="100" w:type="dxa"/>
              <w:end w:w="120" w:type="dxa"/>
            </w:tcMar>
            <w:vAlign w:val="top"/>
          </w:tcPr>
          <w:p>
            <w:r>
              <w:rPr>
                <w:sz w:val="16"/>
              </w:rPr>
              <w:t>Current Reality Session</w:t>
            </w:r>
          </w:p>
        </w:tc>
        <w:tc>
          <w:tcPr>
            <w:tcW w:type="dxa" w:w="3331"/>
            <w:tcMar>
              <w:top w:w="100" w:type="dxa"/>
              <w:start w:w="120" w:type="dxa"/>
              <w:bottom w:w="100" w:type="dxa"/>
              <w:end w:w="120" w:type="dxa"/>
            </w:tcMar>
            <w:vAlign w:val="top"/>
          </w:tcPr>
          <w:p>
            <w:r>
              <w:rPr>
                <w:sz w:val="16"/>
              </w:rPr>
              <w:t>Document strengths, tensions, economics, clients, team and platform context.</w:t>
            </w:r>
          </w:p>
        </w:tc>
        <w:tc>
          <w:tcPr>
            <w:tcW w:type="dxa" w:w="3331"/>
            <w:tcMar>
              <w:top w:w="100" w:type="dxa"/>
              <w:start w:w="120" w:type="dxa"/>
              <w:bottom w:w="100" w:type="dxa"/>
              <w:end w:w="120" w:type="dxa"/>
            </w:tcMar>
            <w:vAlign w:val="top"/>
          </w:tcPr>
          <w:p>
            <w:r>
              <w:rPr>
                <w:sz w:val="16"/>
              </w:rPr>
              <w:t>Current Reality Record.</w:t>
            </w:r>
          </w:p>
        </w:tc>
      </w:tr>
      <w:tr>
        <w:tc>
          <w:tcPr>
            <w:tcW w:type="dxa" w:w="3331"/>
            <w:tcMar>
              <w:top w:w="100" w:type="dxa"/>
              <w:start w:w="120" w:type="dxa"/>
              <w:bottom w:w="100" w:type="dxa"/>
              <w:end w:w="120" w:type="dxa"/>
            </w:tcMar>
            <w:vAlign w:val="top"/>
          </w:tcPr>
          <w:p>
            <w:r>
              <w:rPr>
                <w:sz w:val="16"/>
              </w:rPr>
              <w:t>Future-State Session</w:t>
            </w:r>
          </w:p>
        </w:tc>
        <w:tc>
          <w:tcPr>
            <w:tcW w:type="dxa" w:w="3331"/>
            <w:tcMar>
              <w:top w:w="100" w:type="dxa"/>
              <w:start w:w="120" w:type="dxa"/>
              <w:bottom w:w="100" w:type="dxa"/>
              <w:end w:w="120" w:type="dxa"/>
            </w:tcMar>
            <w:vAlign w:val="top"/>
          </w:tcPr>
          <w:p>
            <w:r>
              <w:rPr>
                <w:sz w:val="16"/>
              </w:rPr>
              <w:t>Prioritize outcomes, non-negotiables and time horizon.</w:t>
            </w:r>
          </w:p>
        </w:tc>
        <w:tc>
          <w:tcPr>
            <w:tcW w:type="dxa" w:w="3331"/>
            <w:tcMar>
              <w:top w:w="100" w:type="dxa"/>
              <w:start w:w="120" w:type="dxa"/>
              <w:bottom w:w="100" w:type="dxa"/>
              <w:end w:w="120" w:type="dxa"/>
            </w:tcMar>
            <w:vAlign w:val="top"/>
          </w:tcPr>
          <w:p>
            <w:r>
              <w:rPr>
                <w:sz w:val="16"/>
              </w:rPr>
              <w:t>Future-State Mandate.</w:t>
            </w:r>
          </w:p>
        </w:tc>
      </w:tr>
      <w:tr>
        <w:tc>
          <w:tcPr>
            <w:tcW w:type="dxa" w:w="3331"/>
            <w:tcMar>
              <w:top w:w="100" w:type="dxa"/>
              <w:start w:w="120" w:type="dxa"/>
              <w:bottom w:w="100" w:type="dxa"/>
              <w:end w:w="120" w:type="dxa"/>
            </w:tcMar>
            <w:vAlign w:val="top"/>
          </w:tcPr>
          <w:p>
            <w:r>
              <w:rPr>
                <w:sz w:val="16"/>
              </w:rPr>
              <w:t>ROOT Readout</w:t>
            </w:r>
          </w:p>
        </w:tc>
        <w:tc>
          <w:tcPr>
            <w:tcW w:type="dxa" w:w="3331"/>
            <w:tcMar>
              <w:top w:w="100" w:type="dxa"/>
              <w:start w:w="120" w:type="dxa"/>
              <w:bottom w:w="100" w:type="dxa"/>
              <w:end w:w="120" w:type="dxa"/>
            </w:tcMar>
            <w:vAlign w:val="top"/>
          </w:tcPr>
          <w:p>
            <w:r>
              <w:rPr>
                <w:sz w:val="16"/>
              </w:rPr>
              <w:t>Reflect the decision back to the advisor and define the next responsible step.</w:t>
            </w:r>
          </w:p>
        </w:tc>
        <w:tc>
          <w:tcPr>
            <w:tcW w:type="dxa" w:w="3331"/>
            <w:tcMar>
              <w:top w:w="100" w:type="dxa"/>
              <w:start w:w="120" w:type="dxa"/>
              <w:bottom w:w="100" w:type="dxa"/>
              <w:end w:w="120" w:type="dxa"/>
            </w:tcMar>
            <w:vAlign w:val="top"/>
          </w:tcPr>
          <w:p>
            <w:r>
              <w:rPr>
                <w:sz w:val="16"/>
              </w:rPr>
              <w:t>Initial VYNE's 9 Profile and decision-readiness view.</w:t>
            </w:r>
          </w:p>
        </w:tc>
      </w:tr>
    </w:tbl>
    <w:p/>
    <w:p>
      <w:pPr>
        <w:pStyle w:val="Heading2"/>
      </w:pPr>
      <w:r>
        <w:t>6.3 ROOT quality gate</w:t>
      </w:r>
    </w:p>
    <w:p>
      <w:pPr>
        <w:pStyle w:val="ListBullet"/>
        <w:spacing w:after="60"/>
      </w:pPr>
      <w:r>
        <w:t>The advisor's decision is stated in plain language.</w:t>
      </w:r>
    </w:p>
    <w:p>
      <w:pPr>
        <w:pStyle w:val="ListBullet"/>
        <w:spacing w:after="60"/>
      </w:pPr>
      <w:r>
        <w:t>Strengths are documented as carefully as frustrations.</w:t>
      </w:r>
    </w:p>
    <w:p>
      <w:pPr>
        <w:pStyle w:val="ListBullet"/>
        <w:spacing w:after="60"/>
      </w:pPr>
      <w:r>
        <w:t>The future state is prioritized rather than presented as a wish list.</w:t>
      </w:r>
    </w:p>
    <w:p>
      <w:pPr>
        <w:pStyle w:val="ListBullet"/>
        <w:spacing w:after="60"/>
      </w:pPr>
      <w:r>
        <w:t>Material conflicts, stakeholders and time pressures are visible.</w:t>
      </w:r>
    </w:p>
    <w:p>
      <w:pPr>
        <w:pStyle w:val="ListBullet"/>
        <w:spacing w:after="60"/>
      </w:pPr>
      <w:r>
        <w:t>VYNE has not introduced firms merely to create momentum.</w:t>
      </w:r>
    </w:p>
    <w:p>
      <w:pPr>
        <w:pStyle w:val="ListBullet"/>
        <w:spacing w:after="60"/>
      </w:pPr>
      <w:r>
        <w:t>The advisor understands whether the next step is stop, stay, strengthen, prepare or enter BRANCH.</w:t>
      </w:r>
    </w:p>
    <w:p>
      <w:pPr>
        <w:pStyle w:val="Heading1"/>
        <w:pBdr>
          <w:bottom w:val="single" w:sz="10" w:space="6" w:color="B48A35"/>
        </w:pBdr>
      </w:pPr>
      <w:r>
        <w:t>7. BRANCH Service Standard</w:t>
      </w:r>
    </w:p>
    <w:p>
      <w:pPr>
        <w:pStyle w:val="Heading2"/>
      </w:pPr>
      <w:r>
        <w:t>7.1 Advisor objective</w:t>
      </w:r>
    </w:p>
    <w:p>
      <w:pPr>
        <w:pStyle w:val="BodyText"/>
        <w:spacing w:after="120" w:line="259" w:lineRule="auto"/>
      </w:pPr>
      <w:r>
        <w:rPr>
          <w:b w:val="0"/>
          <w:i w:val="0"/>
        </w:rPr>
        <w:t>Compare credible paths, test claims, understand economics and reach a decision the advisor can responsibly own.</w:t>
      </w:r>
    </w:p>
    <w:p>
      <w:pPr>
        <w:pStyle w:val="Heading2"/>
      </w:pPr>
      <w:r>
        <w:t>7.2 Required workstreams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233F"/>
            <w:tcMar>
              <w:top w:w="100" w:type="dxa"/>
              <w:start w:w="120" w:type="dxa"/>
              <w:bottom w:w="100" w:type="dxa"/>
              <w:end w:w="120" w:type="dxa"/>
            </w:tcMar>
          </w:tcPr>
          <w:p>
            <w:r>
              <w:rPr>
                <w:b/>
                <w:color w:val="FFFFFF"/>
                <w:sz w:val="15"/>
              </w:rPr>
              <w:t>Workstream</w:t>
            </w:r>
          </w:p>
        </w:tc>
        <w:tc>
          <w:tcPr>
            <w:tcW w:type="dxa" w:w="3331"/>
            <w:shd w:fill="12233F"/>
            <w:tcMar>
              <w:top w:w="100" w:type="dxa"/>
              <w:start w:w="120" w:type="dxa"/>
              <w:bottom w:w="100" w:type="dxa"/>
              <w:end w:w="120" w:type="dxa"/>
            </w:tcMar>
          </w:tcPr>
          <w:p>
            <w:r>
              <w:rPr>
                <w:b/>
                <w:color w:val="FFFFFF"/>
                <w:sz w:val="15"/>
              </w:rPr>
              <w:t>Core work</w:t>
            </w:r>
          </w:p>
        </w:tc>
        <w:tc>
          <w:tcPr>
            <w:tcW w:type="dxa" w:w="3331"/>
            <w:shd w:fill="12233F"/>
            <w:tcMar>
              <w:top w:w="100" w:type="dxa"/>
              <w:start w:w="120" w:type="dxa"/>
              <w:bottom w:w="100" w:type="dxa"/>
              <w:end w:w="120" w:type="dxa"/>
            </w:tcMar>
          </w:tcPr>
          <w:p>
            <w:r>
              <w:rPr>
                <w:b/>
                <w:color w:val="FFFFFF"/>
                <w:sz w:val="15"/>
              </w:rPr>
              <w:t>Primary output</w:t>
            </w:r>
          </w:p>
        </w:tc>
      </w:tr>
      <w:tr>
        <w:tc>
          <w:tcPr>
            <w:tcW w:type="dxa" w:w="3331"/>
            <w:tcMar>
              <w:top w:w="100" w:type="dxa"/>
              <w:start w:w="120" w:type="dxa"/>
              <w:bottom w:w="100" w:type="dxa"/>
              <w:end w:w="120" w:type="dxa"/>
            </w:tcMar>
            <w:vAlign w:val="top"/>
          </w:tcPr>
          <w:p>
            <w:r>
              <w:rPr>
                <w:sz w:val="15"/>
              </w:rPr>
              <w:t>Constraint Mapping</w:t>
            </w:r>
          </w:p>
        </w:tc>
        <w:tc>
          <w:tcPr>
            <w:tcW w:type="dxa" w:w="3331"/>
            <w:tcMar>
              <w:top w:w="100" w:type="dxa"/>
              <w:start w:w="120" w:type="dxa"/>
              <w:bottom w:w="100" w:type="dxa"/>
              <w:end w:w="120" w:type="dxa"/>
            </w:tcMar>
            <w:vAlign w:val="top"/>
          </w:tcPr>
          <w:p>
            <w:r>
              <w:rPr>
                <w:sz w:val="15"/>
              </w:rPr>
              <w:t>Identify structural, client, team, economic, legal, operational and personal barriers.</w:t>
            </w:r>
          </w:p>
        </w:tc>
        <w:tc>
          <w:tcPr>
            <w:tcW w:type="dxa" w:w="3331"/>
            <w:tcMar>
              <w:top w:w="100" w:type="dxa"/>
              <w:start w:w="120" w:type="dxa"/>
              <w:bottom w:w="100" w:type="dxa"/>
              <w:end w:w="120" w:type="dxa"/>
            </w:tcMar>
            <w:vAlign w:val="top"/>
          </w:tcPr>
          <w:p>
            <w:r>
              <w:rPr>
                <w:sz w:val="15"/>
              </w:rPr>
              <w:t>Constraint Map.</w:t>
            </w:r>
          </w:p>
        </w:tc>
      </w:tr>
      <w:tr>
        <w:tc>
          <w:tcPr>
            <w:tcW w:type="dxa" w:w="3331"/>
            <w:tcMar>
              <w:top w:w="100" w:type="dxa"/>
              <w:start w:w="120" w:type="dxa"/>
              <w:bottom w:w="100" w:type="dxa"/>
              <w:end w:w="120" w:type="dxa"/>
            </w:tcMar>
            <w:vAlign w:val="top"/>
          </w:tcPr>
          <w:p>
            <w:r>
              <w:rPr>
                <w:sz w:val="15"/>
              </w:rPr>
              <w:t>Diligence Design</w:t>
            </w:r>
          </w:p>
        </w:tc>
        <w:tc>
          <w:tcPr>
            <w:tcW w:type="dxa" w:w="3331"/>
            <w:tcMar>
              <w:top w:w="100" w:type="dxa"/>
              <w:start w:w="120" w:type="dxa"/>
              <w:bottom w:w="100" w:type="dxa"/>
              <w:end w:w="120" w:type="dxa"/>
            </w:tcMar>
            <w:vAlign w:val="top"/>
          </w:tcPr>
          <w:p>
            <w:r>
              <w:rPr>
                <w:sz w:val="15"/>
              </w:rPr>
              <w:t>Define what must be true and what evidence is required.</w:t>
            </w:r>
          </w:p>
        </w:tc>
        <w:tc>
          <w:tcPr>
            <w:tcW w:type="dxa" w:w="3331"/>
            <w:tcMar>
              <w:top w:w="100" w:type="dxa"/>
              <w:start w:w="120" w:type="dxa"/>
              <w:bottom w:w="100" w:type="dxa"/>
              <w:end w:w="120" w:type="dxa"/>
            </w:tcMar>
            <w:vAlign w:val="top"/>
          </w:tcPr>
          <w:p>
            <w:r>
              <w:rPr>
                <w:sz w:val="15"/>
              </w:rPr>
              <w:t>Decision Diligence Agenda.</w:t>
            </w:r>
          </w:p>
        </w:tc>
      </w:tr>
      <w:tr>
        <w:tc>
          <w:tcPr>
            <w:tcW w:type="dxa" w:w="3331"/>
            <w:tcMar>
              <w:top w:w="100" w:type="dxa"/>
              <w:start w:w="120" w:type="dxa"/>
              <w:bottom w:w="100" w:type="dxa"/>
              <w:end w:w="120" w:type="dxa"/>
            </w:tcMar>
            <w:vAlign w:val="top"/>
          </w:tcPr>
          <w:p>
            <w:r>
              <w:rPr>
                <w:sz w:val="15"/>
              </w:rPr>
              <w:t>Alternative Set</w:t>
            </w:r>
          </w:p>
        </w:tc>
        <w:tc>
          <w:tcPr>
            <w:tcW w:type="dxa" w:w="3331"/>
            <w:tcMar>
              <w:top w:w="100" w:type="dxa"/>
              <w:start w:w="120" w:type="dxa"/>
              <w:bottom w:w="100" w:type="dxa"/>
              <w:end w:w="120" w:type="dxa"/>
            </w:tcMar>
            <w:vAlign w:val="top"/>
          </w:tcPr>
          <w:p>
            <w:r>
              <w:rPr>
                <w:sz w:val="15"/>
              </w:rPr>
              <w:t>Construct the strongest credible stay, strengthen, wait and change paths.</w:t>
            </w:r>
          </w:p>
        </w:tc>
        <w:tc>
          <w:tcPr>
            <w:tcW w:type="dxa" w:w="3331"/>
            <w:tcMar>
              <w:top w:w="100" w:type="dxa"/>
              <w:start w:w="120" w:type="dxa"/>
              <w:bottom w:w="100" w:type="dxa"/>
              <w:end w:w="120" w:type="dxa"/>
            </w:tcMar>
            <w:vAlign w:val="top"/>
          </w:tcPr>
          <w:p>
            <w:r>
              <w:rPr>
                <w:sz w:val="15"/>
              </w:rPr>
              <w:t>Alternative Comparison.</w:t>
            </w:r>
          </w:p>
        </w:tc>
      </w:tr>
      <w:tr>
        <w:tc>
          <w:tcPr>
            <w:tcW w:type="dxa" w:w="3331"/>
            <w:tcMar>
              <w:top w:w="100" w:type="dxa"/>
              <w:start w:w="120" w:type="dxa"/>
              <w:bottom w:w="100" w:type="dxa"/>
              <w:end w:w="120" w:type="dxa"/>
            </w:tcMar>
            <w:vAlign w:val="top"/>
          </w:tcPr>
          <w:p>
            <w:r>
              <w:rPr>
                <w:sz w:val="15"/>
              </w:rPr>
              <w:t>Economic Analysis</w:t>
            </w:r>
          </w:p>
        </w:tc>
        <w:tc>
          <w:tcPr>
            <w:tcW w:type="dxa" w:w="3331"/>
            <w:tcMar>
              <w:top w:w="100" w:type="dxa"/>
              <w:start w:w="120" w:type="dxa"/>
              <w:bottom w:w="100" w:type="dxa"/>
              <w:end w:w="120" w:type="dxa"/>
            </w:tcMar>
            <w:vAlign w:val="top"/>
          </w:tcPr>
          <w:p>
            <w:r>
              <w:rPr>
                <w:sz w:val="15"/>
              </w:rPr>
              <w:t>Model income, transition economics, ownership, taxes, risk and long-term wealth under stated assumptions.</w:t>
            </w:r>
          </w:p>
        </w:tc>
        <w:tc>
          <w:tcPr>
            <w:tcW w:type="dxa" w:w="3331"/>
            <w:tcMar>
              <w:top w:w="100" w:type="dxa"/>
              <w:start w:w="120" w:type="dxa"/>
              <w:bottom w:w="100" w:type="dxa"/>
              <w:end w:w="120" w:type="dxa"/>
            </w:tcMar>
            <w:vAlign w:val="top"/>
          </w:tcPr>
          <w:p>
            <w:r>
              <w:rPr>
                <w:sz w:val="15"/>
              </w:rPr>
              <w:t>Advisor-approved model set.</w:t>
            </w:r>
          </w:p>
        </w:tc>
      </w:tr>
      <w:tr>
        <w:tc>
          <w:tcPr>
            <w:tcW w:type="dxa" w:w="3331"/>
            <w:tcMar>
              <w:top w:w="100" w:type="dxa"/>
              <w:start w:w="120" w:type="dxa"/>
              <w:bottom w:w="100" w:type="dxa"/>
              <w:end w:w="120" w:type="dxa"/>
            </w:tcMar>
            <w:vAlign w:val="top"/>
          </w:tcPr>
          <w:p>
            <w:r>
              <w:rPr>
                <w:sz w:val="15"/>
              </w:rPr>
              <w:t>Firm / Channel Evaluation</w:t>
            </w:r>
          </w:p>
        </w:tc>
        <w:tc>
          <w:tcPr>
            <w:tcW w:type="dxa" w:w="3331"/>
            <w:tcMar>
              <w:top w:w="100" w:type="dxa"/>
              <w:start w:w="120" w:type="dxa"/>
              <w:bottom w:w="100" w:type="dxa"/>
              <w:end w:w="120" w:type="dxa"/>
            </w:tcMar>
            <w:vAlign w:val="top"/>
          </w:tcPr>
          <w:p>
            <w:r>
              <w:rPr>
                <w:sz w:val="15"/>
              </w:rPr>
              <w:t>Assess only options justified by the Future-State Mandate.</w:t>
            </w:r>
          </w:p>
        </w:tc>
        <w:tc>
          <w:tcPr>
            <w:tcW w:type="dxa" w:w="3331"/>
            <w:tcMar>
              <w:top w:w="100" w:type="dxa"/>
              <w:start w:w="120" w:type="dxa"/>
              <w:bottom w:w="100" w:type="dxa"/>
              <w:end w:w="120" w:type="dxa"/>
            </w:tcMar>
            <w:vAlign w:val="top"/>
          </w:tcPr>
          <w:p>
            <w:r>
              <w:rPr>
                <w:sz w:val="15"/>
              </w:rPr>
              <w:t>Firm or channel scorecards and meeting records.</w:t>
            </w:r>
          </w:p>
        </w:tc>
      </w:tr>
      <w:tr>
        <w:tc>
          <w:tcPr>
            <w:tcW w:type="dxa" w:w="3331"/>
            <w:tcMar>
              <w:top w:w="100" w:type="dxa"/>
              <w:start w:w="120" w:type="dxa"/>
              <w:bottom w:w="100" w:type="dxa"/>
              <w:end w:w="120" w:type="dxa"/>
            </w:tcMar>
            <w:vAlign w:val="top"/>
          </w:tcPr>
          <w:p>
            <w:r>
              <w:rPr>
                <w:sz w:val="15"/>
              </w:rPr>
              <w:t>Decision Readout</w:t>
            </w:r>
          </w:p>
        </w:tc>
        <w:tc>
          <w:tcPr>
            <w:tcW w:type="dxa" w:w="3331"/>
            <w:tcMar>
              <w:top w:w="100" w:type="dxa"/>
              <w:start w:w="120" w:type="dxa"/>
              <w:bottom w:w="100" w:type="dxa"/>
              <w:end w:w="120" w:type="dxa"/>
            </w:tcMar>
            <w:vAlign w:val="top"/>
          </w:tcPr>
          <w:p>
            <w:r>
              <w:rPr>
                <w:sz w:val="15"/>
              </w:rPr>
              <w:t>Present evidence, trade-offs, unresolved conditions and recommendation.</w:t>
            </w:r>
          </w:p>
        </w:tc>
        <w:tc>
          <w:tcPr>
            <w:tcW w:type="dxa" w:w="3331"/>
            <w:tcMar>
              <w:top w:w="100" w:type="dxa"/>
              <w:start w:w="120" w:type="dxa"/>
              <w:bottom w:w="100" w:type="dxa"/>
              <w:end w:w="120" w:type="dxa"/>
            </w:tcMar>
            <w:vAlign w:val="top"/>
          </w:tcPr>
          <w:p>
            <w:r>
              <w:rPr>
                <w:sz w:val="15"/>
              </w:rPr>
              <w:t>Decision Record and Action Path.</w:t>
            </w:r>
          </w:p>
        </w:tc>
      </w:tr>
    </w:tbl>
    <w:p/>
    <w:p>
      <w:pPr>
        <w:pStyle w:val="Heading2"/>
      </w:pPr>
      <w:r>
        <w:t>7.3 BRANCH quality gate</w:t>
      </w:r>
    </w:p>
    <w:p>
      <w:pPr>
        <w:pStyle w:val="ListBullet"/>
        <w:spacing w:after="60"/>
      </w:pPr>
      <w:r>
        <w:t>Every compared path is evaluated against the same priorities.</w:t>
      </w:r>
    </w:p>
    <w:p>
      <w:pPr>
        <w:pStyle w:val="ListBullet"/>
        <w:spacing w:after="60"/>
      </w:pPr>
      <w:r>
        <w:t>The strongest case for staying is included.</w:t>
      </w:r>
    </w:p>
    <w:p>
      <w:pPr>
        <w:pStyle w:val="ListBullet"/>
        <w:spacing w:after="60"/>
      </w:pPr>
      <w:r>
        <w:t>Headline recruiting economics are separated from long-term business economics.</w:t>
      </w:r>
    </w:p>
    <w:p>
      <w:pPr>
        <w:pStyle w:val="ListBullet"/>
        <w:spacing w:after="60"/>
      </w:pPr>
      <w:r>
        <w:t>Unknowns capable of reversing the decision are visible.</w:t>
      </w:r>
    </w:p>
    <w:p>
      <w:pPr>
        <w:pStyle w:val="ListBullet"/>
        <w:spacing w:after="60"/>
      </w:pPr>
      <w:r>
        <w:t>The advisor can explain the decision without repeating VYNE's language.</w:t>
      </w:r>
    </w:p>
    <w:p>
      <w:pPr>
        <w:pStyle w:val="ListBullet"/>
        <w:spacing w:after="60"/>
      </w:pPr>
      <w:r>
        <w:t>The recommendation identifies what could change it.</w:t>
      </w:r>
    </w:p>
    <w:p>
      <w:pPr>
        <w:pStyle w:val="Heading1"/>
        <w:pBdr>
          <w:bottom w:val="single" w:sz="10" w:space="6" w:color="B48A35"/>
        </w:pBdr>
      </w:pPr>
      <w:r>
        <w:t>8. GROW Service Standard</w:t>
      </w:r>
    </w:p>
    <w:p>
      <w:pPr>
        <w:pStyle w:val="BodyText"/>
        <w:spacing w:after="120" w:line="259" w:lineRule="auto"/>
      </w:pPr>
      <w:r>
        <w:rPr>
          <w:b w:val="0"/>
          <w:i w:val="0"/>
        </w:rPr>
        <w:t>GROW is not a generic promise of ongoing consulting. It is a defined implementation or improvement engagement.</w:t>
      </w:r>
    </w:p>
    <w:tbl>
      <w:tblPr>
        <w:tblStyle w:val="TableGrid"/>
        <w:tblW w:type="auto" w:w="0"/>
        <w:jc w:val="center"/>
        <w:tblLook w:firstColumn="1" w:firstRow="1" w:lastColumn="0" w:lastRow="0" w:noHBand="0" w:noVBand="1" w:val="04A0"/>
      </w:tblPr>
      <w:tblGrid>
        <w:gridCol w:w="4997"/>
        <w:gridCol w:w="4997"/>
      </w:tblGrid>
      <w:tr>
        <w:tc>
          <w:tcPr>
            <w:tcW w:type="dxa" w:w="4997"/>
            <w:shd w:fill="12233F"/>
            <w:tcMar>
              <w:top w:w="100" w:type="dxa"/>
              <w:start w:w="120" w:type="dxa"/>
              <w:bottom w:w="100" w:type="dxa"/>
              <w:end w:w="120" w:type="dxa"/>
            </w:tcMar>
          </w:tcPr>
          <w:p>
            <w:r>
              <w:rPr>
                <w:b/>
                <w:color w:val="FFFFFF"/>
                <w:sz w:val="16"/>
              </w:rPr>
              <w:t>Possible mandate</w:t>
            </w:r>
          </w:p>
        </w:tc>
        <w:tc>
          <w:tcPr>
            <w:tcW w:type="dxa" w:w="4997"/>
            <w:shd w:fill="12233F"/>
            <w:tcMar>
              <w:top w:w="100" w:type="dxa"/>
              <w:start w:w="120" w:type="dxa"/>
              <w:bottom w:w="100" w:type="dxa"/>
              <w:end w:w="120" w:type="dxa"/>
            </w:tcMar>
          </w:tcPr>
          <w:p>
            <w:r>
              <w:rPr>
                <w:b/>
                <w:color w:val="FFFFFF"/>
                <w:sz w:val="16"/>
              </w:rPr>
              <w:t>Examples</w:t>
            </w:r>
          </w:p>
        </w:tc>
      </w:tr>
      <w:tr>
        <w:tc>
          <w:tcPr>
            <w:tcW w:type="dxa" w:w="4997"/>
            <w:tcMar>
              <w:top w:w="100" w:type="dxa"/>
              <w:start w:w="120" w:type="dxa"/>
              <w:bottom w:w="100" w:type="dxa"/>
              <w:end w:w="120" w:type="dxa"/>
            </w:tcMar>
            <w:vAlign w:val="top"/>
          </w:tcPr>
          <w:p>
            <w:r>
              <w:rPr>
                <w:sz w:val="16"/>
              </w:rPr>
              <w:t>Stay and strengthen</w:t>
            </w:r>
          </w:p>
        </w:tc>
        <w:tc>
          <w:tcPr>
            <w:tcW w:type="dxa" w:w="4997"/>
            <w:tcMar>
              <w:top w:w="100" w:type="dxa"/>
              <w:start w:w="120" w:type="dxa"/>
              <w:bottom w:w="100" w:type="dxa"/>
              <w:end w:w="120" w:type="dxa"/>
            </w:tcMar>
            <w:vAlign w:val="top"/>
          </w:tcPr>
          <w:p>
            <w:r>
              <w:rPr>
                <w:sz w:val="16"/>
              </w:rPr>
              <w:t>Internal negotiation, team design, service model improvement, capacity plan</w:t>
            </w:r>
          </w:p>
        </w:tc>
      </w:tr>
      <w:tr>
        <w:tc>
          <w:tcPr>
            <w:tcW w:type="dxa" w:w="4997"/>
            <w:tcMar>
              <w:top w:w="100" w:type="dxa"/>
              <w:start w:w="120" w:type="dxa"/>
              <w:bottom w:w="100" w:type="dxa"/>
              <w:end w:w="120" w:type="dxa"/>
            </w:tcMar>
            <w:vAlign w:val="top"/>
          </w:tcPr>
          <w:p>
            <w:r>
              <w:rPr>
                <w:sz w:val="16"/>
              </w:rPr>
              <w:t>Transition implementation</w:t>
            </w:r>
          </w:p>
        </w:tc>
        <w:tc>
          <w:tcPr>
            <w:tcW w:type="dxa" w:w="4997"/>
            <w:tcMar>
              <w:top w:w="100" w:type="dxa"/>
              <w:start w:w="120" w:type="dxa"/>
              <w:bottom w:w="100" w:type="dxa"/>
              <w:end w:w="120" w:type="dxa"/>
            </w:tcMar>
            <w:vAlign w:val="top"/>
          </w:tcPr>
          <w:p>
            <w:r>
              <w:rPr>
                <w:sz w:val="16"/>
              </w:rPr>
              <w:t>Timeline, team coordination, client segmentation, readiness tracking</w:t>
            </w:r>
          </w:p>
        </w:tc>
      </w:tr>
      <w:tr>
        <w:tc>
          <w:tcPr>
            <w:tcW w:type="dxa" w:w="4997"/>
            <w:tcMar>
              <w:top w:w="100" w:type="dxa"/>
              <w:start w:w="120" w:type="dxa"/>
              <w:bottom w:w="100" w:type="dxa"/>
              <w:end w:w="120" w:type="dxa"/>
            </w:tcMar>
            <w:vAlign w:val="top"/>
          </w:tcPr>
          <w:p>
            <w:r>
              <w:rPr>
                <w:sz w:val="16"/>
              </w:rPr>
              <w:t>Succession</w:t>
            </w:r>
          </w:p>
        </w:tc>
        <w:tc>
          <w:tcPr>
            <w:tcW w:type="dxa" w:w="4997"/>
            <w:tcMar>
              <w:top w:w="100" w:type="dxa"/>
              <w:start w:w="120" w:type="dxa"/>
              <w:bottom w:w="100" w:type="dxa"/>
              <w:end w:w="120" w:type="dxa"/>
            </w:tcMar>
            <w:vAlign w:val="top"/>
          </w:tcPr>
          <w:p>
            <w:r>
              <w:rPr>
                <w:sz w:val="16"/>
              </w:rPr>
              <w:t>Role design, ownership path, successor development, decision milestones</w:t>
            </w:r>
          </w:p>
        </w:tc>
      </w:tr>
      <w:tr>
        <w:tc>
          <w:tcPr>
            <w:tcW w:type="dxa" w:w="4997"/>
            <w:tcMar>
              <w:top w:w="100" w:type="dxa"/>
              <w:start w:w="120" w:type="dxa"/>
              <w:bottom w:w="100" w:type="dxa"/>
              <w:end w:w="120" w:type="dxa"/>
            </w:tcMar>
            <w:vAlign w:val="top"/>
          </w:tcPr>
          <w:p>
            <w:r>
              <w:rPr>
                <w:sz w:val="16"/>
              </w:rPr>
              <w:t>Acquisition / merger preparation</w:t>
            </w:r>
          </w:p>
        </w:tc>
        <w:tc>
          <w:tcPr>
            <w:tcW w:type="dxa" w:w="4997"/>
            <w:tcMar>
              <w:top w:w="100" w:type="dxa"/>
              <w:start w:w="120" w:type="dxa"/>
              <w:bottom w:w="100" w:type="dxa"/>
              <w:end w:w="120" w:type="dxa"/>
            </w:tcMar>
            <w:vAlign w:val="top"/>
          </w:tcPr>
          <w:p>
            <w:r>
              <w:rPr>
                <w:sz w:val="16"/>
              </w:rPr>
              <w:t>Readiness, integration assumptions, governance and scorecards</w:t>
            </w:r>
          </w:p>
        </w:tc>
      </w:tr>
      <w:tr>
        <w:tc>
          <w:tcPr>
            <w:tcW w:type="dxa" w:w="4997"/>
            <w:tcMar>
              <w:top w:w="100" w:type="dxa"/>
              <w:start w:w="120" w:type="dxa"/>
              <w:bottom w:w="100" w:type="dxa"/>
              <w:end w:w="120" w:type="dxa"/>
            </w:tcMar>
            <w:vAlign w:val="top"/>
          </w:tcPr>
          <w:p>
            <w:r>
              <w:rPr>
                <w:sz w:val="16"/>
              </w:rPr>
              <w:t>Post-decision review</w:t>
            </w:r>
          </w:p>
        </w:tc>
        <w:tc>
          <w:tcPr>
            <w:tcW w:type="dxa" w:w="4997"/>
            <w:tcMar>
              <w:top w:w="100" w:type="dxa"/>
              <w:start w:w="120" w:type="dxa"/>
              <w:bottom w:w="100" w:type="dxa"/>
              <w:end w:w="120" w:type="dxa"/>
            </w:tcMar>
            <w:vAlign w:val="top"/>
          </w:tcPr>
          <w:p>
            <w:r>
              <w:rPr>
                <w:sz w:val="16"/>
              </w:rPr>
              <w:t>90-day, six-month and annual evaluation of expected versus actual outcomes</w:t>
            </w:r>
          </w:p>
        </w:tc>
      </w:tr>
    </w:tbl>
    <w:p/>
    <w:p>
      <w:pPr>
        <w:pStyle w:val="BodyText"/>
        <w:spacing w:after="120" w:line="259" w:lineRule="auto"/>
      </w:pPr>
      <w:r>
        <w:rPr>
          <w:b w:val="0"/>
          <w:i w:val="0"/>
        </w:rPr>
        <w:t>Every GROW engagement requires a written objective, scope, exclusions, owner, timeline, deliverables, price and completion condition.</w:t>
      </w:r>
    </w:p>
    <w:p>
      <w:pPr>
        <w:pStyle w:val="Heading1"/>
        <w:pBdr>
          <w:bottom w:val="single" w:sz="10" w:space="6" w:color="B48A35"/>
        </w:pBdr>
      </w:pPr>
      <w:r>
        <w:t>9. Meeting System</w:t>
      </w:r>
    </w:p>
    <w:p>
      <w:pPr>
        <w:pStyle w:val="BodyText"/>
        <w:spacing w:after="120" w:line="259" w:lineRule="auto"/>
      </w:pPr>
      <w:r>
        <w:rPr>
          <w:b w:val="0"/>
          <w:i w:val="0"/>
        </w:rPr>
        <w:t>Every VYNE meeting should have a designed beginning, middle and end.</w:t>
      </w:r>
    </w:p>
    <w:tbl>
      <w:tblPr>
        <w:tblStyle w:val="TableGrid"/>
        <w:tblW w:type="auto" w:w="0"/>
        <w:jc w:val="center"/>
        <w:tblLook w:firstColumn="1" w:firstRow="1" w:lastColumn="0" w:lastRow="0" w:noHBand="0" w:noVBand="1" w:val="04A0"/>
      </w:tblPr>
      <w:tblGrid>
        <w:gridCol w:w="4997"/>
        <w:gridCol w:w="4997"/>
      </w:tblGrid>
      <w:tr>
        <w:tc>
          <w:tcPr>
            <w:tcW w:type="dxa" w:w="4997"/>
            <w:shd w:fill="12233F"/>
            <w:tcMar>
              <w:top w:w="100" w:type="dxa"/>
              <w:start w:w="120" w:type="dxa"/>
              <w:bottom w:w="100" w:type="dxa"/>
              <w:end w:w="120" w:type="dxa"/>
            </w:tcMar>
          </w:tcPr>
          <w:p>
            <w:r>
              <w:rPr>
                <w:b/>
                <w:color w:val="FFFFFF"/>
                <w:sz w:val="16"/>
              </w:rPr>
              <w:t>Meeting element</w:t>
            </w:r>
          </w:p>
        </w:tc>
        <w:tc>
          <w:tcPr>
            <w:tcW w:type="dxa" w:w="4997"/>
            <w:shd w:fill="12233F"/>
            <w:tcMar>
              <w:top w:w="100" w:type="dxa"/>
              <w:start w:w="120" w:type="dxa"/>
              <w:bottom w:w="100" w:type="dxa"/>
              <w:end w:w="120" w:type="dxa"/>
            </w:tcMar>
          </w:tcPr>
          <w:p>
            <w:r>
              <w:rPr>
                <w:b/>
                <w:color w:val="FFFFFF"/>
                <w:sz w:val="16"/>
              </w:rPr>
              <w:t>Required standard</w:t>
            </w:r>
          </w:p>
        </w:tc>
      </w:tr>
      <w:tr>
        <w:tc>
          <w:tcPr>
            <w:tcW w:type="dxa" w:w="4997"/>
            <w:tcMar>
              <w:top w:w="100" w:type="dxa"/>
              <w:start w:w="120" w:type="dxa"/>
              <w:bottom w:w="100" w:type="dxa"/>
              <w:end w:w="120" w:type="dxa"/>
            </w:tcMar>
            <w:vAlign w:val="top"/>
          </w:tcPr>
          <w:p>
            <w:r>
              <w:rPr>
                <w:sz w:val="16"/>
              </w:rPr>
              <w:t>Purpose</w:t>
            </w:r>
          </w:p>
        </w:tc>
        <w:tc>
          <w:tcPr>
            <w:tcW w:type="dxa" w:w="4997"/>
            <w:tcMar>
              <w:top w:w="100" w:type="dxa"/>
              <w:start w:w="120" w:type="dxa"/>
              <w:bottom w:w="100" w:type="dxa"/>
              <w:end w:w="120" w:type="dxa"/>
            </w:tcMar>
            <w:vAlign w:val="top"/>
          </w:tcPr>
          <w:p>
            <w:r>
              <w:rPr>
                <w:sz w:val="16"/>
              </w:rPr>
              <w:t>State what decision or understanding the meeting should advance.</w:t>
            </w:r>
          </w:p>
        </w:tc>
      </w:tr>
      <w:tr>
        <w:tc>
          <w:tcPr>
            <w:tcW w:type="dxa" w:w="4997"/>
            <w:tcMar>
              <w:top w:w="100" w:type="dxa"/>
              <w:start w:w="120" w:type="dxa"/>
              <w:bottom w:w="100" w:type="dxa"/>
              <w:end w:w="120" w:type="dxa"/>
            </w:tcMar>
            <w:vAlign w:val="top"/>
          </w:tcPr>
          <w:p>
            <w:r>
              <w:rPr>
                <w:sz w:val="16"/>
              </w:rPr>
              <w:t>Advisor State</w:t>
            </w:r>
          </w:p>
        </w:tc>
        <w:tc>
          <w:tcPr>
            <w:tcW w:type="dxa" w:w="4997"/>
            <w:tcMar>
              <w:top w:w="100" w:type="dxa"/>
              <w:start w:w="120" w:type="dxa"/>
              <w:bottom w:w="100" w:type="dxa"/>
              <w:end w:w="120" w:type="dxa"/>
            </w:tcMar>
            <w:vAlign w:val="top"/>
          </w:tcPr>
          <w:p>
            <w:r>
              <w:rPr>
                <w:sz w:val="16"/>
              </w:rPr>
              <w:t>Record readiness, trust, clarity, emotional load and stakeholder alignment.</w:t>
            </w:r>
          </w:p>
        </w:tc>
      </w:tr>
      <w:tr>
        <w:tc>
          <w:tcPr>
            <w:tcW w:type="dxa" w:w="4997"/>
            <w:tcMar>
              <w:top w:w="100" w:type="dxa"/>
              <w:start w:w="120" w:type="dxa"/>
              <w:bottom w:w="100" w:type="dxa"/>
              <w:end w:w="120" w:type="dxa"/>
            </w:tcMar>
            <w:vAlign w:val="top"/>
          </w:tcPr>
          <w:p>
            <w:r>
              <w:rPr>
                <w:sz w:val="16"/>
              </w:rPr>
              <w:t>Permission</w:t>
            </w:r>
          </w:p>
        </w:tc>
        <w:tc>
          <w:tcPr>
            <w:tcW w:type="dxa" w:w="4997"/>
            <w:tcMar>
              <w:top w:w="100" w:type="dxa"/>
              <w:start w:w="120" w:type="dxa"/>
              <w:bottom w:w="100" w:type="dxa"/>
              <w:end w:w="120" w:type="dxa"/>
            </w:tcMar>
            <w:vAlign w:val="top"/>
          </w:tcPr>
          <w:p>
            <w:r>
              <w:rPr>
                <w:sz w:val="16"/>
              </w:rPr>
              <w:t>Confirm what VYNE may discuss, document, model or share.</w:t>
            </w:r>
          </w:p>
        </w:tc>
      </w:tr>
      <w:tr>
        <w:tc>
          <w:tcPr>
            <w:tcW w:type="dxa" w:w="4997"/>
            <w:tcMar>
              <w:top w:w="100" w:type="dxa"/>
              <w:start w:w="120" w:type="dxa"/>
              <w:bottom w:w="100" w:type="dxa"/>
              <w:end w:w="120" w:type="dxa"/>
            </w:tcMar>
            <w:vAlign w:val="top"/>
          </w:tcPr>
          <w:p>
            <w:r>
              <w:rPr>
                <w:sz w:val="16"/>
              </w:rPr>
              <w:t>Evidence</w:t>
            </w:r>
          </w:p>
        </w:tc>
        <w:tc>
          <w:tcPr>
            <w:tcW w:type="dxa" w:w="4997"/>
            <w:tcMar>
              <w:top w:w="100" w:type="dxa"/>
              <w:start w:w="120" w:type="dxa"/>
              <w:bottom w:w="100" w:type="dxa"/>
              <w:end w:w="120" w:type="dxa"/>
            </w:tcMar>
            <w:vAlign w:val="top"/>
          </w:tcPr>
          <w:p>
            <w:r>
              <w:rPr>
                <w:sz w:val="16"/>
              </w:rPr>
              <w:t>Identify facts, assumptions, unknowns and documents required.</w:t>
            </w:r>
          </w:p>
        </w:tc>
      </w:tr>
      <w:tr>
        <w:tc>
          <w:tcPr>
            <w:tcW w:type="dxa" w:w="4997"/>
            <w:tcMar>
              <w:top w:w="100" w:type="dxa"/>
              <w:start w:w="120" w:type="dxa"/>
              <w:bottom w:w="100" w:type="dxa"/>
              <w:end w:w="120" w:type="dxa"/>
            </w:tcMar>
            <w:vAlign w:val="top"/>
          </w:tcPr>
          <w:p>
            <w:r>
              <w:rPr>
                <w:sz w:val="16"/>
              </w:rPr>
              <w:t>Conversation</w:t>
            </w:r>
          </w:p>
        </w:tc>
        <w:tc>
          <w:tcPr>
            <w:tcW w:type="dxa" w:w="4997"/>
            <w:tcMar>
              <w:top w:w="100" w:type="dxa"/>
              <w:start w:w="120" w:type="dxa"/>
              <w:bottom w:w="100" w:type="dxa"/>
              <w:end w:w="120" w:type="dxa"/>
            </w:tcMar>
            <w:vAlign w:val="top"/>
          </w:tcPr>
          <w:p>
            <w:r>
              <w:rPr>
                <w:sz w:val="16"/>
              </w:rPr>
              <w:t>Use the Framework and VYNE's 9 without turning the meeting into an interrogation.</w:t>
            </w:r>
          </w:p>
        </w:tc>
      </w:tr>
      <w:tr>
        <w:tc>
          <w:tcPr>
            <w:tcW w:type="dxa" w:w="4997"/>
            <w:tcMar>
              <w:top w:w="100" w:type="dxa"/>
              <w:start w:w="120" w:type="dxa"/>
              <w:bottom w:w="100" w:type="dxa"/>
              <w:end w:w="120" w:type="dxa"/>
            </w:tcMar>
            <w:vAlign w:val="top"/>
          </w:tcPr>
          <w:p>
            <w:r>
              <w:rPr>
                <w:sz w:val="16"/>
              </w:rPr>
              <w:t>Reflection</w:t>
            </w:r>
          </w:p>
        </w:tc>
        <w:tc>
          <w:tcPr>
            <w:tcW w:type="dxa" w:w="4997"/>
            <w:tcMar>
              <w:top w:w="100" w:type="dxa"/>
              <w:start w:w="120" w:type="dxa"/>
              <w:bottom w:w="100" w:type="dxa"/>
              <w:end w:w="120" w:type="dxa"/>
            </w:tcMar>
            <w:vAlign w:val="top"/>
          </w:tcPr>
          <w:p>
            <w:r>
              <w:rPr>
                <w:sz w:val="16"/>
              </w:rPr>
              <w:t>Summarize what VYNE heard and invite correction.</w:t>
            </w:r>
          </w:p>
        </w:tc>
      </w:tr>
      <w:tr>
        <w:tc>
          <w:tcPr>
            <w:tcW w:type="dxa" w:w="4997"/>
            <w:tcMar>
              <w:top w:w="100" w:type="dxa"/>
              <w:start w:w="120" w:type="dxa"/>
              <w:bottom w:w="100" w:type="dxa"/>
              <w:end w:w="120" w:type="dxa"/>
            </w:tcMar>
            <w:vAlign w:val="top"/>
          </w:tcPr>
          <w:p>
            <w:r>
              <w:rPr>
                <w:sz w:val="16"/>
              </w:rPr>
              <w:t>Decision gate</w:t>
            </w:r>
          </w:p>
        </w:tc>
        <w:tc>
          <w:tcPr>
            <w:tcW w:type="dxa" w:w="4997"/>
            <w:tcMar>
              <w:top w:w="100" w:type="dxa"/>
              <w:start w:w="120" w:type="dxa"/>
              <w:bottom w:w="100" w:type="dxa"/>
              <w:end w:w="120" w:type="dxa"/>
            </w:tcMar>
            <w:vAlign w:val="top"/>
          </w:tcPr>
          <w:p>
            <w:r>
              <w:rPr>
                <w:sz w:val="16"/>
              </w:rPr>
              <w:t>State what is complete and what must be true before advancement.</w:t>
            </w:r>
          </w:p>
        </w:tc>
      </w:tr>
      <w:tr>
        <w:tc>
          <w:tcPr>
            <w:tcW w:type="dxa" w:w="4997"/>
            <w:tcMar>
              <w:top w:w="100" w:type="dxa"/>
              <w:start w:w="120" w:type="dxa"/>
              <w:bottom w:w="100" w:type="dxa"/>
              <w:end w:w="120" w:type="dxa"/>
            </w:tcMar>
            <w:vAlign w:val="top"/>
          </w:tcPr>
          <w:p>
            <w:r>
              <w:rPr>
                <w:sz w:val="16"/>
              </w:rPr>
              <w:t>Next step</w:t>
            </w:r>
          </w:p>
        </w:tc>
        <w:tc>
          <w:tcPr>
            <w:tcW w:type="dxa" w:w="4997"/>
            <w:tcMar>
              <w:top w:w="100" w:type="dxa"/>
              <w:start w:w="120" w:type="dxa"/>
              <w:bottom w:w="100" w:type="dxa"/>
              <w:end w:w="120" w:type="dxa"/>
            </w:tcMar>
            <w:vAlign w:val="top"/>
          </w:tcPr>
          <w:p>
            <w:r>
              <w:rPr>
                <w:sz w:val="16"/>
              </w:rPr>
              <w:t>Assign owner, date and explicit authorization.</w:t>
            </w:r>
          </w:p>
        </w:tc>
      </w:tr>
    </w:tbl>
    <w:p/>
    <w:p>
      <w:pPr>
        <w:pStyle w:val="Heading1"/>
        <w:pBdr>
          <w:bottom w:val="single" w:sz="10" w:space="6" w:color="B48A35"/>
        </w:pBdr>
      </w:pPr>
      <w:r>
        <w:t>10. Standard Meeting Playbooks</w:t>
      </w:r>
    </w:p>
    <w:p>
      <w:pPr>
        <w:pStyle w:val="Heading2"/>
      </w:pPr>
      <w:r>
        <w:t>Orientation Conversation</w:t>
      </w:r>
    </w:p>
    <w:p>
      <w:pPr>
        <w:pStyle w:val="BodyText"/>
        <w:spacing w:after="120" w:line="259" w:lineRule="auto"/>
      </w:pPr>
      <w:r>
        <w:rPr>
          <w:b w:val="0"/>
          <w:i/>
        </w:rPr>
        <w:t>Typical advisor state: Advisor is often curious, guarded and skeptical of recruiters.</w:t>
      </w:r>
    </w:p>
    <w:p>
      <w:pPr>
        <w:pStyle w:val="Heading3"/>
      </w:pPr>
      <w:r>
        <w:t>Required</w:t>
      </w:r>
    </w:p>
    <w:p>
      <w:pPr>
        <w:pStyle w:val="ListBullet"/>
        <w:spacing w:after="60"/>
      </w:pPr>
      <w:r>
        <w:t>Establish confidentiality and VYNE's role</w:t>
      </w:r>
    </w:p>
    <w:p>
      <w:pPr>
        <w:pStyle w:val="ListBullet"/>
        <w:spacing w:after="60"/>
      </w:pPr>
      <w:r>
        <w:t>Clarify the decision or tension</w:t>
      </w:r>
    </w:p>
    <w:p>
      <w:pPr>
        <w:pStyle w:val="ListBullet"/>
        <w:spacing w:after="60"/>
      </w:pPr>
      <w:r>
        <w:t>Understand why now</w:t>
      </w:r>
    </w:p>
    <w:p>
      <w:pPr>
        <w:pStyle w:val="ListBullet"/>
        <w:spacing w:after="60"/>
      </w:pPr>
      <w:r>
        <w:t>Explain how compensation and conflicts are handled</w:t>
      </w:r>
    </w:p>
    <w:p>
      <w:pPr>
        <w:pStyle w:val="ListBullet"/>
        <w:spacing w:after="60"/>
      </w:pPr>
      <w:r>
        <w:t>Agree whether a deeper process is warranted</w:t>
      </w:r>
    </w:p>
    <w:p>
      <w:pPr>
        <w:pStyle w:val="Heading3"/>
      </w:pPr>
      <w:r>
        <w:t>Avoid</w:t>
      </w:r>
    </w:p>
    <w:p>
      <w:pPr>
        <w:pStyle w:val="ListBullet"/>
        <w:spacing w:after="60"/>
      </w:pPr>
      <w:r>
        <w:t>Pitch firms</w:t>
      </w:r>
    </w:p>
    <w:p>
      <w:pPr>
        <w:pStyle w:val="ListBullet"/>
        <w:spacing w:after="60"/>
      </w:pPr>
      <w:r>
        <w:t>Overstate independence</w:t>
      </w:r>
    </w:p>
    <w:p>
      <w:pPr>
        <w:pStyle w:val="ListBullet"/>
        <w:spacing w:after="60"/>
      </w:pPr>
      <w:r>
        <w:t>Ask for sensitive information before trust is earned</w:t>
      </w:r>
    </w:p>
    <w:p>
      <w:pPr>
        <w:pStyle w:val="ListBullet"/>
        <w:spacing w:after="60"/>
      </w:pPr>
      <w:r>
        <w:t>Create urgency</w:t>
      </w:r>
    </w:p>
    <w:p>
      <w:pPr>
        <w:pStyle w:val="Heading2"/>
      </w:pPr>
      <w:r>
        <w:t>Current Reality Session</w:t>
      </w:r>
    </w:p>
    <w:p>
      <w:pPr>
        <w:pStyle w:val="BodyText"/>
        <w:spacing w:after="120" w:line="259" w:lineRule="auto"/>
      </w:pPr>
      <w:r>
        <w:rPr>
          <w:b w:val="0"/>
          <w:i/>
        </w:rPr>
        <w:t>Typical advisor state: Advisor may feel relieved to talk but can over-focus on frustrations.</w:t>
      </w:r>
    </w:p>
    <w:p>
      <w:pPr>
        <w:pStyle w:val="Heading3"/>
      </w:pPr>
      <w:r>
        <w:t>Required</w:t>
      </w:r>
    </w:p>
    <w:p>
      <w:pPr>
        <w:pStyle w:val="ListBullet"/>
        <w:spacing w:after="60"/>
      </w:pPr>
      <w:r>
        <w:t>Document business facts and stakeholder context</w:t>
      </w:r>
    </w:p>
    <w:p>
      <w:pPr>
        <w:pStyle w:val="ListBullet"/>
        <w:spacing w:after="60"/>
      </w:pPr>
      <w:r>
        <w:t>Identify strengths that must be protected</w:t>
      </w:r>
    </w:p>
    <w:p>
      <w:pPr>
        <w:pStyle w:val="ListBullet"/>
        <w:spacing w:after="60"/>
      </w:pPr>
      <w:r>
        <w:t>Separate persistent friction from temporary issues</w:t>
      </w:r>
    </w:p>
    <w:p>
      <w:pPr>
        <w:pStyle w:val="ListBullet"/>
        <w:spacing w:after="60"/>
      </w:pPr>
      <w:r>
        <w:t>Classify evidence and unknowns</w:t>
      </w:r>
    </w:p>
    <w:p>
      <w:pPr>
        <w:pStyle w:val="Heading3"/>
      </w:pPr>
      <w:r>
        <w:t>Avoid</w:t>
      </w:r>
    </w:p>
    <w:p>
      <w:pPr>
        <w:pStyle w:val="ListBullet"/>
        <w:spacing w:after="60"/>
      </w:pPr>
      <w:r>
        <w:t>Let the meeting become a complaint session</w:t>
      </w:r>
    </w:p>
    <w:p>
      <w:pPr>
        <w:pStyle w:val="ListBullet"/>
        <w:spacing w:after="60"/>
      </w:pPr>
      <w:r>
        <w:t>Assume dissatisfaction means move</w:t>
      </w:r>
    </w:p>
    <w:p>
      <w:pPr>
        <w:pStyle w:val="ListBullet"/>
        <w:spacing w:after="60"/>
      </w:pPr>
      <w:r>
        <w:t>Ignore economics or team realities</w:t>
      </w:r>
    </w:p>
    <w:p>
      <w:pPr>
        <w:pStyle w:val="Heading2"/>
      </w:pPr>
      <w:r>
        <w:t>Future-State Session</w:t>
      </w:r>
    </w:p>
    <w:p>
      <w:pPr>
        <w:pStyle w:val="BodyText"/>
        <w:spacing w:after="120" w:line="259" w:lineRule="auto"/>
      </w:pPr>
      <w:r>
        <w:rPr>
          <w:b w:val="0"/>
          <w:i/>
        </w:rPr>
        <w:t>Typical advisor state: Advisor may be excited by possibilities but vague about priorities.</w:t>
      </w:r>
    </w:p>
    <w:p>
      <w:pPr>
        <w:pStyle w:val="Heading3"/>
      </w:pPr>
      <w:r>
        <w:t>Required</w:t>
      </w:r>
    </w:p>
    <w:p>
      <w:pPr>
        <w:pStyle w:val="ListBullet"/>
        <w:spacing w:after="60"/>
      </w:pPr>
      <w:r>
        <w:t>Define client, business, control, economics, team, life and legacy outcomes</w:t>
      </w:r>
    </w:p>
    <w:p>
      <w:pPr>
        <w:pStyle w:val="ListBullet"/>
        <w:spacing w:after="60"/>
      </w:pPr>
      <w:r>
        <w:t>Rank top priorities</w:t>
      </w:r>
    </w:p>
    <w:p>
      <w:pPr>
        <w:pStyle w:val="ListBullet"/>
        <w:spacing w:after="60"/>
      </w:pPr>
      <w:r>
        <w:t>Identify non-negotiables</w:t>
      </w:r>
    </w:p>
    <w:p>
      <w:pPr>
        <w:pStyle w:val="ListBullet"/>
        <w:spacing w:after="60"/>
      </w:pPr>
      <w:r>
        <w:t>Set time horizon</w:t>
      </w:r>
    </w:p>
    <w:p>
      <w:pPr>
        <w:pStyle w:val="Heading3"/>
      </w:pPr>
      <w:r>
        <w:t>Avoid</w:t>
      </w:r>
    </w:p>
    <w:p>
      <w:pPr>
        <w:pStyle w:val="ListBullet"/>
        <w:spacing w:after="60"/>
      </w:pPr>
      <w:r>
        <w:t>Accept every preference as equally important</w:t>
      </w:r>
    </w:p>
    <w:p>
      <w:pPr>
        <w:pStyle w:val="ListBullet"/>
        <w:spacing w:after="60"/>
      </w:pPr>
      <w:r>
        <w:t>Begin matching firms too early</w:t>
      </w:r>
    </w:p>
    <w:p>
      <w:pPr>
        <w:pStyle w:val="ListBullet"/>
        <w:spacing w:after="60"/>
      </w:pPr>
      <w:r>
        <w:t>Reduce the future to payout</w:t>
      </w:r>
    </w:p>
    <w:p>
      <w:pPr>
        <w:pStyle w:val="Heading2"/>
      </w:pPr>
      <w:r>
        <w:t>Constraint and Diligence Session</w:t>
      </w:r>
    </w:p>
    <w:p>
      <w:pPr>
        <w:pStyle w:val="BodyText"/>
        <w:spacing w:after="120" w:line="259" w:lineRule="auto"/>
      </w:pPr>
      <w:r>
        <w:rPr>
          <w:b w:val="0"/>
          <w:i/>
        </w:rPr>
        <w:t>Typical advisor state: Advisor may become overwhelmed as complexity becomes visible.</w:t>
      </w:r>
    </w:p>
    <w:p>
      <w:pPr>
        <w:pStyle w:val="Heading3"/>
      </w:pPr>
      <w:r>
        <w:t>Required</w:t>
      </w:r>
    </w:p>
    <w:p>
      <w:pPr>
        <w:pStyle w:val="ListBullet"/>
        <w:spacing w:after="60"/>
      </w:pPr>
      <w:r>
        <w:t>Rank constraints</w:t>
      </w:r>
    </w:p>
    <w:p>
      <w:pPr>
        <w:pStyle w:val="ListBullet"/>
        <w:spacing w:after="60"/>
      </w:pPr>
      <w:r>
        <w:t>Identify decision-changing unknowns</w:t>
      </w:r>
    </w:p>
    <w:p>
      <w:pPr>
        <w:pStyle w:val="ListBullet"/>
        <w:spacing w:after="60"/>
      </w:pPr>
      <w:r>
        <w:t>Assign evidence requirements</w:t>
      </w:r>
    </w:p>
    <w:p>
      <w:pPr>
        <w:pStyle w:val="ListBullet"/>
        <w:spacing w:after="60"/>
      </w:pPr>
      <w:r>
        <w:t>Separate fixed, negotiable and uncertain conditions</w:t>
      </w:r>
    </w:p>
    <w:p>
      <w:pPr>
        <w:pStyle w:val="Heading3"/>
      </w:pPr>
      <w:r>
        <w:t>Avoid</w:t>
      </w:r>
    </w:p>
    <w:p>
      <w:pPr>
        <w:pStyle w:val="ListBullet"/>
        <w:spacing w:after="60"/>
      </w:pPr>
      <w:r>
        <w:t>Present every risk at once without prioritization</w:t>
      </w:r>
    </w:p>
    <w:p>
      <w:pPr>
        <w:pStyle w:val="ListBullet"/>
        <w:spacing w:after="60"/>
      </w:pPr>
      <w:r>
        <w:t>Treat emotion as irrational</w:t>
      </w:r>
    </w:p>
    <w:p>
      <w:pPr>
        <w:pStyle w:val="ListBullet"/>
        <w:spacing w:after="60"/>
      </w:pPr>
      <w:r>
        <w:t>Provide legal conclusions outside scope</w:t>
      </w:r>
    </w:p>
    <w:p>
      <w:pPr>
        <w:pStyle w:val="Heading2"/>
      </w:pPr>
      <w:r>
        <w:t>Alternative Comparison</w:t>
      </w:r>
    </w:p>
    <w:p>
      <w:pPr>
        <w:pStyle w:val="BodyText"/>
        <w:spacing w:after="120" w:line="259" w:lineRule="auto"/>
      </w:pPr>
      <w:r>
        <w:rPr>
          <w:b w:val="0"/>
          <w:i/>
        </w:rPr>
        <w:t>Typical advisor state: Advisor may be influenced by a favorite option or largest offer.</w:t>
      </w:r>
    </w:p>
    <w:p>
      <w:pPr>
        <w:pStyle w:val="Heading3"/>
      </w:pPr>
      <w:r>
        <w:t>Required</w:t>
      </w:r>
    </w:p>
    <w:p>
      <w:pPr>
        <w:pStyle w:val="ListBullet"/>
        <w:spacing w:after="60"/>
      </w:pPr>
      <w:r>
        <w:t>Compare consistent paths</w:t>
      </w:r>
    </w:p>
    <w:p>
      <w:pPr>
        <w:pStyle w:val="ListBullet"/>
        <w:spacing w:after="60"/>
      </w:pPr>
      <w:r>
        <w:t>Show assumptions and sensitivities</w:t>
      </w:r>
    </w:p>
    <w:p>
      <w:pPr>
        <w:pStyle w:val="ListBullet"/>
        <w:spacing w:after="60"/>
      </w:pPr>
      <w:r>
        <w:t>Present strongest case for stay and change</w:t>
      </w:r>
    </w:p>
    <w:p>
      <w:pPr>
        <w:pStyle w:val="ListBullet"/>
        <w:spacing w:after="60"/>
      </w:pPr>
      <w:r>
        <w:t>Identify unresolved conditions</w:t>
      </w:r>
    </w:p>
    <w:p>
      <w:pPr>
        <w:pStyle w:val="Heading3"/>
      </w:pPr>
      <w:r>
        <w:t>Avoid</w:t>
      </w:r>
    </w:p>
    <w:p>
      <w:pPr>
        <w:pStyle w:val="ListBullet"/>
        <w:spacing w:after="60"/>
      </w:pPr>
      <w:r>
        <w:t>Use a black-box score</w:t>
      </w:r>
    </w:p>
    <w:p>
      <w:pPr>
        <w:pStyle w:val="ListBullet"/>
        <w:spacing w:after="60"/>
      </w:pPr>
      <w:r>
        <w:t>Let one metric dominate</w:t>
      </w:r>
    </w:p>
    <w:p>
      <w:pPr>
        <w:pStyle w:val="ListBullet"/>
        <w:spacing w:after="60"/>
      </w:pPr>
      <w:r>
        <w:t>Hide unfavorable trade-offs</w:t>
      </w:r>
    </w:p>
    <w:p>
      <w:pPr>
        <w:pStyle w:val="Heading2"/>
      </w:pPr>
      <w:r>
        <w:t>Decision Meeting</w:t>
      </w:r>
    </w:p>
    <w:p>
      <w:pPr>
        <w:pStyle w:val="BodyText"/>
        <w:spacing w:after="120" w:line="259" w:lineRule="auto"/>
      </w:pPr>
      <w:r>
        <w:rPr>
          <w:b w:val="0"/>
          <w:i/>
        </w:rPr>
        <w:t>Typical advisor state: Advisor may be excited, fearful and concerned about clients or team.</w:t>
      </w:r>
    </w:p>
    <w:p>
      <w:pPr>
        <w:pStyle w:val="Heading3"/>
      </w:pPr>
      <w:r>
        <w:t>Required</w:t>
      </w:r>
    </w:p>
    <w:p>
      <w:pPr>
        <w:pStyle w:val="ListBullet"/>
        <w:spacing w:after="60"/>
      </w:pPr>
      <w:r>
        <w:t>Restate mandate and evidence</w:t>
      </w:r>
    </w:p>
    <w:p>
      <w:pPr>
        <w:pStyle w:val="ListBullet"/>
        <w:spacing w:after="60"/>
      </w:pPr>
      <w:r>
        <w:t>Present recommendation and challenge case</w:t>
      </w:r>
    </w:p>
    <w:p>
      <w:pPr>
        <w:pStyle w:val="ListBullet"/>
        <w:spacing w:after="60"/>
      </w:pPr>
      <w:r>
        <w:t>Confirm accepted trade-offs</w:t>
      </w:r>
    </w:p>
    <w:p>
      <w:pPr>
        <w:pStyle w:val="ListBullet"/>
        <w:spacing w:after="60"/>
      </w:pPr>
      <w:r>
        <w:t>Document conditions and ownership</w:t>
      </w:r>
    </w:p>
    <w:p>
      <w:pPr>
        <w:pStyle w:val="ListBullet"/>
        <w:spacing w:after="60"/>
      </w:pPr>
      <w:r>
        <w:t>Authorize or decline next actions</w:t>
      </w:r>
    </w:p>
    <w:p>
      <w:pPr>
        <w:pStyle w:val="Heading3"/>
      </w:pPr>
      <w:r>
        <w:t>Avoid</w:t>
      </w:r>
    </w:p>
    <w:p>
      <w:pPr>
        <w:pStyle w:val="ListBullet"/>
        <w:spacing w:after="60"/>
      </w:pPr>
      <w:r>
        <w:t>Pressure for immediate commitment</w:t>
      </w:r>
    </w:p>
    <w:p>
      <w:pPr>
        <w:pStyle w:val="ListBullet"/>
        <w:spacing w:after="60"/>
      </w:pPr>
      <w:r>
        <w:t>Treat uncertainty as weakness</w:t>
      </w:r>
    </w:p>
    <w:p>
      <w:pPr>
        <w:pStyle w:val="ListBullet"/>
        <w:spacing w:after="60"/>
      </w:pPr>
      <w:r>
        <w:t>Confuse VYNE's conclusion with the advisor's decision</w:t>
      </w:r>
    </w:p>
    <w:p>
      <w:pPr>
        <w:pStyle w:val="Heading1"/>
        <w:pBdr>
          <w:bottom w:val="single" w:sz="10" w:space="6" w:color="B48A35"/>
        </w:pBdr>
      </w:pPr>
      <w:r>
        <w:t>11. Advisor Deliverables</w:t>
      </w:r>
    </w:p>
    <w:p>
      <w:pPr>
        <w:pStyle w:val="BodyText"/>
        <w:spacing w:after="120" w:line="259" w:lineRule="auto"/>
      </w:pPr>
      <w:r>
        <w:rPr>
          <w:b w:val="0"/>
          <w:i w:val="0"/>
        </w:rPr>
        <w:t>Advisor-facing deliverables are published artifacts, not raw CRM records.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233F"/>
            <w:tcMar>
              <w:top w:w="100" w:type="dxa"/>
              <w:start w:w="120" w:type="dxa"/>
              <w:bottom w:w="100" w:type="dxa"/>
              <w:end w:w="120" w:type="dxa"/>
            </w:tcMar>
          </w:tcPr>
          <w:p>
            <w:r>
              <w:rPr>
                <w:b/>
                <w:color w:val="FFFFFF"/>
                <w:sz w:val="15"/>
              </w:rPr>
              <w:t>Deliverable</w:t>
            </w:r>
          </w:p>
        </w:tc>
        <w:tc>
          <w:tcPr>
            <w:tcW w:type="dxa" w:w="3331"/>
            <w:shd w:fill="12233F"/>
            <w:tcMar>
              <w:top w:w="100" w:type="dxa"/>
              <w:start w:w="120" w:type="dxa"/>
              <w:bottom w:w="100" w:type="dxa"/>
              <w:end w:w="120" w:type="dxa"/>
            </w:tcMar>
          </w:tcPr>
          <w:p>
            <w:r>
              <w:rPr>
                <w:b/>
                <w:color w:val="FFFFFF"/>
                <w:sz w:val="15"/>
              </w:rPr>
              <w:t>Advisor-visible purpose</w:t>
            </w:r>
          </w:p>
        </w:tc>
        <w:tc>
          <w:tcPr>
            <w:tcW w:type="dxa" w:w="3331"/>
            <w:shd w:fill="12233F"/>
            <w:tcMar>
              <w:top w:w="100" w:type="dxa"/>
              <w:start w:w="120" w:type="dxa"/>
              <w:bottom w:w="100" w:type="dxa"/>
              <w:end w:w="120" w:type="dxa"/>
            </w:tcMar>
          </w:tcPr>
          <w:p>
            <w:r>
              <w:rPr>
                <w:b/>
                <w:color w:val="FFFFFF"/>
                <w:sz w:val="15"/>
              </w:rPr>
              <w:t>Internal source</w:t>
            </w:r>
          </w:p>
        </w:tc>
      </w:tr>
      <w:tr>
        <w:tc>
          <w:tcPr>
            <w:tcW w:type="dxa" w:w="3331"/>
            <w:tcMar>
              <w:top w:w="100" w:type="dxa"/>
              <w:start w:w="120" w:type="dxa"/>
              <w:bottom w:w="100" w:type="dxa"/>
              <w:end w:w="120" w:type="dxa"/>
            </w:tcMar>
            <w:vAlign w:val="top"/>
          </w:tcPr>
          <w:p>
            <w:r>
              <w:rPr>
                <w:sz w:val="15"/>
              </w:rPr>
              <w:t>Current Reality Record</w:t>
            </w:r>
          </w:p>
        </w:tc>
        <w:tc>
          <w:tcPr>
            <w:tcW w:type="dxa" w:w="3331"/>
            <w:tcMar>
              <w:top w:w="100" w:type="dxa"/>
              <w:start w:w="120" w:type="dxa"/>
              <w:bottom w:w="100" w:type="dxa"/>
              <w:end w:w="120" w:type="dxa"/>
            </w:tcMar>
            <w:vAlign w:val="top"/>
          </w:tcPr>
          <w:p>
            <w:r>
              <w:rPr>
                <w:sz w:val="15"/>
              </w:rPr>
              <w:t>Confirm VYNE understands the present business and what must be protected.</w:t>
            </w:r>
          </w:p>
        </w:tc>
        <w:tc>
          <w:tcPr>
            <w:tcW w:type="dxa" w:w="3331"/>
            <w:tcMar>
              <w:top w:w="100" w:type="dxa"/>
              <w:start w:w="120" w:type="dxa"/>
              <w:bottom w:w="100" w:type="dxa"/>
              <w:end w:w="120" w:type="dxa"/>
            </w:tcMar>
            <w:vAlign w:val="top"/>
          </w:tcPr>
          <w:p>
            <w:r>
              <w:rPr>
                <w:sz w:val="15"/>
              </w:rPr>
              <w:t>Approved fields and consultant synthesis from VYNE OS.</w:t>
            </w:r>
          </w:p>
        </w:tc>
      </w:tr>
      <w:tr>
        <w:tc>
          <w:tcPr>
            <w:tcW w:type="dxa" w:w="3331"/>
            <w:tcMar>
              <w:top w:w="100" w:type="dxa"/>
              <w:start w:w="120" w:type="dxa"/>
              <w:bottom w:w="100" w:type="dxa"/>
              <w:end w:w="120" w:type="dxa"/>
            </w:tcMar>
            <w:vAlign w:val="top"/>
          </w:tcPr>
          <w:p>
            <w:r>
              <w:rPr>
                <w:sz w:val="15"/>
              </w:rPr>
              <w:t>Future-State Mandate</w:t>
            </w:r>
          </w:p>
        </w:tc>
        <w:tc>
          <w:tcPr>
            <w:tcW w:type="dxa" w:w="3331"/>
            <w:tcMar>
              <w:top w:w="100" w:type="dxa"/>
              <w:start w:w="120" w:type="dxa"/>
              <w:bottom w:w="100" w:type="dxa"/>
              <w:end w:w="120" w:type="dxa"/>
            </w:tcMar>
            <w:vAlign w:val="top"/>
          </w:tcPr>
          <w:p>
            <w:r>
              <w:rPr>
                <w:sz w:val="15"/>
              </w:rPr>
              <w:t>Establish the standard against which options are judged.</w:t>
            </w:r>
          </w:p>
        </w:tc>
        <w:tc>
          <w:tcPr>
            <w:tcW w:type="dxa" w:w="3331"/>
            <w:tcMar>
              <w:top w:w="100" w:type="dxa"/>
              <w:start w:w="120" w:type="dxa"/>
              <w:bottom w:w="100" w:type="dxa"/>
              <w:end w:w="120" w:type="dxa"/>
            </w:tcMar>
            <w:vAlign w:val="top"/>
          </w:tcPr>
          <w:p>
            <w:r>
              <w:rPr>
                <w:sz w:val="15"/>
              </w:rPr>
              <w:t>ROOT meeting outputs.</w:t>
            </w:r>
          </w:p>
        </w:tc>
      </w:tr>
      <w:tr>
        <w:tc>
          <w:tcPr>
            <w:tcW w:type="dxa" w:w="3331"/>
            <w:tcMar>
              <w:top w:w="100" w:type="dxa"/>
              <w:start w:w="120" w:type="dxa"/>
              <w:bottom w:w="100" w:type="dxa"/>
              <w:end w:w="120" w:type="dxa"/>
            </w:tcMar>
            <w:vAlign w:val="top"/>
          </w:tcPr>
          <w:p>
            <w:r>
              <w:rPr>
                <w:sz w:val="15"/>
              </w:rPr>
              <w:t>VYNE's 9 Profile</w:t>
            </w:r>
          </w:p>
        </w:tc>
        <w:tc>
          <w:tcPr>
            <w:tcW w:type="dxa" w:w="3331"/>
            <w:tcMar>
              <w:top w:w="100" w:type="dxa"/>
              <w:start w:w="120" w:type="dxa"/>
              <w:bottom w:w="100" w:type="dxa"/>
              <w:end w:w="120" w:type="dxa"/>
            </w:tcMar>
            <w:vAlign w:val="top"/>
          </w:tcPr>
          <w:p>
            <w:r>
              <w:rPr>
                <w:sz w:val="15"/>
              </w:rPr>
              <w:t>Show material strengths, tensions, unknowns and questions.</w:t>
            </w:r>
          </w:p>
        </w:tc>
        <w:tc>
          <w:tcPr>
            <w:tcW w:type="dxa" w:w="3331"/>
            <w:tcMar>
              <w:top w:w="100" w:type="dxa"/>
              <w:start w:w="120" w:type="dxa"/>
              <w:bottom w:w="100" w:type="dxa"/>
              <w:end w:w="120" w:type="dxa"/>
            </w:tcMar>
            <w:vAlign w:val="top"/>
          </w:tcPr>
          <w:p>
            <w:r>
              <w:rPr>
                <w:sz w:val="15"/>
              </w:rPr>
              <w:t>Methodology record; no hidden consultant notes.</w:t>
            </w:r>
          </w:p>
        </w:tc>
      </w:tr>
      <w:tr>
        <w:tc>
          <w:tcPr>
            <w:tcW w:type="dxa" w:w="3331"/>
            <w:tcMar>
              <w:top w:w="100" w:type="dxa"/>
              <w:start w:w="120" w:type="dxa"/>
              <w:bottom w:w="100" w:type="dxa"/>
              <w:end w:w="120" w:type="dxa"/>
            </w:tcMar>
            <w:vAlign w:val="top"/>
          </w:tcPr>
          <w:p>
            <w:r>
              <w:rPr>
                <w:sz w:val="15"/>
              </w:rPr>
              <w:t>Constraint Map</w:t>
            </w:r>
          </w:p>
        </w:tc>
        <w:tc>
          <w:tcPr>
            <w:tcW w:type="dxa" w:w="3331"/>
            <w:tcMar>
              <w:top w:w="100" w:type="dxa"/>
              <w:start w:w="120" w:type="dxa"/>
              <w:bottom w:w="100" w:type="dxa"/>
              <w:end w:w="120" w:type="dxa"/>
            </w:tcMar>
            <w:vAlign w:val="top"/>
          </w:tcPr>
          <w:p>
            <w:r>
              <w:rPr>
                <w:sz w:val="15"/>
              </w:rPr>
              <w:t>Explain what could prevent a successful outcome and how each issue is being treated.</w:t>
            </w:r>
          </w:p>
        </w:tc>
        <w:tc>
          <w:tcPr>
            <w:tcW w:type="dxa" w:w="3331"/>
            <w:tcMar>
              <w:top w:w="100" w:type="dxa"/>
              <w:start w:w="120" w:type="dxa"/>
              <w:bottom w:w="100" w:type="dxa"/>
              <w:end w:w="120" w:type="dxa"/>
            </w:tcMar>
            <w:vAlign w:val="top"/>
          </w:tcPr>
          <w:p>
            <w:r>
              <w:rPr>
                <w:sz w:val="15"/>
              </w:rPr>
              <w:t>Approved constraints and diligence status.</w:t>
            </w:r>
          </w:p>
        </w:tc>
      </w:tr>
      <w:tr>
        <w:tc>
          <w:tcPr>
            <w:tcW w:type="dxa" w:w="3331"/>
            <w:tcMar>
              <w:top w:w="100" w:type="dxa"/>
              <w:start w:w="120" w:type="dxa"/>
              <w:bottom w:w="100" w:type="dxa"/>
              <w:end w:w="120" w:type="dxa"/>
            </w:tcMar>
            <w:vAlign w:val="top"/>
          </w:tcPr>
          <w:p>
            <w:r>
              <w:rPr>
                <w:sz w:val="15"/>
              </w:rPr>
              <w:t>Alternative Comparison</w:t>
            </w:r>
          </w:p>
        </w:tc>
        <w:tc>
          <w:tcPr>
            <w:tcW w:type="dxa" w:w="3331"/>
            <w:tcMar>
              <w:top w:w="100" w:type="dxa"/>
              <w:start w:w="120" w:type="dxa"/>
              <w:bottom w:w="100" w:type="dxa"/>
              <w:end w:w="120" w:type="dxa"/>
            </w:tcMar>
            <w:vAlign w:val="top"/>
          </w:tcPr>
          <w:p>
            <w:r>
              <w:rPr>
                <w:sz w:val="15"/>
              </w:rPr>
              <w:t>Compare stay, strengthen, prepare and change paths consistently.</w:t>
            </w:r>
          </w:p>
        </w:tc>
        <w:tc>
          <w:tcPr>
            <w:tcW w:type="dxa" w:w="3331"/>
            <w:tcMar>
              <w:top w:w="100" w:type="dxa"/>
              <w:start w:w="120" w:type="dxa"/>
              <w:bottom w:w="100" w:type="dxa"/>
              <w:end w:w="120" w:type="dxa"/>
            </w:tcMar>
            <w:vAlign w:val="top"/>
          </w:tcPr>
          <w:p>
            <w:r>
              <w:rPr>
                <w:sz w:val="15"/>
              </w:rPr>
              <w:t>Modeling engine and approved research.</w:t>
            </w:r>
          </w:p>
        </w:tc>
      </w:tr>
      <w:tr>
        <w:tc>
          <w:tcPr>
            <w:tcW w:type="dxa" w:w="3331"/>
            <w:tcMar>
              <w:top w:w="100" w:type="dxa"/>
              <w:start w:w="120" w:type="dxa"/>
              <w:bottom w:w="100" w:type="dxa"/>
              <w:end w:w="120" w:type="dxa"/>
            </w:tcMar>
            <w:vAlign w:val="top"/>
          </w:tcPr>
          <w:p>
            <w:r>
              <w:rPr>
                <w:sz w:val="15"/>
              </w:rPr>
              <w:t>Economic Model</w:t>
            </w:r>
          </w:p>
        </w:tc>
        <w:tc>
          <w:tcPr>
            <w:tcW w:type="dxa" w:w="3331"/>
            <w:tcMar>
              <w:top w:w="100" w:type="dxa"/>
              <w:start w:w="120" w:type="dxa"/>
              <w:bottom w:w="100" w:type="dxa"/>
              <w:end w:w="120" w:type="dxa"/>
            </w:tcMar>
            <w:vAlign w:val="top"/>
          </w:tcPr>
          <w:p>
            <w:r>
              <w:rPr>
                <w:sz w:val="15"/>
              </w:rPr>
              <w:t>Show cash flow, taxable recognition, income, ownership and wealth assumptions.</w:t>
            </w:r>
          </w:p>
        </w:tc>
        <w:tc>
          <w:tcPr>
            <w:tcW w:type="dxa" w:w="3331"/>
            <w:tcMar>
              <w:top w:w="100" w:type="dxa"/>
              <w:start w:w="120" w:type="dxa"/>
              <w:bottom w:w="100" w:type="dxa"/>
              <w:end w:w="120" w:type="dxa"/>
            </w:tcMar>
            <w:vAlign w:val="top"/>
          </w:tcPr>
          <w:p>
            <w:r>
              <w:rPr>
                <w:sz w:val="15"/>
              </w:rPr>
              <w:t>Separate modeling workspace; advisor-safe version only.</w:t>
            </w:r>
          </w:p>
        </w:tc>
      </w:tr>
      <w:tr>
        <w:tc>
          <w:tcPr>
            <w:tcW w:type="dxa" w:w="3331"/>
            <w:tcMar>
              <w:top w:w="100" w:type="dxa"/>
              <w:start w:w="120" w:type="dxa"/>
              <w:bottom w:w="100" w:type="dxa"/>
              <w:end w:w="120" w:type="dxa"/>
            </w:tcMar>
            <w:vAlign w:val="top"/>
          </w:tcPr>
          <w:p>
            <w:r>
              <w:rPr>
                <w:sz w:val="15"/>
              </w:rPr>
              <w:t>Decision Record</w:t>
            </w:r>
          </w:p>
        </w:tc>
        <w:tc>
          <w:tcPr>
            <w:tcW w:type="dxa" w:w="3331"/>
            <w:tcMar>
              <w:top w:w="100" w:type="dxa"/>
              <w:start w:w="120" w:type="dxa"/>
              <w:bottom w:w="100" w:type="dxa"/>
              <w:end w:w="120" w:type="dxa"/>
            </w:tcMar>
            <w:vAlign w:val="top"/>
          </w:tcPr>
          <w:p>
            <w:r>
              <w:rPr>
                <w:sz w:val="15"/>
              </w:rPr>
              <w:t>Document conclusion, evidence, trade-offs, conditions and ownership.</w:t>
            </w:r>
          </w:p>
        </w:tc>
        <w:tc>
          <w:tcPr>
            <w:tcW w:type="dxa" w:w="3331"/>
            <w:tcMar>
              <w:top w:w="100" w:type="dxa"/>
              <w:start w:w="120" w:type="dxa"/>
              <w:bottom w:w="100" w:type="dxa"/>
              <w:end w:w="120" w:type="dxa"/>
            </w:tcMar>
            <w:vAlign w:val="top"/>
          </w:tcPr>
          <w:p>
            <w:r>
              <w:rPr>
                <w:sz w:val="15"/>
              </w:rPr>
              <w:t>Published decision record.</w:t>
            </w:r>
          </w:p>
        </w:tc>
      </w:tr>
      <w:tr>
        <w:tc>
          <w:tcPr>
            <w:tcW w:type="dxa" w:w="3331"/>
            <w:tcMar>
              <w:top w:w="100" w:type="dxa"/>
              <w:start w:w="120" w:type="dxa"/>
              <w:bottom w:w="100" w:type="dxa"/>
              <w:end w:w="120" w:type="dxa"/>
            </w:tcMar>
            <w:vAlign w:val="top"/>
          </w:tcPr>
          <w:p>
            <w:r>
              <w:rPr>
                <w:sz w:val="15"/>
              </w:rPr>
              <w:t>Action Path</w:t>
            </w:r>
          </w:p>
        </w:tc>
        <w:tc>
          <w:tcPr>
            <w:tcW w:type="dxa" w:w="3331"/>
            <w:tcMar>
              <w:top w:w="100" w:type="dxa"/>
              <w:start w:w="120" w:type="dxa"/>
              <w:bottom w:w="100" w:type="dxa"/>
              <w:end w:w="120" w:type="dxa"/>
            </w:tcMar>
            <w:vAlign w:val="top"/>
          </w:tcPr>
          <w:p>
            <w:r>
              <w:rPr>
                <w:sz w:val="15"/>
              </w:rPr>
              <w:t>Show next steps, owners, dates and permissions.</w:t>
            </w:r>
          </w:p>
        </w:tc>
        <w:tc>
          <w:tcPr>
            <w:tcW w:type="dxa" w:w="3331"/>
            <w:tcMar>
              <w:top w:w="100" w:type="dxa"/>
              <w:start w:w="120" w:type="dxa"/>
              <w:bottom w:w="100" w:type="dxa"/>
              <w:end w:w="120" w:type="dxa"/>
            </w:tcMar>
            <w:vAlign w:val="top"/>
          </w:tcPr>
          <w:p>
            <w:r>
              <w:rPr>
                <w:sz w:val="15"/>
              </w:rPr>
              <w:t>Approved task plan.</w:t>
            </w:r>
          </w:p>
        </w:tc>
      </w:tr>
    </w:tbl>
    <w:p/>
    <w:p>
      <w:pPr>
        <w:pStyle w:val="Heading1"/>
        <w:pBdr>
          <w:bottom w:val="single" w:sz="10" w:space="6" w:color="B48A35"/>
        </w:pBdr>
      </w:pPr>
      <w:r>
        <w:t>12. VYNE OS and Advisor Studio</w:t>
      </w:r>
    </w:p>
    <w:tbl>
      <w:tblPr>
        <w:tblW w:type="auto" w:w="0"/>
        <w:jc w:val="center"/>
        <w:tblLook w:firstColumn="1" w:firstRow="1" w:lastColumn="0" w:lastRow="0" w:noHBand="0" w:noVBand="1" w:val="04A0"/>
      </w:tblPr>
      <w:tblGrid>
        <w:gridCol w:w="9994"/>
      </w:tblGrid>
      <w:tr>
        <w:tc>
          <w:tcPr>
            <w:tcW w:type="dxa" w:w="9994"/>
            <w:shd w:fill="F7F4ED"/>
            <w:tcMar>
              <w:top w:w="140" w:type="dxa"/>
              <w:start w:w="170" w:type="dxa"/>
              <w:bottom w:w="140" w:type="dxa"/>
              <w:end w:w="170" w:type="dxa"/>
            </w:tcMar>
          </w:tcPr>
          <w:p>
            <w:r/>
            <w:r>
              <w:rPr>
                <w:b/>
                <w:color w:val="B48A35"/>
                <w:sz w:val="17"/>
              </w:rPr>
              <w:t>SYSTEM DISTINCTION</w:t>
            </w:r>
          </w:p>
          <w:p>
            <w:pPr>
              <w:spacing w:after="0"/>
            </w:pPr>
            <w:r>
              <w:rPr>
                <w:b/>
                <w:color w:val="12233F"/>
                <w:sz w:val="22"/>
              </w:rPr>
              <w:t>VYNE OS records everything VYNE needs to operate. Advisor Studio displays only what the advisor needs to understand and act.</w:t>
            </w:r>
          </w:p>
        </w:tc>
      </w:tr>
    </w:tbl>
    <w:p>
      <w:pPr>
        <w:spacing w:after="20"/>
      </w:pP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233F"/>
            <w:tcMar>
              <w:top w:w="100" w:type="dxa"/>
              <w:start w:w="120" w:type="dxa"/>
              <w:bottom w:w="100" w:type="dxa"/>
              <w:end w:w="120" w:type="dxa"/>
            </w:tcMar>
          </w:tcPr>
          <w:p>
            <w:r>
              <w:rPr>
                <w:b/>
                <w:color w:val="FFFFFF"/>
                <w:sz w:val="15"/>
              </w:rPr>
              <w:t>Capability</w:t>
            </w:r>
          </w:p>
        </w:tc>
        <w:tc>
          <w:tcPr>
            <w:tcW w:type="dxa" w:w="3331"/>
            <w:shd w:fill="12233F"/>
            <w:tcMar>
              <w:top w:w="100" w:type="dxa"/>
              <w:start w:w="120" w:type="dxa"/>
              <w:bottom w:w="100" w:type="dxa"/>
              <w:end w:w="120" w:type="dxa"/>
            </w:tcMar>
          </w:tcPr>
          <w:p>
            <w:r>
              <w:rPr>
                <w:b/>
                <w:color w:val="FFFFFF"/>
                <w:sz w:val="15"/>
              </w:rPr>
              <w:t>VYNE OS — internal</w:t>
            </w:r>
          </w:p>
        </w:tc>
        <w:tc>
          <w:tcPr>
            <w:tcW w:type="dxa" w:w="3331"/>
            <w:shd w:fill="12233F"/>
            <w:tcMar>
              <w:top w:w="100" w:type="dxa"/>
              <w:start w:w="120" w:type="dxa"/>
              <w:bottom w:w="100" w:type="dxa"/>
              <w:end w:w="120" w:type="dxa"/>
            </w:tcMar>
          </w:tcPr>
          <w:p>
            <w:r>
              <w:rPr>
                <w:b/>
                <w:color w:val="FFFFFF"/>
                <w:sz w:val="15"/>
              </w:rPr>
              <w:t>Advisor Studio — external</w:t>
            </w:r>
          </w:p>
        </w:tc>
      </w:tr>
      <w:tr>
        <w:tc>
          <w:tcPr>
            <w:tcW w:type="dxa" w:w="3331"/>
            <w:tcMar>
              <w:top w:w="100" w:type="dxa"/>
              <w:start w:w="120" w:type="dxa"/>
              <w:bottom w:w="100" w:type="dxa"/>
              <w:end w:w="120" w:type="dxa"/>
            </w:tcMar>
            <w:vAlign w:val="top"/>
          </w:tcPr>
          <w:p>
            <w:r>
              <w:rPr>
                <w:sz w:val="15"/>
              </w:rPr>
              <w:t>Profile</w:t>
            </w:r>
          </w:p>
        </w:tc>
        <w:tc>
          <w:tcPr>
            <w:tcW w:type="dxa" w:w="3331"/>
            <w:tcMar>
              <w:top w:w="100" w:type="dxa"/>
              <w:start w:w="120" w:type="dxa"/>
              <w:bottom w:w="100" w:type="dxa"/>
              <w:end w:w="120" w:type="dxa"/>
            </w:tcMar>
            <w:vAlign w:val="top"/>
          </w:tcPr>
          <w:p>
            <w:r>
              <w:rPr>
                <w:sz w:val="15"/>
              </w:rPr>
              <w:t>Full advisor, team, source, ownership and business record</w:t>
            </w:r>
          </w:p>
        </w:tc>
        <w:tc>
          <w:tcPr>
            <w:tcW w:type="dxa" w:w="3331"/>
            <w:tcMar>
              <w:top w:w="100" w:type="dxa"/>
              <w:start w:w="120" w:type="dxa"/>
              <w:bottom w:w="100" w:type="dxa"/>
              <w:end w:w="120" w:type="dxa"/>
            </w:tcMar>
            <w:vAlign w:val="top"/>
          </w:tcPr>
          <w:p>
            <w:r>
              <w:rPr>
                <w:sz w:val="15"/>
              </w:rPr>
              <w:t>Advisor-approved profile summary</w:t>
            </w:r>
          </w:p>
        </w:tc>
      </w:tr>
      <w:tr>
        <w:tc>
          <w:tcPr>
            <w:tcW w:type="dxa" w:w="3331"/>
            <w:tcMar>
              <w:top w:w="100" w:type="dxa"/>
              <w:start w:w="120" w:type="dxa"/>
              <w:bottom w:w="100" w:type="dxa"/>
              <w:end w:w="120" w:type="dxa"/>
            </w:tcMar>
            <w:vAlign w:val="top"/>
          </w:tcPr>
          <w:p>
            <w:r>
              <w:rPr>
                <w:sz w:val="15"/>
              </w:rPr>
              <w:t>Notes</w:t>
            </w:r>
          </w:p>
        </w:tc>
        <w:tc>
          <w:tcPr>
            <w:tcW w:type="dxa" w:w="3331"/>
            <w:tcMar>
              <w:top w:w="100" w:type="dxa"/>
              <w:start w:w="120" w:type="dxa"/>
              <w:bottom w:w="100" w:type="dxa"/>
              <w:end w:w="120" w:type="dxa"/>
            </w:tcMar>
            <w:vAlign w:val="top"/>
          </w:tcPr>
          <w:p>
            <w:r>
              <w:rPr>
                <w:sz w:val="15"/>
              </w:rPr>
              <w:t>Private consultant, recruiter and risk notes</w:t>
            </w:r>
          </w:p>
        </w:tc>
        <w:tc>
          <w:tcPr>
            <w:tcW w:type="dxa" w:w="3331"/>
            <w:tcMar>
              <w:top w:w="100" w:type="dxa"/>
              <w:start w:w="120" w:type="dxa"/>
              <w:bottom w:w="100" w:type="dxa"/>
              <w:end w:w="120" w:type="dxa"/>
            </w:tcMar>
            <w:vAlign w:val="top"/>
          </w:tcPr>
          <w:p>
            <w:r>
              <w:rPr>
                <w:sz w:val="15"/>
              </w:rPr>
              <w:t>Published meeting summaries only</w:t>
            </w:r>
          </w:p>
        </w:tc>
      </w:tr>
      <w:tr>
        <w:tc>
          <w:tcPr>
            <w:tcW w:type="dxa" w:w="3331"/>
            <w:tcMar>
              <w:top w:w="100" w:type="dxa"/>
              <w:start w:w="120" w:type="dxa"/>
              <w:bottom w:w="100" w:type="dxa"/>
              <w:end w:w="120" w:type="dxa"/>
            </w:tcMar>
            <w:vAlign w:val="top"/>
          </w:tcPr>
          <w:p>
            <w:r>
              <w:rPr>
                <w:sz w:val="15"/>
              </w:rPr>
              <w:t>Pipeline</w:t>
            </w:r>
          </w:p>
        </w:tc>
        <w:tc>
          <w:tcPr>
            <w:tcW w:type="dxa" w:w="3331"/>
            <w:tcMar>
              <w:top w:w="100" w:type="dxa"/>
              <w:start w:w="120" w:type="dxa"/>
              <w:bottom w:w="100" w:type="dxa"/>
              <w:end w:w="120" w:type="dxa"/>
            </w:tcMar>
            <w:vAlign w:val="top"/>
          </w:tcPr>
          <w:p>
            <w:r>
              <w:rPr>
                <w:sz w:val="15"/>
              </w:rPr>
              <w:t>Commercial stage, probability, ownership and firm activity</w:t>
            </w:r>
          </w:p>
        </w:tc>
        <w:tc>
          <w:tcPr>
            <w:tcW w:type="dxa" w:w="3331"/>
            <w:tcMar>
              <w:top w:w="100" w:type="dxa"/>
              <w:start w:w="120" w:type="dxa"/>
              <w:bottom w:w="100" w:type="dxa"/>
              <w:end w:w="120" w:type="dxa"/>
            </w:tcMar>
            <w:vAlign w:val="top"/>
          </w:tcPr>
          <w:p>
            <w:r>
              <w:rPr>
                <w:sz w:val="15"/>
              </w:rPr>
              <w:t>Decision journey and agreed milestones</w:t>
            </w:r>
          </w:p>
        </w:tc>
      </w:tr>
      <w:tr>
        <w:tc>
          <w:tcPr>
            <w:tcW w:type="dxa" w:w="3331"/>
            <w:tcMar>
              <w:top w:w="100" w:type="dxa"/>
              <w:start w:w="120" w:type="dxa"/>
              <w:bottom w:w="100" w:type="dxa"/>
              <w:end w:w="120" w:type="dxa"/>
            </w:tcMar>
            <w:vAlign w:val="top"/>
          </w:tcPr>
          <w:p>
            <w:r>
              <w:rPr>
                <w:sz w:val="15"/>
              </w:rPr>
              <w:t>Firms</w:t>
            </w:r>
          </w:p>
        </w:tc>
        <w:tc>
          <w:tcPr>
            <w:tcW w:type="dxa" w:w="3331"/>
            <w:tcMar>
              <w:top w:w="100" w:type="dxa"/>
              <w:start w:w="120" w:type="dxa"/>
              <w:bottom w:w="100" w:type="dxa"/>
              <w:end w:w="120" w:type="dxa"/>
            </w:tcMar>
            <w:vAlign w:val="top"/>
          </w:tcPr>
          <w:p>
            <w:r>
              <w:rPr>
                <w:sz w:val="15"/>
              </w:rPr>
              <w:t>Full database, relationships, contracts and fees</w:t>
            </w:r>
          </w:p>
        </w:tc>
        <w:tc>
          <w:tcPr>
            <w:tcW w:type="dxa" w:w="3331"/>
            <w:tcMar>
              <w:top w:w="100" w:type="dxa"/>
              <w:start w:w="120" w:type="dxa"/>
              <w:bottom w:w="100" w:type="dxa"/>
              <w:end w:w="120" w:type="dxa"/>
            </w:tcMar>
            <w:vAlign w:val="top"/>
          </w:tcPr>
          <w:p>
            <w:r>
              <w:rPr>
                <w:sz w:val="15"/>
              </w:rPr>
              <w:t>Only approved options and relevant comparison data</w:t>
            </w:r>
          </w:p>
        </w:tc>
      </w:tr>
      <w:tr>
        <w:tc>
          <w:tcPr>
            <w:tcW w:type="dxa" w:w="3331"/>
            <w:tcMar>
              <w:top w:w="100" w:type="dxa"/>
              <w:start w:w="120" w:type="dxa"/>
              <w:bottom w:w="100" w:type="dxa"/>
              <w:end w:w="120" w:type="dxa"/>
            </w:tcMar>
            <w:vAlign w:val="top"/>
          </w:tcPr>
          <w:p>
            <w:r>
              <w:rPr>
                <w:sz w:val="15"/>
              </w:rPr>
              <w:t>Economics</w:t>
            </w:r>
          </w:p>
        </w:tc>
        <w:tc>
          <w:tcPr>
            <w:tcW w:type="dxa" w:w="3331"/>
            <w:tcMar>
              <w:top w:w="100" w:type="dxa"/>
              <w:start w:w="120" w:type="dxa"/>
              <w:bottom w:w="100" w:type="dxa"/>
              <w:end w:w="120" w:type="dxa"/>
            </w:tcMar>
            <w:vAlign w:val="top"/>
          </w:tcPr>
          <w:p>
            <w:r>
              <w:rPr>
                <w:sz w:val="15"/>
              </w:rPr>
              <w:t>Firm fee, recruiter comp, collections, clawbacks</w:t>
            </w:r>
          </w:p>
        </w:tc>
        <w:tc>
          <w:tcPr>
            <w:tcW w:type="dxa" w:w="3331"/>
            <w:tcMar>
              <w:top w:w="100" w:type="dxa"/>
              <w:start w:w="120" w:type="dxa"/>
              <w:bottom w:w="100" w:type="dxa"/>
              <w:end w:w="120" w:type="dxa"/>
            </w:tcMar>
            <w:vAlign w:val="top"/>
          </w:tcPr>
          <w:p>
            <w:r>
              <w:rPr>
                <w:sz w:val="15"/>
              </w:rPr>
              <w:t>Advisor economics and disclosed VYNE conflicts where applicable</w:t>
            </w:r>
          </w:p>
        </w:tc>
      </w:tr>
      <w:tr>
        <w:tc>
          <w:tcPr>
            <w:tcW w:type="dxa" w:w="3331"/>
            <w:tcMar>
              <w:top w:w="100" w:type="dxa"/>
              <w:start w:w="120" w:type="dxa"/>
              <w:bottom w:w="100" w:type="dxa"/>
              <w:end w:w="120" w:type="dxa"/>
            </w:tcMar>
            <w:vAlign w:val="top"/>
          </w:tcPr>
          <w:p>
            <w:r>
              <w:rPr>
                <w:sz w:val="15"/>
              </w:rPr>
              <w:t>Models</w:t>
            </w:r>
          </w:p>
        </w:tc>
        <w:tc>
          <w:tcPr>
            <w:tcW w:type="dxa" w:w="3331"/>
            <w:tcMar>
              <w:top w:w="100" w:type="dxa"/>
              <w:start w:w="120" w:type="dxa"/>
              <w:bottom w:w="100" w:type="dxa"/>
              <w:end w:w="120" w:type="dxa"/>
            </w:tcMar>
            <w:vAlign w:val="top"/>
          </w:tcPr>
          <w:p>
            <w:r>
              <w:rPr>
                <w:sz w:val="15"/>
              </w:rPr>
              <w:t>Editable assumptions, internal cases, sensitivity testing</w:t>
            </w:r>
          </w:p>
        </w:tc>
        <w:tc>
          <w:tcPr>
            <w:tcW w:type="dxa" w:w="3331"/>
            <w:tcMar>
              <w:top w:w="100" w:type="dxa"/>
              <w:start w:w="120" w:type="dxa"/>
              <w:bottom w:w="100" w:type="dxa"/>
              <w:end w:w="120" w:type="dxa"/>
            </w:tcMar>
            <w:vAlign w:val="top"/>
          </w:tcPr>
          <w:p>
            <w:r>
              <w:rPr>
                <w:sz w:val="15"/>
              </w:rPr>
              <w:t>Approved scenarios with assumptions and explanations</w:t>
            </w:r>
          </w:p>
        </w:tc>
      </w:tr>
      <w:tr>
        <w:tc>
          <w:tcPr>
            <w:tcW w:type="dxa" w:w="3331"/>
            <w:tcMar>
              <w:top w:w="100" w:type="dxa"/>
              <w:start w:w="120" w:type="dxa"/>
              <w:bottom w:w="100" w:type="dxa"/>
              <w:end w:w="120" w:type="dxa"/>
            </w:tcMar>
            <w:vAlign w:val="top"/>
          </w:tcPr>
          <w:p>
            <w:r>
              <w:rPr>
                <w:sz w:val="15"/>
              </w:rPr>
              <w:t>Documents</w:t>
            </w:r>
          </w:p>
        </w:tc>
        <w:tc>
          <w:tcPr>
            <w:tcW w:type="dxa" w:w="3331"/>
            <w:tcMar>
              <w:top w:w="100" w:type="dxa"/>
              <w:start w:w="120" w:type="dxa"/>
              <w:bottom w:w="100" w:type="dxa"/>
              <w:end w:w="120" w:type="dxa"/>
            </w:tcMar>
            <w:vAlign w:val="top"/>
          </w:tcPr>
          <w:p>
            <w:r>
              <w:rPr>
                <w:sz w:val="15"/>
              </w:rPr>
              <w:t>All internal and received files, access-controlled</w:t>
            </w:r>
          </w:p>
        </w:tc>
        <w:tc>
          <w:tcPr>
            <w:tcW w:type="dxa" w:w="3331"/>
            <w:tcMar>
              <w:top w:w="100" w:type="dxa"/>
              <w:start w:w="120" w:type="dxa"/>
              <w:bottom w:w="100" w:type="dxa"/>
              <w:end w:w="120" w:type="dxa"/>
            </w:tcMar>
            <w:vAlign w:val="top"/>
          </w:tcPr>
          <w:p>
            <w:r>
              <w:rPr>
                <w:sz w:val="15"/>
              </w:rPr>
              <w:t>Published files and secure advisor uploads</w:t>
            </w:r>
          </w:p>
        </w:tc>
      </w:tr>
      <w:tr>
        <w:tc>
          <w:tcPr>
            <w:tcW w:type="dxa" w:w="3331"/>
            <w:tcMar>
              <w:top w:w="100" w:type="dxa"/>
              <w:start w:w="120" w:type="dxa"/>
              <w:bottom w:w="100" w:type="dxa"/>
              <w:end w:w="120" w:type="dxa"/>
            </w:tcMar>
            <w:vAlign w:val="top"/>
          </w:tcPr>
          <w:p>
            <w:r>
              <w:rPr>
                <w:sz w:val="15"/>
              </w:rPr>
              <w:t>Tasks</w:t>
            </w:r>
          </w:p>
        </w:tc>
        <w:tc>
          <w:tcPr>
            <w:tcW w:type="dxa" w:w="3331"/>
            <w:tcMar>
              <w:top w:w="100" w:type="dxa"/>
              <w:start w:w="120" w:type="dxa"/>
              <w:bottom w:w="100" w:type="dxa"/>
              <w:end w:w="120" w:type="dxa"/>
            </w:tcMar>
            <w:vAlign w:val="top"/>
          </w:tcPr>
          <w:p>
            <w:r>
              <w:rPr>
                <w:sz w:val="15"/>
              </w:rPr>
              <w:t>Internal tasks, reminders, recruiter activity</w:t>
            </w:r>
          </w:p>
        </w:tc>
        <w:tc>
          <w:tcPr>
            <w:tcW w:type="dxa" w:w="3331"/>
            <w:tcMar>
              <w:top w:w="100" w:type="dxa"/>
              <w:start w:w="120" w:type="dxa"/>
              <w:bottom w:w="100" w:type="dxa"/>
              <w:end w:w="120" w:type="dxa"/>
            </w:tcMar>
            <w:vAlign w:val="top"/>
          </w:tcPr>
          <w:p>
            <w:r>
              <w:rPr>
                <w:sz w:val="15"/>
              </w:rPr>
              <w:t>Advisor-owned or shared action items</w:t>
            </w:r>
          </w:p>
        </w:tc>
      </w:tr>
      <w:tr>
        <w:tc>
          <w:tcPr>
            <w:tcW w:type="dxa" w:w="3331"/>
            <w:tcMar>
              <w:top w:w="100" w:type="dxa"/>
              <w:start w:w="120" w:type="dxa"/>
              <w:bottom w:w="100" w:type="dxa"/>
              <w:end w:w="120" w:type="dxa"/>
            </w:tcMar>
            <w:vAlign w:val="top"/>
          </w:tcPr>
          <w:p>
            <w:r>
              <w:rPr>
                <w:sz w:val="15"/>
              </w:rPr>
              <w:t>AI</w:t>
            </w:r>
          </w:p>
        </w:tc>
        <w:tc>
          <w:tcPr>
            <w:tcW w:type="dxa" w:w="3331"/>
            <w:tcMar>
              <w:top w:w="100" w:type="dxa"/>
              <w:start w:w="120" w:type="dxa"/>
              <w:bottom w:w="100" w:type="dxa"/>
              <w:end w:w="120" w:type="dxa"/>
            </w:tcMar>
            <w:vAlign w:val="top"/>
          </w:tcPr>
          <w:p>
            <w:r>
              <w:rPr>
                <w:sz w:val="15"/>
              </w:rPr>
              <w:t>Research, drafting, note organization and QA</w:t>
            </w:r>
          </w:p>
        </w:tc>
        <w:tc>
          <w:tcPr>
            <w:tcW w:type="dxa" w:w="3331"/>
            <w:tcMar>
              <w:top w:w="100" w:type="dxa"/>
              <w:start w:w="120" w:type="dxa"/>
              <w:bottom w:w="100" w:type="dxa"/>
              <w:end w:w="120" w:type="dxa"/>
            </w:tcMar>
            <w:vAlign w:val="top"/>
          </w:tcPr>
          <w:p>
            <w:r>
              <w:rPr>
                <w:sz w:val="15"/>
              </w:rPr>
              <w:t>No autonomous recommendations; only approved outputs</w:t>
            </w:r>
          </w:p>
        </w:tc>
      </w:tr>
      <w:tr>
        <w:tc>
          <w:tcPr>
            <w:tcW w:type="dxa" w:w="3331"/>
            <w:tcMar>
              <w:top w:w="100" w:type="dxa"/>
              <w:start w:w="120" w:type="dxa"/>
              <w:bottom w:w="100" w:type="dxa"/>
              <w:end w:w="120" w:type="dxa"/>
            </w:tcMar>
            <w:vAlign w:val="top"/>
          </w:tcPr>
          <w:p>
            <w:r>
              <w:rPr>
                <w:sz w:val="15"/>
              </w:rPr>
              <w:t>Audit</w:t>
            </w:r>
          </w:p>
        </w:tc>
        <w:tc>
          <w:tcPr>
            <w:tcW w:type="dxa" w:w="3331"/>
            <w:tcMar>
              <w:top w:w="100" w:type="dxa"/>
              <w:start w:w="120" w:type="dxa"/>
              <w:bottom w:w="100" w:type="dxa"/>
              <w:end w:w="120" w:type="dxa"/>
            </w:tcMar>
            <w:vAlign w:val="top"/>
          </w:tcPr>
          <w:p>
            <w:r>
              <w:rPr>
                <w:sz w:val="15"/>
              </w:rPr>
              <w:t>Permissions, versions, source history and publication log</w:t>
            </w:r>
          </w:p>
        </w:tc>
        <w:tc>
          <w:tcPr>
            <w:tcW w:type="dxa" w:w="3331"/>
            <w:tcMar>
              <w:top w:w="100" w:type="dxa"/>
              <w:start w:w="120" w:type="dxa"/>
              <w:bottom w:w="100" w:type="dxa"/>
              <w:end w:w="120" w:type="dxa"/>
            </w:tcMar>
            <w:vAlign w:val="top"/>
          </w:tcPr>
          <w:p>
            <w:r>
              <w:rPr>
                <w:sz w:val="15"/>
              </w:rPr>
              <w:t>View of applicable consent and document versions</w:t>
            </w:r>
          </w:p>
        </w:tc>
      </w:tr>
    </w:tbl>
    <w:p/>
    <w:p>
      <w:pPr>
        <w:pStyle w:val="Heading1"/>
        <w:pBdr>
          <w:bottom w:val="single" w:sz="10" w:space="6" w:color="B48A35"/>
        </w:pBdr>
      </w:pPr>
      <w:r>
        <w:t>13. Controlled Publishing Layer</w:t>
      </w:r>
    </w:p>
    <w:p>
      <w:pPr>
        <w:pStyle w:val="BodyText"/>
        <w:spacing w:after="120" w:line="259" w:lineRule="auto"/>
      </w:pPr>
      <w:r>
        <w:rPr>
          <w:b w:val="0"/>
          <w:i w:val="0"/>
        </w:rPr>
        <w:t>The controlled publishing layer is the boundary between internal operation and the advisor experience.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233F"/>
            <w:tcMar>
              <w:top w:w="100" w:type="dxa"/>
              <w:start w:w="120" w:type="dxa"/>
              <w:bottom w:w="100" w:type="dxa"/>
              <w:end w:w="120" w:type="dxa"/>
            </w:tcMar>
          </w:tcPr>
          <w:p>
            <w:r>
              <w:rPr>
                <w:b/>
                <w:color w:val="FFFFFF"/>
                <w:sz w:val="16"/>
              </w:rPr>
              <w:t>Status</w:t>
            </w:r>
          </w:p>
        </w:tc>
        <w:tc>
          <w:tcPr>
            <w:tcW w:type="dxa" w:w="3331"/>
            <w:shd w:fill="12233F"/>
            <w:tcMar>
              <w:top w:w="100" w:type="dxa"/>
              <w:start w:w="120" w:type="dxa"/>
              <w:bottom w:w="100" w:type="dxa"/>
              <w:end w:w="120" w:type="dxa"/>
            </w:tcMar>
          </w:tcPr>
          <w:p>
            <w:r>
              <w:rPr>
                <w:b/>
                <w:color w:val="FFFFFF"/>
                <w:sz w:val="16"/>
              </w:rPr>
              <w:t>Meaning</w:t>
            </w:r>
          </w:p>
        </w:tc>
        <w:tc>
          <w:tcPr>
            <w:tcW w:type="dxa" w:w="3331"/>
            <w:shd w:fill="12233F"/>
            <w:tcMar>
              <w:top w:w="100" w:type="dxa"/>
              <w:start w:w="120" w:type="dxa"/>
              <w:bottom w:w="100" w:type="dxa"/>
              <w:end w:w="120" w:type="dxa"/>
            </w:tcMar>
          </w:tcPr>
          <w:p>
            <w:r>
              <w:rPr>
                <w:b/>
                <w:color w:val="FFFFFF"/>
                <w:sz w:val="16"/>
              </w:rPr>
              <w:t>Advisor visibility</w:t>
            </w:r>
          </w:p>
        </w:tc>
      </w:tr>
      <w:tr>
        <w:tc>
          <w:tcPr>
            <w:tcW w:type="dxa" w:w="3331"/>
            <w:tcMar>
              <w:top w:w="100" w:type="dxa"/>
              <w:start w:w="120" w:type="dxa"/>
              <w:bottom w:w="100" w:type="dxa"/>
              <w:end w:w="120" w:type="dxa"/>
            </w:tcMar>
            <w:vAlign w:val="top"/>
          </w:tcPr>
          <w:p>
            <w:r>
              <w:rPr>
                <w:sz w:val="16"/>
              </w:rPr>
              <w:t>DRAFT</w:t>
            </w:r>
          </w:p>
        </w:tc>
        <w:tc>
          <w:tcPr>
            <w:tcW w:type="dxa" w:w="3331"/>
            <w:tcMar>
              <w:top w:w="100" w:type="dxa"/>
              <w:start w:w="120" w:type="dxa"/>
              <w:bottom w:w="100" w:type="dxa"/>
              <w:end w:w="120" w:type="dxa"/>
            </w:tcMar>
            <w:vAlign w:val="top"/>
          </w:tcPr>
          <w:p>
            <w:r>
              <w:rPr>
                <w:sz w:val="16"/>
              </w:rPr>
              <w:t>Internal working content; may contain incomplete analysis or private notes.</w:t>
            </w:r>
          </w:p>
        </w:tc>
        <w:tc>
          <w:tcPr>
            <w:tcW w:type="dxa" w:w="3331"/>
            <w:tcMar>
              <w:top w:w="100" w:type="dxa"/>
              <w:start w:w="120" w:type="dxa"/>
              <w:bottom w:w="100" w:type="dxa"/>
              <w:end w:w="120" w:type="dxa"/>
            </w:tcMar>
            <w:vAlign w:val="top"/>
          </w:tcPr>
          <w:p>
            <w:r>
              <w:rPr>
                <w:sz w:val="16"/>
              </w:rPr>
              <w:t>Never visible.</w:t>
            </w:r>
          </w:p>
        </w:tc>
      </w:tr>
      <w:tr>
        <w:tc>
          <w:tcPr>
            <w:tcW w:type="dxa" w:w="3331"/>
            <w:tcMar>
              <w:top w:w="100" w:type="dxa"/>
              <w:start w:w="120" w:type="dxa"/>
              <w:bottom w:w="100" w:type="dxa"/>
              <w:end w:w="120" w:type="dxa"/>
            </w:tcMar>
            <w:vAlign w:val="top"/>
          </w:tcPr>
          <w:p>
            <w:r>
              <w:rPr>
                <w:sz w:val="16"/>
              </w:rPr>
              <w:t>REVIEWED</w:t>
            </w:r>
          </w:p>
        </w:tc>
        <w:tc>
          <w:tcPr>
            <w:tcW w:type="dxa" w:w="3331"/>
            <w:tcMar>
              <w:top w:w="100" w:type="dxa"/>
              <w:start w:w="120" w:type="dxa"/>
              <w:bottom w:w="100" w:type="dxa"/>
              <w:end w:w="120" w:type="dxa"/>
            </w:tcMar>
            <w:vAlign w:val="top"/>
          </w:tcPr>
          <w:p>
            <w:r>
              <w:rPr>
                <w:sz w:val="16"/>
              </w:rPr>
              <w:t>Consultant has checked content, evidence and assumptions.</w:t>
            </w:r>
          </w:p>
        </w:tc>
        <w:tc>
          <w:tcPr>
            <w:tcW w:type="dxa" w:w="3331"/>
            <w:tcMar>
              <w:top w:w="100" w:type="dxa"/>
              <w:start w:w="120" w:type="dxa"/>
              <w:bottom w:w="100" w:type="dxa"/>
              <w:end w:w="120" w:type="dxa"/>
            </w:tcMar>
            <w:vAlign w:val="top"/>
          </w:tcPr>
          <w:p>
            <w:r>
              <w:rPr>
                <w:sz w:val="16"/>
              </w:rPr>
              <w:t>Not visible until publication.</w:t>
            </w:r>
          </w:p>
        </w:tc>
      </w:tr>
      <w:tr>
        <w:tc>
          <w:tcPr>
            <w:tcW w:type="dxa" w:w="3331"/>
            <w:tcMar>
              <w:top w:w="100" w:type="dxa"/>
              <w:start w:w="120" w:type="dxa"/>
              <w:bottom w:w="100" w:type="dxa"/>
              <w:end w:w="120" w:type="dxa"/>
            </w:tcMar>
            <w:vAlign w:val="top"/>
          </w:tcPr>
          <w:p>
            <w:r>
              <w:rPr>
                <w:sz w:val="16"/>
              </w:rPr>
              <w:t>APPROVED</w:t>
            </w:r>
          </w:p>
        </w:tc>
        <w:tc>
          <w:tcPr>
            <w:tcW w:type="dxa" w:w="3331"/>
            <w:tcMar>
              <w:top w:w="100" w:type="dxa"/>
              <w:start w:w="120" w:type="dxa"/>
              <w:bottom w:w="100" w:type="dxa"/>
              <w:end w:w="120" w:type="dxa"/>
            </w:tcMar>
            <w:vAlign w:val="top"/>
          </w:tcPr>
          <w:p>
            <w:r>
              <w:rPr>
                <w:sz w:val="16"/>
              </w:rPr>
              <w:t>Authorized for a specific advisor and purpose.</w:t>
            </w:r>
          </w:p>
        </w:tc>
        <w:tc>
          <w:tcPr>
            <w:tcW w:type="dxa" w:w="3331"/>
            <w:tcMar>
              <w:top w:w="100" w:type="dxa"/>
              <w:start w:w="120" w:type="dxa"/>
              <w:bottom w:w="100" w:type="dxa"/>
              <w:end w:w="120" w:type="dxa"/>
            </w:tcMar>
            <w:vAlign w:val="top"/>
          </w:tcPr>
          <w:p>
            <w:r>
              <w:rPr>
                <w:sz w:val="16"/>
              </w:rPr>
              <w:t>Eligible to publish.</w:t>
            </w:r>
          </w:p>
        </w:tc>
      </w:tr>
      <w:tr>
        <w:tc>
          <w:tcPr>
            <w:tcW w:type="dxa" w:w="3331"/>
            <w:tcMar>
              <w:top w:w="100" w:type="dxa"/>
              <w:start w:w="120" w:type="dxa"/>
              <w:bottom w:w="100" w:type="dxa"/>
              <w:end w:w="120" w:type="dxa"/>
            </w:tcMar>
            <w:vAlign w:val="top"/>
          </w:tcPr>
          <w:p>
            <w:r>
              <w:rPr>
                <w:sz w:val="16"/>
              </w:rPr>
              <w:t>PUBLISHED</w:t>
            </w:r>
          </w:p>
        </w:tc>
        <w:tc>
          <w:tcPr>
            <w:tcW w:type="dxa" w:w="3331"/>
            <w:tcMar>
              <w:top w:w="100" w:type="dxa"/>
              <w:start w:w="120" w:type="dxa"/>
              <w:bottom w:w="100" w:type="dxa"/>
              <w:end w:w="120" w:type="dxa"/>
            </w:tcMar>
            <w:vAlign w:val="top"/>
          </w:tcPr>
          <w:p>
            <w:r>
              <w:rPr>
                <w:sz w:val="16"/>
              </w:rPr>
              <w:t>Visible in Advisor Studio with version and date.</w:t>
            </w:r>
          </w:p>
        </w:tc>
        <w:tc>
          <w:tcPr>
            <w:tcW w:type="dxa" w:w="3331"/>
            <w:tcMar>
              <w:top w:w="100" w:type="dxa"/>
              <w:start w:w="120" w:type="dxa"/>
              <w:bottom w:w="100" w:type="dxa"/>
              <w:end w:w="120" w:type="dxa"/>
            </w:tcMar>
            <w:vAlign w:val="top"/>
          </w:tcPr>
          <w:p>
            <w:r>
              <w:rPr>
                <w:sz w:val="16"/>
              </w:rPr>
              <w:t>Visible.</w:t>
            </w:r>
          </w:p>
        </w:tc>
      </w:tr>
      <w:tr>
        <w:tc>
          <w:tcPr>
            <w:tcW w:type="dxa" w:w="3331"/>
            <w:tcMar>
              <w:top w:w="100" w:type="dxa"/>
              <w:start w:w="120" w:type="dxa"/>
              <w:bottom w:w="100" w:type="dxa"/>
              <w:end w:w="120" w:type="dxa"/>
            </w:tcMar>
            <w:vAlign w:val="top"/>
          </w:tcPr>
          <w:p>
            <w:r>
              <w:rPr>
                <w:sz w:val="16"/>
              </w:rPr>
              <w:t>SUPERSEDED</w:t>
            </w:r>
          </w:p>
        </w:tc>
        <w:tc>
          <w:tcPr>
            <w:tcW w:type="dxa" w:w="3331"/>
            <w:tcMar>
              <w:top w:w="100" w:type="dxa"/>
              <w:start w:w="120" w:type="dxa"/>
              <w:bottom w:w="100" w:type="dxa"/>
              <w:end w:w="120" w:type="dxa"/>
            </w:tcMar>
            <w:vAlign w:val="top"/>
          </w:tcPr>
          <w:p>
            <w:r>
              <w:rPr>
                <w:sz w:val="16"/>
              </w:rPr>
              <w:t>Replaced by a later version but preserved for history.</w:t>
            </w:r>
          </w:p>
        </w:tc>
        <w:tc>
          <w:tcPr>
            <w:tcW w:type="dxa" w:w="3331"/>
            <w:tcMar>
              <w:top w:w="100" w:type="dxa"/>
              <w:start w:w="120" w:type="dxa"/>
              <w:bottom w:w="100" w:type="dxa"/>
              <w:end w:w="120" w:type="dxa"/>
            </w:tcMar>
            <w:vAlign w:val="top"/>
          </w:tcPr>
          <w:p>
            <w:r>
              <w:rPr>
                <w:sz w:val="16"/>
              </w:rPr>
              <w:t>Visible only when history is intentionally available.</w:t>
            </w:r>
          </w:p>
        </w:tc>
      </w:tr>
      <w:tr>
        <w:tc>
          <w:tcPr>
            <w:tcW w:type="dxa" w:w="3331"/>
            <w:tcMar>
              <w:top w:w="100" w:type="dxa"/>
              <w:start w:w="120" w:type="dxa"/>
              <w:bottom w:w="100" w:type="dxa"/>
              <w:end w:w="120" w:type="dxa"/>
            </w:tcMar>
            <w:vAlign w:val="top"/>
          </w:tcPr>
          <w:p>
            <w:r>
              <w:rPr>
                <w:sz w:val="16"/>
              </w:rPr>
              <w:t>WITHDRAWN</w:t>
            </w:r>
          </w:p>
        </w:tc>
        <w:tc>
          <w:tcPr>
            <w:tcW w:type="dxa" w:w="3331"/>
            <w:tcMar>
              <w:top w:w="100" w:type="dxa"/>
              <w:start w:w="120" w:type="dxa"/>
              <w:bottom w:w="100" w:type="dxa"/>
              <w:end w:w="120" w:type="dxa"/>
            </w:tcMar>
            <w:vAlign w:val="top"/>
          </w:tcPr>
          <w:p>
            <w:r>
              <w:rPr>
                <w:sz w:val="16"/>
              </w:rPr>
              <w:t>Removed because of error, permission change or changed circumstances.</w:t>
            </w:r>
          </w:p>
        </w:tc>
        <w:tc>
          <w:tcPr>
            <w:tcW w:type="dxa" w:w="3331"/>
            <w:tcMar>
              <w:top w:w="100" w:type="dxa"/>
              <w:start w:w="120" w:type="dxa"/>
              <w:bottom w:w="100" w:type="dxa"/>
              <w:end w:w="120" w:type="dxa"/>
            </w:tcMar>
            <w:vAlign w:val="top"/>
          </w:tcPr>
          <w:p>
            <w:r>
              <w:rPr>
                <w:sz w:val="16"/>
              </w:rPr>
              <w:t>Not visible; withdrawal reason preserved internally.</w:t>
            </w:r>
          </w:p>
        </w:tc>
      </w:tr>
    </w:tbl>
    <w:p/>
    <w:p>
      <w:pPr>
        <w:pStyle w:val="ListBullet"/>
        <w:spacing w:after="60"/>
      </w:pPr>
      <w:r>
        <w:t>Publication requires an advisor, artifact, version, owner, date and permitted audience.</w:t>
      </w:r>
    </w:p>
    <w:p>
      <w:pPr>
        <w:pStyle w:val="ListBullet"/>
        <w:spacing w:after="60"/>
      </w:pPr>
      <w:r>
        <w:t>Private notes can never be converted into advisor-visible text automatically.</w:t>
      </w:r>
    </w:p>
    <w:p>
      <w:pPr>
        <w:pStyle w:val="ListBullet"/>
        <w:spacing w:after="60"/>
      </w:pPr>
      <w:r>
        <w:t>A model must identify assumptions and whether they were provided by the advisor, firm or VYNE.</w:t>
      </w:r>
    </w:p>
    <w:p>
      <w:pPr>
        <w:pStyle w:val="ListBullet"/>
        <w:spacing w:after="60"/>
      </w:pPr>
      <w:r>
        <w:t>Advisor edits or corrections should create a new version rather than silently overwriting history.</w:t>
      </w:r>
    </w:p>
    <w:p>
      <w:pPr>
        <w:pStyle w:val="ListBullet"/>
        <w:spacing w:after="60"/>
      </w:pPr>
      <w:r>
        <w:t>Revoked permissions must stop future sharing and trigger review of already-published material where appropriate.</w:t>
      </w:r>
    </w:p>
    <w:p>
      <w:pPr>
        <w:pStyle w:val="Heading1"/>
        <w:pBdr>
          <w:bottom w:val="single" w:sz="10" w:space="6" w:color="B48A35"/>
        </w:pBdr>
      </w:pPr>
      <w:r>
        <w:t>14. Advisor Studio Blueprint</w:t>
      </w:r>
    </w:p>
    <w:p>
      <w:pPr>
        <w:pStyle w:val="BodyText"/>
        <w:spacing w:after="120" w:line="259" w:lineRule="auto"/>
      </w:pPr>
      <w:r>
        <w:rPr>
          <w:b w:val="0"/>
          <w:i w:val="0"/>
        </w:rPr>
        <w:t>Advisor Studio should be a focused engagement workspace, not a mirrored CRM.</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233F"/>
            <w:tcMar>
              <w:top w:w="100" w:type="dxa"/>
              <w:start w:w="120" w:type="dxa"/>
              <w:bottom w:w="100" w:type="dxa"/>
              <w:end w:w="120" w:type="dxa"/>
            </w:tcMar>
          </w:tcPr>
          <w:p>
            <w:r>
              <w:rPr>
                <w:b/>
                <w:color w:val="FFFFFF"/>
                <w:sz w:val="15"/>
              </w:rPr>
              <w:t>Module</w:t>
            </w:r>
          </w:p>
        </w:tc>
        <w:tc>
          <w:tcPr>
            <w:tcW w:type="dxa" w:w="3331"/>
            <w:shd w:fill="12233F"/>
            <w:tcMar>
              <w:top w:w="100" w:type="dxa"/>
              <w:start w:w="120" w:type="dxa"/>
              <w:bottom w:w="100" w:type="dxa"/>
              <w:end w:w="120" w:type="dxa"/>
            </w:tcMar>
          </w:tcPr>
          <w:p>
            <w:r>
              <w:rPr>
                <w:b/>
                <w:color w:val="FFFFFF"/>
                <w:sz w:val="15"/>
              </w:rPr>
              <w:t>Advisor sees</w:t>
            </w:r>
          </w:p>
        </w:tc>
        <w:tc>
          <w:tcPr>
            <w:tcW w:type="dxa" w:w="3331"/>
            <w:shd w:fill="12233F"/>
            <w:tcMar>
              <w:top w:w="100" w:type="dxa"/>
              <w:start w:w="120" w:type="dxa"/>
              <w:bottom w:w="100" w:type="dxa"/>
              <w:end w:w="120" w:type="dxa"/>
            </w:tcMar>
          </w:tcPr>
          <w:p>
            <w:r>
              <w:rPr>
                <w:b/>
                <w:color w:val="FFFFFF"/>
                <w:sz w:val="15"/>
              </w:rPr>
              <w:t>Advisor does not see</w:t>
            </w:r>
          </w:p>
        </w:tc>
      </w:tr>
      <w:tr>
        <w:tc>
          <w:tcPr>
            <w:tcW w:type="dxa" w:w="3331"/>
            <w:tcMar>
              <w:top w:w="100" w:type="dxa"/>
              <w:start w:w="120" w:type="dxa"/>
              <w:bottom w:w="100" w:type="dxa"/>
              <w:end w:w="120" w:type="dxa"/>
            </w:tcMar>
            <w:vAlign w:val="top"/>
          </w:tcPr>
          <w:p>
            <w:r>
              <w:rPr>
                <w:sz w:val="15"/>
              </w:rPr>
              <w:t>Home</w:t>
            </w:r>
          </w:p>
        </w:tc>
        <w:tc>
          <w:tcPr>
            <w:tcW w:type="dxa" w:w="3331"/>
            <w:tcMar>
              <w:top w:w="100" w:type="dxa"/>
              <w:start w:w="120" w:type="dxa"/>
              <w:bottom w:w="100" w:type="dxa"/>
              <w:end w:w="120" w:type="dxa"/>
            </w:tcMar>
            <w:vAlign w:val="top"/>
          </w:tcPr>
          <w:p>
            <w:r>
              <w:rPr>
                <w:sz w:val="15"/>
              </w:rPr>
              <w:t>Current decision state, next meeting, open questions and recent publications</w:t>
            </w:r>
          </w:p>
        </w:tc>
        <w:tc>
          <w:tcPr>
            <w:tcW w:type="dxa" w:w="3331"/>
            <w:tcMar>
              <w:top w:w="100" w:type="dxa"/>
              <w:start w:w="120" w:type="dxa"/>
              <w:bottom w:w="100" w:type="dxa"/>
              <w:end w:w="120" w:type="dxa"/>
            </w:tcMar>
            <w:vAlign w:val="top"/>
          </w:tcPr>
          <w:p>
            <w:r>
              <w:rPr>
                <w:sz w:val="15"/>
              </w:rPr>
              <w:t>Pipeline probability, lead source strategy, internal risk flags</w:t>
            </w:r>
          </w:p>
        </w:tc>
      </w:tr>
      <w:tr>
        <w:tc>
          <w:tcPr>
            <w:tcW w:type="dxa" w:w="3331"/>
            <w:tcMar>
              <w:top w:w="100" w:type="dxa"/>
              <w:start w:w="120" w:type="dxa"/>
              <w:bottom w:w="100" w:type="dxa"/>
              <w:end w:w="120" w:type="dxa"/>
            </w:tcMar>
            <w:vAlign w:val="top"/>
          </w:tcPr>
          <w:p>
            <w:r>
              <w:rPr>
                <w:sz w:val="15"/>
              </w:rPr>
              <w:t>Journey</w:t>
            </w:r>
          </w:p>
        </w:tc>
        <w:tc>
          <w:tcPr>
            <w:tcW w:type="dxa" w:w="3331"/>
            <w:tcMar>
              <w:top w:w="100" w:type="dxa"/>
              <w:start w:w="120" w:type="dxa"/>
              <w:bottom w:w="100" w:type="dxa"/>
              <w:end w:w="120" w:type="dxa"/>
            </w:tcMar>
            <w:vAlign w:val="top"/>
          </w:tcPr>
          <w:p>
            <w:r>
              <w:rPr>
                <w:sz w:val="15"/>
              </w:rPr>
              <w:t>Completed stages, current stage, upcoming gates and timeline</w:t>
            </w:r>
          </w:p>
        </w:tc>
        <w:tc>
          <w:tcPr>
            <w:tcW w:type="dxa" w:w="3331"/>
            <w:tcMar>
              <w:top w:w="100" w:type="dxa"/>
              <w:start w:w="120" w:type="dxa"/>
              <w:bottom w:w="100" w:type="dxa"/>
              <w:end w:w="120" w:type="dxa"/>
            </w:tcMar>
            <w:vAlign w:val="top"/>
          </w:tcPr>
          <w:p>
            <w:r>
              <w:rPr>
                <w:sz w:val="15"/>
              </w:rPr>
              <w:t>Commercial stage or recruiter performance</w:t>
            </w:r>
          </w:p>
        </w:tc>
      </w:tr>
      <w:tr>
        <w:tc>
          <w:tcPr>
            <w:tcW w:type="dxa" w:w="3331"/>
            <w:tcMar>
              <w:top w:w="100" w:type="dxa"/>
              <w:start w:w="120" w:type="dxa"/>
              <w:bottom w:w="100" w:type="dxa"/>
              <w:end w:w="120" w:type="dxa"/>
            </w:tcMar>
            <w:vAlign w:val="top"/>
          </w:tcPr>
          <w:p>
            <w:r>
              <w:rPr>
                <w:sz w:val="15"/>
              </w:rPr>
              <w:t>My Priorities</w:t>
            </w:r>
          </w:p>
        </w:tc>
        <w:tc>
          <w:tcPr>
            <w:tcW w:type="dxa" w:w="3331"/>
            <w:tcMar>
              <w:top w:w="100" w:type="dxa"/>
              <w:start w:w="120" w:type="dxa"/>
              <w:bottom w:w="100" w:type="dxa"/>
              <w:end w:w="120" w:type="dxa"/>
            </w:tcMar>
            <w:vAlign w:val="top"/>
          </w:tcPr>
          <w:p>
            <w:r>
              <w:rPr>
                <w:sz w:val="15"/>
              </w:rPr>
              <w:t>Future-State Mandate and non-negotiables</w:t>
            </w:r>
          </w:p>
        </w:tc>
        <w:tc>
          <w:tcPr>
            <w:tcW w:type="dxa" w:w="3331"/>
            <w:tcMar>
              <w:top w:w="100" w:type="dxa"/>
              <w:start w:w="120" w:type="dxa"/>
              <w:bottom w:w="100" w:type="dxa"/>
              <w:end w:w="120" w:type="dxa"/>
            </w:tcMar>
            <w:vAlign w:val="top"/>
          </w:tcPr>
          <w:p>
            <w:r>
              <w:rPr>
                <w:sz w:val="15"/>
              </w:rPr>
              <w:t>Consultant hypotheses not yet discussed</w:t>
            </w:r>
          </w:p>
        </w:tc>
      </w:tr>
      <w:tr>
        <w:tc>
          <w:tcPr>
            <w:tcW w:type="dxa" w:w="3331"/>
            <w:tcMar>
              <w:top w:w="100" w:type="dxa"/>
              <w:start w:w="120" w:type="dxa"/>
              <w:bottom w:w="100" w:type="dxa"/>
              <w:end w:w="120" w:type="dxa"/>
            </w:tcMar>
            <w:vAlign w:val="top"/>
          </w:tcPr>
          <w:p>
            <w:r>
              <w:rPr>
                <w:sz w:val="15"/>
              </w:rPr>
              <w:t>Options</w:t>
            </w:r>
          </w:p>
        </w:tc>
        <w:tc>
          <w:tcPr>
            <w:tcW w:type="dxa" w:w="3331"/>
            <w:tcMar>
              <w:top w:w="100" w:type="dxa"/>
              <w:start w:w="120" w:type="dxa"/>
              <w:bottom w:w="100" w:type="dxa"/>
              <w:end w:w="120" w:type="dxa"/>
            </w:tcMar>
            <w:vAlign w:val="top"/>
          </w:tcPr>
          <w:p>
            <w:r>
              <w:rPr>
                <w:sz w:val="15"/>
              </w:rPr>
              <w:t>Approved paths, firms or structures under comparison</w:t>
            </w:r>
          </w:p>
        </w:tc>
        <w:tc>
          <w:tcPr>
            <w:tcW w:type="dxa" w:w="3331"/>
            <w:tcMar>
              <w:top w:w="100" w:type="dxa"/>
              <w:start w:w="120" w:type="dxa"/>
              <w:bottom w:w="100" w:type="dxa"/>
              <w:end w:w="120" w:type="dxa"/>
            </w:tcMar>
            <w:vAlign w:val="top"/>
          </w:tcPr>
          <w:p>
            <w:r>
              <w:rPr>
                <w:sz w:val="15"/>
              </w:rPr>
              <w:t>Unapproved firms, internal rankings or fee relationships not relevant to disclosure</w:t>
            </w:r>
          </w:p>
        </w:tc>
      </w:tr>
      <w:tr>
        <w:tc>
          <w:tcPr>
            <w:tcW w:type="dxa" w:w="3331"/>
            <w:tcMar>
              <w:top w:w="100" w:type="dxa"/>
              <w:start w:w="120" w:type="dxa"/>
              <w:bottom w:w="100" w:type="dxa"/>
              <w:end w:w="120" w:type="dxa"/>
            </w:tcMar>
            <w:vAlign w:val="top"/>
          </w:tcPr>
          <w:p>
            <w:r>
              <w:rPr>
                <w:sz w:val="15"/>
              </w:rPr>
              <w:t>Models</w:t>
            </w:r>
          </w:p>
        </w:tc>
        <w:tc>
          <w:tcPr>
            <w:tcW w:type="dxa" w:w="3331"/>
            <w:tcMar>
              <w:top w:w="100" w:type="dxa"/>
              <w:start w:w="120" w:type="dxa"/>
              <w:bottom w:w="100" w:type="dxa"/>
              <w:end w:w="120" w:type="dxa"/>
            </w:tcMar>
            <w:vAlign w:val="top"/>
          </w:tcPr>
          <w:p>
            <w:r>
              <w:rPr>
                <w:sz w:val="15"/>
              </w:rPr>
              <w:t>Published stay / move / independence / RIA or other scenarios</w:t>
            </w:r>
          </w:p>
        </w:tc>
        <w:tc>
          <w:tcPr>
            <w:tcW w:type="dxa" w:w="3331"/>
            <w:tcMar>
              <w:top w:w="100" w:type="dxa"/>
              <w:start w:w="120" w:type="dxa"/>
              <w:bottom w:w="100" w:type="dxa"/>
              <w:end w:w="120" w:type="dxa"/>
            </w:tcMar>
            <w:vAlign w:val="top"/>
          </w:tcPr>
          <w:p>
            <w:r>
              <w:rPr>
                <w:sz w:val="15"/>
              </w:rPr>
              <w:t>Internal draft cases, hidden economics or unrelated assumptions</w:t>
            </w:r>
          </w:p>
        </w:tc>
      </w:tr>
      <w:tr>
        <w:tc>
          <w:tcPr>
            <w:tcW w:type="dxa" w:w="3331"/>
            <w:tcMar>
              <w:top w:w="100" w:type="dxa"/>
              <w:start w:w="120" w:type="dxa"/>
              <w:bottom w:w="100" w:type="dxa"/>
              <w:end w:w="120" w:type="dxa"/>
            </w:tcMar>
            <w:vAlign w:val="top"/>
          </w:tcPr>
          <w:p>
            <w:r>
              <w:rPr>
                <w:sz w:val="15"/>
              </w:rPr>
              <w:t>Deal Review</w:t>
            </w:r>
          </w:p>
        </w:tc>
        <w:tc>
          <w:tcPr>
            <w:tcW w:type="dxa" w:w="3331"/>
            <w:tcMar>
              <w:top w:w="100" w:type="dxa"/>
              <w:start w:w="120" w:type="dxa"/>
              <w:bottom w:w="100" w:type="dxa"/>
              <w:end w:w="120" w:type="dxa"/>
            </w:tcMar>
            <w:vAlign w:val="top"/>
          </w:tcPr>
          <w:p>
            <w:r>
              <w:rPr>
                <w:sz w:val="15"/>
              </w:rPr>
              <w:t>Advisor-specific offer structure, taxable schedule, hurdles and risks</w:t>
            </w:r>
          </w:p>
        </w:tc>
        <w:tc>
          <w:tcPr>
            <w:tcW w:type="dxa" w:w="3331"/>
            <w:tcMar>
              <w:top w:w="100" w:type="dxa"/>
              <w:start w:w="120" w:type="dxa"/>
              <w:bottom w:w="100" w:type="dxa"/>
              <w:end w:w="120" w:type="dxa"/>
            </w:tcMar>
            <w:vAlign w:val="top"/>
          </w:tcPr>
          <w:p>
            <w:r>
              <w:rPr>
                <w:sz w:val="15"/>
              </w:rPr>
              <w:t>VYNE placement fee and recruiter compensation</w:t>
            </w:r>
          </w:p>
        </w:tc>
      </w:tr>
      <w:tr>
        <w:tc>
          <w:tcPr>
            <w:tcW w:type="dxa" w:w="3331"/>
            <w:tcMar>
              <w:top w:w="100" w:type="dxa"/>
              <w:start w:w="120" w:type="dxa"/>
              <w:bottom w:w="100" w:type="dxa"/>
              <w:end w:w="120" w:type="dxa"/>
            </w:tcMar>
            <w:vAlign w:val="top"/>
          </w:tcPr>
          <w:p>
            <w:r>
              <w:rPr>
                <w:sz w:val="15"/>
              </w:rPr>
              <w:t>Documents</w:t>
            </w:r>
          </w:p>
        </w:tc>
        <w:tc>
          <w:tcPr>
            <w:tcW w:type="dxa" w:w="3331"/>
            <w:tcMar>
              <w:top w:w="100" w:type="dxa"/>
              <w:start w:w="120" w:type="dxa"/>
              <w:bottom w:w="100" w:type="dxa"/>
              <w:end w:w="120" w:type="dxa"/>
            </w:tcMar>
            <w:vAlign w:val="top"/>
          </w:tcPr>
          <w:p>
            <w:r>
              <w:rPr>
                <w:sz w:val="15"/>
              </w:rPr>
              <w:t>Secure uploads, published analysis, offer materials and meeting summaries</w:t>
            </w:r>
          </w:p>
        </w:tc>
        <w:tc>
          <w:tcPr>
            <w:tcW w:type="dxa" w:w="3331"/>
            <w:tcMar>
              <w:top w:w="100" w:type="dxa"/>
              <w:start w:w="120" w:type="dxa"/>
              <w:bottom w:w="100" w:type="dxa"/>
              <w:end w:w="120" w:type="dxa"/>
            </w:tcMar>
            <w:vAlign w:val="top"/>
          </w:tcPr>
          <w:p>
            <w:r>
              <w:rPr>
                <w:sz w:val="15"/>
              </w:rPr>
              <w:t>Internal-only documents and notes</w:t>
            </w:r>
          </w:p>
        </w:tc>
      </w:tr>
      <w:tr>
        <w:tc>
          <w:tcPr>
            <w:tcW w:type="dxa" w:w="3331"/>
            <w:tcMar>
              <w:top w:w="100" w:type="dxa"/>
              <w:start w:w="120" w:type="dxa"/>
              <w:bottom w:w="100" w:type="dxa"/>
              <w:end w:w="120" w:type="dxa"/>
            </w:tcMar>
            <w:vAlign w:val="top"/>
          </w:tcPr>
          <w:p>
            <w:r>
              <w:rPr>
                <w:sz w:val="15"/>
              </w:rPr>
              <w:t>Tasks</w:t>
            </w:r>
          </w:p>
        </w:tc>
        <w:tc>
          <w:tcPr>
            <w:tcW w:type="dxa" w:w="3331"/>
            <w:tcMar>
              <w:top w:w="100" w:type="dxa"/>
              <w:start w:w="120" w:type="dxa"/>
              <w:bottom w:w="100" w:type="dxa"/>
              <w:end w:w="120" w:type="dxa"/>
            </w:tcMar>
            <w:vAlign w:val="top"/>
          </w:tcPr>
          <w:p>
            <w:r>
              <w:rPr>
                <w:sz w:val="15"/>
              </w:rPr>
              <w:t>Advisor and shared actions with dates</w:t>
            </w:r>
          </w:p>
        </w:tc>
        <w:tc>
          <w:tcPr>
            <w:tcW w:type="dxa" w:w="3331"/>
            <w:tcMar>
              <w:top w:w="100" w:type="dxa"/>
              <w:start w:w="120" w:type="dxa"/>
              <w:bottom w:w="100" w:type="dxa"/>
              <w:end w:w="120" w:type="dxa"/>
            </w:tcMar>
            <w:vAlign w:val="top"/>
          </w:tcPr>
          <w:p>
            <w:r>
              <w:rPr>
                <w:sz w:val="15"/>
              </w:rPr>
              <w:t>Internal VYNE task queue</w:t>
            </w:r>
          </w:p>
        </w:tc>
      </w:tr>
      <w:tr>
        <w:tc>
          <w:tcPr>
            <w:tcW w:type="dxa" w:w="3331"/>
            <w:tcMar>
              <w:top w:w="100" w:type="dxa"/>
              <w:start w:w="120" w:type="dxa"/>
              <w:bottom w:w="100" w:type="dxa"/>
              <w:end w:w="120" w:type="dxa"/>
            </w:tcMar>
            <w:vAlign w:val="top"/>
          </w:tcPr>
          <w:p>
            <w:r>
              <w:rPr>
                <w:sz w:val="15"/>
              </w:rPr>
              <w:t>Decisions</w:t>
            </w:r>
          </w:p>
        </w:tc>
        <w:tc>
          <w:tcPr>
            <w:tcW w:type="dxa" w:w="3331"/>
            <w:tcMar>
              <w:top w:w="100" w:type="dxa"/>
              <w:start w:w="120" w:type="dxa"/>
              <w:bottom w:w="100" w:type="dxa"/>
              <w:end w:w="120" w:type="dxa"/>
            </w:tcMar>
            <w:vAlign w:val="top"/>
          </w:tcPr>
          <w:p>
            <w:r>
              <w:rPr>
                <w:sz w:val="15"/>
              </w:rPr>
              <w:t>Decision Record, permissions and conditions</w:t>
            </w:r>
          </w:p>
        </w:tc>
        <w:tc>
          <w:tcPr>
            <w:tcW w:type="dxa" w:w="3331"/>
            <w:tcMar>
              <w:top w:w="100" w:type="dxa"/>
              <w:start w:w="120" w:type="dxa"/>
              <w:bottom w:w="100" w:type="dxa"/>
              <w:end w:w="120" w:type="dxa"/>
            </w:tcMar>
            <w:vAlign w:val="top"/>
          </w:tcPr>
          <w:p>
            <w:r>
              <w:rPr>
                <w:sz w:val="15"/>
              </w:rPr>
              <w:t>Internal debate or privileged legal analysis</w:t>
            </w:r>
          </w:p>
        </w:tc>
      </w:tr>
    </w:tbl>
    <w:p/>
    <w:p>
      <w:pPr>
        <w:pStyle w:val="Heading1"/>
        <w:pBdr>
          <w:bottom w:val="single" w:sz="10" w:space="6" w:color="B48A35"/>
        </w:pBdr>
      </w:pPr>
      <w:r>
        <w:t>15. Modeling Workspace</w:t>
      </w:r>
    </w:p>
    <w:p>
      <w:pPr>
        <w:pStyle w:val="BodyText"/>
        <w:spacing w:after="120" w:line="259" w:lineRule="auto"/>
      </w:pPr>
      <w:r>
        <w:rPr>
          <w:b w:val="0"/>
          <w:i w:val="0"/>
        </w:rPr>
        <w:t>The screenshots provided show a strong foundation for a separate modeling workspace. The correct design is to preserve the power of the internal model while publishing a simpler advisor-safe view.</w:t>
      </w:r>
    </w:p>
    <w:p>
      <w:pPr>
        <w:pStyle w:val="Heading2"/>
      </w:pPr>
      <w:r>
        <w:t>15.1 Internal model</w:t>
      </w:r>
    </w:p>
    <w:p>
      <w:pPr>
        <w:pStyle w:val="ListBullet"/>
        <w:spacing w:after="60"/>
      </w:pPr>
      <w:r>
        <w:t>Editable assumptions and scenario construction</w:t>
      </w:r>
    </w:p>
    <w:p>
      <w:pPr>
        <w:pStyle w:val="ListBullet"/>
        <w:spacing w:after="60"/>
      </w:pPr>
      <w:r>
        <w:t>Stay, move, independent, RIA and later additional path types</w:t>
      </w:r>
    </w:p>
    <w:p>
      <w:pPr>
        <w:pStyle w:val="ListBullet"/>
        <w:spacing w:after="60"/>
      </w:pPr>
      <w:r>
        <w:t>AUM transfer rate, payout, overhead, startup cost, notes and deferred compensation</w:t>
      </w:r>
    </w:p>
    <w:p>
      <w:pPr>
        <w:pStyle w:val="ListBullet"/>
        <w:spacing w:after="60"/>
      </w:pPr>
      <w:r>
        <w:t>Deal terms, backend hurdles, extensions and taxable-recognition schedule</w:t>
      </w:r>
    </w:p>
    <w:p>
      <w:pPr>
        <w:pStyle w:val="ListBullet"/>
        <w:spacing w:after="60"/>
      </w:pPr>
      <w:r>
        <w:t>Sensitivity testing and internal challenge cases</w:t>
      </w:r>
    </w:p>
    <w:p>
      <w:pPr>
        <w:pStyle w:val="ListBullet"/>
        <w:spacing w:after="60"/>
      </w:pPr>
      <w:r>
        <w:t>Firm-specific compensation data with source and effective date</w:t>
      </w:r>
    </w:p>
    <w:p>
      <w:pPr>
        <w:pStyle w:val="Heading2"/>
      </w:pPr>
      <w:r>
        <w:t>15.2 Advisor-visible model</w:t>
      </w:r>
    </w:p>
    <w:p>
      <w:pPr>
        <w:pStyle w:val="ListBullet"/>
        <w:spacing w:after="60"/>
      </w:pPr>
      <w:r>
        <w:t>Only scenarios relevant to the advisor's decision</w:t>
      </w:r>
    </w:p>
    <w:p>
      <w:pPr>
        <w:pStyle w:val="ListBullet"/>
        <w:spacing w:after="60"/>
      </w:pPr>
      <w:r>
        <w:t>Plain-language explanations of every material assumption</w:t>
      </w:r>
    </w:p>
    <w:p>
      <w:pPr>
        <w:pStyle w:val="ListBullet"/>
        <w:spacing w:after="60"/>
      </w:pPr>
      <w:r>
        <w:t>Cash received separated from taxable income and long-term economics</w:t>
      </w:r>
    </w:p>
    <w:p>
      <w:pPr>
        <w:pStyle w:val="ListBullet"/>
        <w:spacing w:after="60"/>
      </w:pPr>
      <w:r>
        <w:t>Sensitivity controls limited to approved variables</w:t>
      </w:r>
    </w:p>
    <w:p>
      <w:pPr>
        <w:pStyle w:val="ListBullet"/>
        <w:spacing w:after="60"/>
      </w:pPr>
      <w:r>
        <w:t>Clear distinction between guaranteed, contingent, estimated and modeled amounts</w:t>
      </w:r>
    </w:p>
    <w:p>
      <w:pPr>
        <w:pStyle w:val="ListBullet"/>
        <w:spacing w:after="60"/>
      </w:pPr>
      <w:r>
        <w:t>A printable or PDF-ready decision summary</w:t>
      </w:r>
    </w:p>
    <w:p>
      <w:pPr>
        <w:pStyle w:val="ListBullet"/>
        <w:spacing w:after="60"/>
      </w:pPr>
      <w:r>
        <w:t>No internal placement fees, recruiter compensation or private commentary</w:t>
      </w:r>
    </w:p>
    <w:tbl>
      <w:tblPr>
        <w:tblW w:type="auto" w:w="0"/>
        <w:jc w:val="center"/>
        <w:tblLook w:firstColumn="1" w:firstRow="1" w:lastColumn="0" w:lastRow="0" w:noHBand="0" w:noVBand="1" w:val="04A0"/>
      </w:tblPr>
      <w:tblGrid>
        <w:gridCol w:w="9994"/>
      </w:tblGrid>
      <w:tr>
        <w:tc>
          <w:tcPr>
            <w:tcW w:type="dxa" w:w="9994"/>
            <w:shd w:fill="F7F4ED"/>
            <w:tcMar>
              <w:top w:w="140" w:type="dxa"/>
              <w:start w:w="170" w:type="dxa"/>
              <w:bottom w:w="140" w:type="dxa"/>
              <w:end w:w="170" w:type="dxa"/>
            </w:tcMar>
          </w:tcPr>
          <w:p>
            <w:r/>
            <w:r>
              <w:rPr>
                <w:b/>
                <w:color w:val="B48A35"/>
                <w:sz w:val="17"/>
              </w:rPr>
              <w:t>MODELING RULE</w:t>
            </w:r>
          </w:p>
          <w:p>
            <w:pPr>
              <w:spacing w:after="0"/>
            </w:pPr>
            <w:r>
              <w:rPr>
                <w:b/>
                <w:color w:val="12233F"/>
                <w:sz w:val="22"/>
              </w:rPr>
              <w:t>The advisor may interact with an approved scenario, but VYNE controls the source data, methodology, version and explanation. A model is decision support, not a promise of future results.</w:t>
            </w:r>
          </w:p>
        </w:tc>
      </w:tr>
    </w:tbl>
    <w:p>
      <w:pPr>
        <w:spacing w:after="20"/>
      </w:pPr>
    </w:p>
    <w:p>
      <w:pPr>
        <w:pStyle w:val="Heading1"/>
        <w:pBdr>
          <w:bottom w:val="single" w:sz="10" w:space="6" w:color="B48A35"/>
        </w:pBdr>
      </w:pPr>
      <w:r>
        <w:t>16. Recommended Modeling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233F"/>
            <w:tcMar>
              <w:top w:w="100" w:type="dxa"/>
              <w:start w:w="120" w:type="dxa"/>
              <w:bottom w:w="100" w:type="dxa"/>
              <w:end w:w="120" w:type="dxa"/>
            </w:tcMar>
          </w:tcPr>
          <w:p>
            <w:r>
              <w:rPr>
                <w:b/>
                <w:color w:val="FFFFFF"/>
                <w:sz w:val="16"/>
              </w:rPr>
              <w:t>Layer</w:t>
            </w:r>
          </w:p>
        </w:tc>
        <w:tc>
          <w:tcPr>
            <w:tcW w:type="dxa" w:w="3331"/>
            <w:shd w:fill="12233F"/>
            <w:tcMar>
              <w:top w:w="100" w:type="dxa"/>
              <w:start w:w="120" w:type="dxa"/>
              <w:bottom w:w="100" w:type="dxa"/>
              <w:end w:w="120" w:type="dxa"/>
            </w:tcMar>
          </w:tcPr>
          <w:p>
            <w:r>
              <w:rPr>
                <w:b/>
                <w:color w:val="FFFFFF"/>
                <w:sz w:val="16"/>
              </w:rPr>
              <w:t>Purpose</w:t>
            </w:r>
          </w:p>
        </w:tc>
        <w:tc>
          <w:tcPr>
            <w:tcW w:type="dxa" w:w="3331"/>
            <w:shd w:fill="12233F"/>
            <w:tcMar>
              <w:top w:w="100" w:type="dxa"/>
              <w:start w:w="120" w:type="dxa"/>
              <w:bottom w:w="100" w:type="dxa"/>
              <w:end w:w="120" w:type="dxa"/>
            </w:tcMar>
          </w:tcPr>
          <w:p>
            <w:r>
              <w:rPr>
                <w:b/>
                <w:color w:val="FFFFFF"/>
                <w:sz w:val="16"/>
              </w:rPr>
              <w:t>Examples</w:t>
            </w:r>
          </w:p>
        </w:tc>
      </w:tr>
      <w:tr>
        <w:tc>
          <w:tcPr>
            <w:tcW w:type="dxa" w:w="3331"/>
            <w:tcMar>
              <w:top w:w="100" w:type="dxa"/>
              <w:start w:w="120" w:type="dxa"/>
              <w:bottom w:w="100" w:type="dxa"/>
              <w:end w:w="120" w:type="dxa"/>
            </w:tcMar>
            <w:vAlign w:val="top"/>
          </w:tcPr>
          <w:p>
            <w:r>
              <w:rPr>
                <w:sz w:val="16"/>
              </w:rPr>
              <w:t>Model engine</w:t>
            </w:r>
          </w:p>
        </w:tc>
        <w:tc>
          <w:tcPr>
            <w:tcW w:type="dxa" w:w="3331"/>
            <w:tcMar>
              <w:top w:w="100" w:type="dxa"/>
              <w:start w:w="120" w:type="dxa"/>
              <w:bottom w:w="100" w:type="dxa"/>
              <w:end w:w="120" w:type="dxa"/>
            </w:tcMar>
            <w:vAlign w:val="top"/>
          </w:tcPr>
          <w:p>
            <w:r>
              <w:rPr>
                <w:sz w:val="16"/>
              </w:rPr>
              <w:t>Performs calculations from versioned assumptions.</w:t>
            </w:r>
          </w:p>
        </w:tc>
        <w:tc>
          <w:tcPr>
            <w:tcW w:type="dxa" w:w="3331"/>
            <w:tcMar>
              <w:top w:w="100" w:type="dxa"/>
              <w:start w:w="120" w:type="dxa"/>
              <w:bottom w:w="100" w:type="dxa"/>
              <w:end w:w="120" w:type="dxa"/>
            </w:tcMar>
            <w:vAlign w:val="top"/>
          </w:tcPr>
          <w:p>
            <w:r>
              <w:rPr>
                <w:sz w:val="16"/>
              </w:rPr>
              <w:t>Income, wealth, tax timing, transfer rate, overhead, deal hurdles</w:t>
            </w:r>
          </w:p>
        </w:tc>
      </w:tr>
      <w:tr>
        <w:tc>
          <w:tcPr>
            <w:tcW w:type="dxa" w:w="3331"/>
            <w:tcMar>
              <w:top w:w="100" w:type="dxa"/>
              <w:start w:w="120" w:type="dxa"/>
              <w:bottom w:w="100" w:type="dxa"/>
              <w:end w:w="120" w:type="dxa"/>
            </w:tcMar>
            <w:vAlign w:val="top"/>
          </w:tcPr>
          <w:p>
            <w:r>
              <w:rPr>
                <w:sz w:val="16"/>
              </w:rPr>
              <w:t>Scenario manager</w:t>
            </w:r>
          </w:p>
        </w:tc>
        <w:tc>
          <w:tcPr>
            <w:tcW w:type="dxa" w:w="3331"/>
            <w:tcMar>
              <w:top w:w="100" w:type="dxa"/>
              <w:start w:w="120" w:type="dxa"/>
              <w:bottom w:w="100" w:type="dxa"/>
              <w:end w:w="120" w:type="dxa"/>
            </w:tcMar>
            <w:vAlign w:val="top"/>
          </w:tcPr>
          <w:p>
            <w:r>
              <w:rPr>
                <w:sz w:val="16"/>
              </w:rPr>
              <w:t>Creates and compares paths.</w:t>
            </w:r>
          </w:p>
        </w:tc>
        <w:tc>
          <w:tcPr>
            <w:tcW w:type="dxa" w:w="3331"/>
            <w:tcMar>
              <w:top w:w="100" w:type="dxa"/>
              <w:start w:w="120" w:type="dxa"/>
              <w:bottom w:w="100" w:type="dxa"/>
              <w:end w:w="120" w:type="dxa"/>
            </w:tcMar>
            <w:vAlign w:val="top"/>
          </w:tcPr>
          <w:p>
            <w:r>
              <w:rPr>
                <w:sz w:val="16"/>
              </w:rPr>
              <w:t>Stay, strengthen, employee move, supported independence, RIA</w:t>
            </w:r>
          </w:p>
        </w:tc>
      </w:tr>
      <w:tr>
        <w:tc>
          <w:tcPr>
            <w:tcW w:type="dxa" w:w="3331"/>
            <w:tcMar>
              <w:top w:w="100" w:type="dxa"/>
              <w:start w:w="120" w:type="dxa"/>
              <w:bottom w:w="100" w:type="dxa"/>
              <w:end w:w="120" w:type="dxa"/>
            </w:tcMar>
            <w:vAlign w:val="top"/>
          </w:tcPr>
          <w:p>
            <w:r>
              <w:rPr>
                <w:sz w:val="16"/>
              </w:rPr>
              <w:t>Evidence registry</w:t>
            </w:r>
          </w:p>
        </w:tc>
        <w:tc>
          <w:tcPr>
            <w:tcW w:type="dxa" w:w="3331"/>
            <w:tcMar>
              <w:top w:w="100" w:type="dxa"/>
              <w:start w:w="120" w:type="dxa"/>
              <w:bottom w:w="100" w:type="dxa"/>
              <w:end w:w="120" w:type="dxa"/>
            </w:tcMar>
            <w:vAlign w:val="top"/>
          </w:tcPr>
          <w:p>
            <w:r>
              <w:rPr>
                <w:sz w:val="16"/>
              </w:rPr>
              <w:t>Tracks source, date and confidence for inputs.</w:t>
            </w:r>
          </w:p>
        </w:tc>
        <w:tc>
          <w:tcPr>
            <w:tcW w:type="dxa" w:w="3331"/>
            <w:tcMar>
              <w:top w:w="100" w:type="dxa"/>
              <w:start w:w="120" w:type="dxa"/>
              <w:bottom w:w="100" w:type="dxa"/>
              <w:end w:w="120" w:type="dxa"/>
            </w:tcMar>
            <w:vAlign w:val="top"/>
          </w:tcPr>
          <w:p>
            <w:r>
              <w:rPr>
                <w:sz w:val="16"/>
              </w:rPr>
              <w:t>Payout schedule, firm term sheet, advisor data, tax assumption</w:t>
            </w:r>
          </w:p>
        </w:tc>
      </w:tr>
      <w:tr>
        <w:tc>
          <w:tcPr>
            <w:tcW w:type="dxa" w:w="3331"/>
            <w:tcMar>
              <w:top w:w="100" w:type="dxa"/>
              <w:start w:w="120" w:type="dxa"/>
              <w:bottom w:w="100" w:type="dxa"/>
              <w:end w:w="120" w:type="dxa"/>
            </w:tcMar>
            <w:vAlign w:val="top"/>
          </w:tcPr>
          <w:p>
            <w:r>
              <w:rPr>
                <w:sz w:val="16"/>
              </w:rPr>
              <w:t>Internal workspace</w:t>
            </w:r>
          </w:p>
        </w:tc>
        <w:tc>
          <w:tcPr>
            <w:tcW w:type="dxa" w:w="3331"/>
            <w:tcMar>
              <w:top w:w="100" w:type="dxa"/>
              <w:start w:w="120" w:type="dxa"/>
              <w:bottom w:w="100" w:type="dxa"/>
              <w:end w:w="120" w:type="dxa"/>
            </w:tcMar>
            <w:vAlign w:val="top"/>
          </w:tcPr>
          <w:p>
            <w:r>
              <w:rPr>
                <w:sz w:val="16"/>
              </w:rPr>
              <w:t>Allows unrestricted modeling and QA.</w:t>
            </w:r>
          </w:p>
        </w:tc>
        <w:tc>
          <w:tcPr>
            <w:tcW w:type="dxa" w:w="3331"/>
            <w:tcMar>
              <w:top w:w="100" w:type="dxa"/>
              <w:start w:w="120" w:type="dxa"/>
              <w:bottom w:w="100" w:type="dxa"/>
              <w:end w:w="120" w:type="dxa"/>
            </w:tcMar>
            <w:vAlign w:val="top"/>
          </w:tcPr>
          <w:p>
            <w:r>
              <w:rPr>
                <w:sz w:val="16"/>
              </w:rPr>
              <w:t>Draft cases, sensitivities, downside analysis</w:t>
            </w:r>
          </w:p>
        </w:tc>
      </w:tr>
      <w:tr>
        <w:tc>
          <w:tcPr>
            <w:tcW w:type="dxa" w:w="3331"/>
            <w:tcMar>
              <w:top w:w="100" w:type="dxa"/>
              <w:start w:w="120" w:type="dxa"/>
              <w:bottom w:w="100" w:type="dxa"/>
              <w:end w:w="120" w:type="dxa"/>
            </w:tcMar>
            <w:vAlign w:val="top"/>
          </w:tcPr>
          <w:p>
            <w:r>
              <w:rPr>
                <w:sz w:val="16"/>
              </w:rPr>
              <w:t>Publication view</w:t>
            </w:r>
          </w:p>
        </w:tc>
        <w:tc>
          <w:tcPr>
            <w:tcW w:type="dxa" w:w="3331"/>
            <w:tcMar>
              <w:top w:w="100" w:type="dxa"/>
              <w:start w:w="120" w:type="dxa"/>
              <w:bottom w:w="100" w:type="dxa"/>
              <w:end w:w="120" w:type="dxa"/>
            </w:tcMar>
            <w:vAlign w:val="top"/>
          </w:tcPr>
          <w:p>
            <w:r>
              <w:rPr>
                <w:sz w:val="16"/>
              </w:rPr>
              <w:t>Transforms approved scenarios into advisor-safe outputs.</w:t>
            </w:r>
          </w:p>
        </w:tc>
        <w:tc>
          <w:tcPr>
            <w:tcW w:type="dxa" w:w="3331"/>
            <w:tcMar>
              <w:top w:w="100" w:type="dxa"/>
              <w:start w:w="120" w:type="dxa"/>
              <w:bottom w:w="100" w:type="dxa"/>
              <w:end w:w="120" w:type="dxa"/>
            </w:tcMar>
            <w:vAlign w:val="top"/>
          </w:tcPr>
          <w:p>
            <w:r>
              <w:rPr>
                <w:sz w:val="16"/>
              </w:rPr>
              <w:t>Charts, cash schedule, assumptions, trade-offs and notes</w:t>
            </w:r>
          </w:p>
        </w:tc>
      </w:tr>
      <w:tr>
        <w:tc>
          <w:tcPr>
            <w:tcW w:type="dxa" w:w="3331"/>
            <w:tcMar>
              <w:top w:w="100" w:type="dxa"/>
              <w:start w:w="120" w:type="dxa"/>
              <w:bottom w:w="100" w:type="dxa"/>
              <w:end w:w="120" w:type="dxa"/>
            </w:tcMar>
            <w:vAlign w:val="top"/>
          </w:tcPr>
          <w:p>
            <w:r>
              <w:rPr>
                <w:sz w:val="16"/>
              </w:rPr>
              <w:t>Export record</w:t>
            </w:r>
          </w:p>
        </w:tc>
        <w:tc>
          <w:tcPr>
            <w:tcW w:type="dxa" w:w="3331"/>
            <w:tcMar>
              <w:top w:w="100" w:type="dxa"/>
              <w:start w:w="120" w:type="dxa"/>
              <w:bottom w:w="100" w:type="dxa"/>
              <w:end w:w="120" w:type="dxa"/>
            </w:tcMar>
            <w:vAlign w:val="top"/>
          </w:tcPr>
          <w:p>
            <w:r>
              <w:rPr>
                <w:sz w:val="16"/>
              </w:rPr>
              <w:t>Creates a static artifact for CRM and Advisor Studio.</w:t>
            </w:r>
          </w:p>
        </w:tc>
        <w:tc>
          <w:tcPr>
            <w:tcW w:type="dxa" w:w="3331"/>
            <w:tcMar>
              <w:top w:w="100" w:type="dxa"/>
              <w:start w:w="120" w:type="dxa"/>
              <w:bottom w:w="100" w:type="dxa"/>
              <w:end w:w="120" w:type="dxa"/>
            </w:tcMar>
            <w:vAlign w:val="top"/>
          </w:tcPr>
          <w:p>
            <w:r>
              <w:rPr>
                <w:sz w:val="16"/>
              </w:rPr>
              <w:t>PDF / snapshot with version, author and date</w:t>
            </w:r>
          </w:p>
        </w:tc>
      </w:tr>
    </w:tbl>
    <w:p/>
    <w:p>
      <w:pPr>
        <w:pStyle w:val="Heading1"/>
        <w:pBdr>
          <w:bottom w:val="single" w:sz="10" w:space="6" w:color="B48A35"/>
        </w:pBdr>
      </w:pPr>
      <w:r>
        <w:t>17. Security and Privacy Boundaries</w:t>
      </w:r>
    </w:p>
    <w:p>
      <w:pPr>
        <w:pStyle w:val="BodyText"/>
        <w:spacing w:after="120" w:line="259" w:lineRule="auto"/>
      </w:pPr>
      <w:r>
        <w:rPr>
          <w:b w:val="0"/>
          <w:i w:val="0"/>
        </w:rPr>
        <w:t>Separating VYNE OS and Advisor Studio reduces risk only if the separation is enforced technically and operationally.</w:t>
      </w:r>
    </w:p>
    <w:p>
      <w:pPr>
        <w:pStyle w:val="ListBullet"/>
        <w:spacing w:after="60"/>
      </w:pPr>
      <w:r>
        <w:t>Use distinct roles and permissions for founder, consultant, recruiter, operations and advisor.</w:t>
      </w:r>
    </w:p>
    <w:p>
      <w:pPr>
        <w:pStyle w:val="ListBullet"/>
        <w:spacing w:after="60"/>
      </w:pPr>
      <w:r>
        <w:t>An advisor may access only the advisor's own workspace and explicitly shared team materials.</w:t>
      </w:r>
    </w:p>
    <w:p>
      <w:pPr>
        <w:pStyle w:val="ListBullet"/>
        <w:spacing w:after="60"/>
      </w:pPr>
      <w:r>
        <w:t>Internal notes, fee data and unrelated advisor records must be inaccessible at the application and database layers.</w:t>
      </w:r>
    </w:p>
    <w:p>
      <w:pPr>
        <w:pStyle w:val="ListBullet"/>
        <w:spacing w:after="60"/>
      </w:pPr>
      <w:r>
        <w:t>Uploads require malware scanning, encryption, access logging and retention rules in a production system.</w:t>
      </w:r>
    </w:p>
    <w:p>
      <w:pPr>
        <w:pStyle w:val="ListBullet"/>
        <w:spacing w:after="60"/>
      </w:pPr>
      <w:r>
        <w:t>Authentication, password recovery, session management and multifactor authentication must be production-grade before confidential use.</w:t>
      </w:r>
    </w:p>
    <w:p>
      <w:pPr>
        <w:pStyle w:val="ListBullet"/>
        <w:spacing w:after="60"/>
      </w:pPr>
      <w:r>
        <w:t>The current single-file prototype may support design and demonstration but should not hold production advisor data.</w:t>
      </w:r>
    </w:p>
    <w:p>
      <w:pPr>
        <w:pStyle w:val="ListBullet"/>
        <w:spacing w:after="60"/>
      </w:pPr>
      <w:r>
        <w:t>Exports saved to VYNE OS must retain version, source and publication status.</w:t>
      </w:r>
    </w:p>
    <w:p>
      <w:pPr>
        <w:pStyle w:val="Heading1"/>
        <w:pBdr>
          <w:bottom w:val="single" w:sz="10" w:space="6" w:color="B48A35"/>
        </w:pBdr>
      </w:pPr>
      <w:r>
        <w:t>18. CRM Integration Rules</w:t>
      </w:r>
    </w:p>
    <w:p>
      <w:pPr>
        <w:pStyle w:val="BodyText"/>
        <w:spacing w:after="120" w:line="259" w:lineRule="auto"/>
      </w:pPr>
      <w:r>
        <w:rPr>
          <w:b w:val="0"/>
          <w:i w:val="0"/>
        </w:rPr>
        <w:t>The Advisor Studio can be operated separately at first, provided outputs are saved back to the founder CRM through a disciplined process.</w:t>
      </w:r>
    </w:p>
    <w:tbl>
      <w:tblPr>
        <w:tblStyle w:val="TableGrid"/>
        <w:tblW w:type="auto" w:w="0"/>
        <w:jc w:val="center"/>
        <w:tblLook w:firstColumn="1" w:firstRow="1" w:lastColumn="0" w:lastRow="0" w:noHBand="0" w:noVBand="1" w:val="04A0"/>
      </w:tblPr>
      <w:tblGrid>
        <w:gridCol w:w="4997"/>
        <w:gridCol w:w="4997"/>
      </w:tblGrid>
      <w:tr>
        <w:tc>
          <w:tcPr>
            <w:tcW w:type="dxa" w:w="4997"/>
            <w:shd w:fill="12233F"/>
            <w:tcMar>
              <w:top w:w="100" w:type="dxa"/>
              <w:start w:w="120" w:type="dxa"/>
              <w:bottom w:w="100" w:type="dxa"/>
              <w:end w:w="120" w:type="dxa"/>
            </w:tcMar>
          </w:tcPr>
          <w:p>
            <w:r>
              <w:rPr>
                <w:b/>
                <w:color w:val="FFFFFF"/>
                <w:sz w:val="16"/>
              </w:rPr>
              <w:t>Event</w:t>
            </w:r>
          </w:p>
        </w:tc>
        <w:tc>
          <w:tcPr>
            <w:tcW w:type="dxa" w:w="4997"/>
            <w:shd w:fill="12233F"/>
            <w:tcMar>
              <w:top w:w="100" w:type="dxa"/>
              <w:start w:w="120" w:type="dxa"/>
              <w:bottom w:w="100" w:type="dxa"/>
              <w:end w:w="120" w:type="dxa"/>
            </w:tcMar>
          </w:tcPr>
          <w:p>
            <w:r>
              <w:rPr>
                <w:b/>
                <w:color w:val="FFFFFF"/>
                <w:sz w:val="16"/>
              </w:rPr>
              <w:t>CRM record created or updated</w:t>
            </w:r>
          </w:p>
        </w:tc>
      </w:tr>
      <w:tr>
        <w:tc>
          <w:tcPr>
            <w:tcW w:type="dxa" w:w="4997"/>
            <w:tcMar>
              <w:top w:w="100" w:type="dxa"/>
              <w:start w:w="120" w:type="dxa"/>
              <w:bottom w:w="100" w:type="dxa"/>
              <w:end w:w="120" w:type="dxa"/>
            </w:tcMar>
            <w:vAlign w:val="top"/>
          </w:tcPr>
          <w:p>
            <w:r>
              <w:rPr>
                <w:sz w:val="16"/>
              </w:rPr>
              <w:t>Advisor profile approved</w:t>
            </w:r>
          </w:p>
        </w:tc>
        <w:tc>
          <w:tcPr>
            <w:tcW w:type="dxa" w:w="4997"/>
            <w:tcMar>
              <w:top w:w="100" w:type="dxa"/>
              <w:start w:w="120" w:type="dxa"/>
              <w:bottom w:w="100" w:type="dxa"/>
              <w:end w:w="120" w:type="dxa"/>
            </w:tcMar>
            <w:vAlign w:val="top"/>
          </w:tcPr>
          <w:p>
            <w:r>
              <w:rPr>
                <w:sz w:val="16"/>
              </w:rPr>
              <w:t>Advisor / team record</w:t>
            </w:r>
          </w:p>
        </w:tc>
      </w:tr>
      <w:tr>
        <w:tc>
          <w:tcPr>
            <w:tcW w:type="dxa" w:w="4997"/>
            <w:tcMar>
              <w:top w:w="100" w:type="dxa"/>
              <w:start w:w="120" w:type="dxa"/>
              <w:bottom w:w="100" w:type="dxa"/>
              <w:end w:w="120" w:type="dxa"/>
            </w:tcMar>
            <w:vAlign w:val="top"/>
          </w:tcPr>
          <w:p>
            <w:r>
              <w:rPr>
                <w:sz w:val="16"/>
              </w:rPr>
              <w:t>ROOT meeting completed</w:t>
            </w:r>
          </w:p>
        </w:tc>
        <w:tc>
          <w:tcPr>
            <w:tcW w:type="dxa" w:w="4997"/>
            <w:tcMar>
              <w:top w:w="100" w:type="dxa"/>
              <w:start w:w="120" w:type="dxa"/>
              <w:bottom w:w="100" w:type="dxa"/>
              <w:end w:w="120" w:type="dxa"/>
            </w:tcMar>
            <w:vAlign w:val="top"/>
          </w:tcPr>
          <w:p>
            <w:r>
              <w:rPr>
                <w:sz w:val="16"/>
              </w:rPr>
              <w:t>Activity, Current Reality, Future-State Mandate and next action</w:t>
            </w:r>
          </w:p>
        </w:tc>
      </w:tr>
      <w:tr>
        <w:tc>
          <w:tcPr>
            <w:tcW w:type="dxa" w:w="4997"/>
            <w:tcMar>
              <w:top w:w="100" w:type="dxa"/>
              <w:start w:w="120" w:type="dxa"/>
              <w:bottom w:w="100" w:type="dxa"/>
              <w:end w:w="120" w:type="dxa"/>
            </w:tcMar>
            <w:vAlign w:val="top"/>
          </w:tcPr>
          <w:p>
            <w:r>
              <w:rPr>
                <w:sz w:val="16"/>
              </w:rPr>
              <w:t>Model published</w:t>
            </w:r>
          </w:p>
        </w:tc>
        <w:tc>
          <w:tcPr>
            <w:tcW w:type="dxa" w:w="4997"/>
            <w:tcMar>
              <w:top w:w="100" w:type="dxa"/>
              <w:start w:w="120" w:type="dxa"/>
              <w:bottom w:w="100" w:type="dxa"/>
              <w:end w:w="120" w:type="dxa"/>
            </w:tcMar>
            <w:vAlign w:val="top"/>
          </w:tcPr>
          <w:p>
            <w:r>
              <w:rPr>
                <w:sz w:val="16"/>
              </w:rPr>
              <w:t>Model snapshot, assumptions, version and publication date</w:t>
            </w:r>
          </w:p>
        </w:tc>
      </w:tr>
      <w:tr>
        <w:tc>
          <w:tcPr>
            <w:tcW w:type="dxa" w:w="4997"/>
            <w:tcMar>
              <w:top w:w="100" w:type="dxa"/>
              <w:start w:w="120" w:type="dxa"/>
              <w:bottom w:w="100" w:type="dxa"/>
              <w:end w:w="120" w:type="dxa"/>
            </w:tcMar>
            <w:vAlign w:val="top"/>
          </w:tcPr>
          <w:p>
            <w:r>
              <w:rPr>
                <w:sz w:val="16"/>
              </w:rPr>
              <w:t>Firm introduced</w:t>
            </w:r>
          </w:p>
        </w:tc>
        <w:tc>
          <w:tcPr>
            <w:tcW w:type="dxa" w:w="4997"/>
            <w:tcMar>
              <w:top w:w="100" w:type="dxa"/>
              <w:start w:w="120" w:type="dxa"/>
              <w:bottom w:w="100" w:type="dxa"/>
              <w:end w:w="120" w:type="dxa"/>
            </w:tcMar>
            <w:vAlign w:val="top"/>
          </w:tcPr>
          <w:p>
            <w:r>
              <w:rPr>
                <w:sz w:val="16"/>
              </w:rPr>
              <w:t>Permission record, firm submission and activity</w:t>
            </w:r>
          </w:p>
        </w:tc>
      </w:tr>
      <w:tr>
        <w:tc>
          <w:tcPr>
            <w:tcW w:type="dxa" w:w="4997"/>
            <w:tcMar>
              <w:top w:w="100" w:type="dxa"/>
              <w:start w:w="120" w:type="dxa"/>
              <w:bottom w:w="100" w:type="dxa"/>
              <w:end w:w="120" w:type="dxa"/>
            </w:tcMar>
            <w:vAlign w:val="top"/>
          </w:tcPr>
          <w:p>
            <w:r>
              <w:rPr>
                <w:sz w:val="16"/>
              </w:rPr>
              <w:t>Document uploaded</w:t>
            </w:r>
          </w:p>
        </w:tc>
        <w:tc>
          <w:tcPr>
            <w:tcW w:type="dxa" w:w="4997"/>
            <w:tcMar>
              <w:top w:w="100" w:type="dxa"/>
              <w:start w:w="120" w:type="dxa"/>
              <w:bottom w:w="100" w:type="dxa"/>
              <w:end w:w="120" w:type="dxa"/>
            </w:tcMar>
            <w:vAlign w:val="top"/>
          </w:tcPr>
          <w:p>
            <w:r>
              <w:rPr>
                <w:sz w:val="16"/>
              </w:rPr>
              <w:t>Document metadata, classification and access level</w:t>
            </w:r>
          </w:p>
        </w:tc>
      </w:tr>
      <w:tr>
        <w:tc>
          <w:tcPr>
            <w:tcW w:type="dxa" w:w="4997"/>
            <w:tcMar>
              <w:top w:w="100" w:type="dxa"/>
              <w:start w:w="120" w:type="dxa"/>
              <w:bottom w:w="100" w:type="dxa"/>
              <w:end w:w="120" w:type="dxa"/>
            </w:tcMar>
            <w:vAlign w:val="top"/>
          </w:tcPr>
          <w:p>
            <w:r>
              <w:rPr>
                <w:sz w:val="16"/>
              </w:rPr>
              <w:t>Decision reached</w:t>
            </w:r>
          </w:p>
        </w:tc>
        <w:tc>
          <w:tcPr>
            <w:tcW w:type="dxa" w:w="4997"/>
            <w:tcMar>
              <w:top w:w="100" w:type="dxa"/>
              <w:start w:w="120" w:type="dxa"/>
              <w:bottom w:w="100" w:type="dxa"/>
              <w:end w:w="120" w:type="dxa"/>
            </w:tcMar>
            <w:vAlign w:val="top"/>
          </w:tcPr>
          <w:p>
            <w:r>
              <w:rPr>
                <w:sz w:val="16"/>
              </w:rPr>
              <w:t>Decision state, Decision Record and action plan</w:t>
            </w:r>
          </w:p>
        </w:tc>
      </w:tr>
      <w:tr>
        <w:tc>
          <w:tcPr>
            <w:tcW w:type="dxa" w:w="4997"/>
            <w:tcMar>
              <w:top w:w="100" w:type="dxa"/>
              <w:start w:w="120" w:type="dxa"/>
              <w:bottom w:w="100" w:type="dxa"/>
              <w:end w:w="120" w:type="dxa"/>
            </w:tcMar>
            <w:vAlign w:val="top"/>
          </w:tcPr>
          <w:p>
            <w:r>
              <w:rPr>
                <w:sz w:val="16"/>
              </w:rPr>
              <w:t>Advisor corrects information</w:t>
            </w:r>
          </w:p>
        </w:tc>
        <w:tc>
          <w:tcPr>
            <w:tcW w:type="dxa" w:w="4997"/>
            <w:tcMar>
              <w:top w:w="100" w:type="dxa"/>
              <w:start w:w="120" w:type="dxa"/>
              <w:bottom w:w="100" w:type="dxa"/>
              <w:end w:w="120" w:type="dxa"/>
            </w:tcMar>
            <w:vAlign w:val="top"/>
          </w:tcPr>
          <w:p>
            <w:r>
              <w:rPr>
                <w:sz w:val="16"/>
              </w:rPr>
              <w:t>New version and change note</w:t>
            </w:r>
          </w:p>
        </w:tc>
      </w:tr>
      <w:tr>
        <w:tc>
          <w:tcPr>
            <w:tcW w:type="dxa" w:w="4997"/>
            <w:tcMar>
              <w:top w:w="100" w:type="dxa"/>
              <w:start w:w="120" w:type="dxa"/>
              <w:bottom w:w="100" w:type="dxa"/>
              <w:end w:w="120" w:type="dxa"/>
            </w:tcMar>
            <w:vAlign w:val="top"/>
          </w:tcPr>
          <w:p>
            <w:r>
              <w:rPr>
                <w:sz w:val="16"/>
              </w:rPr>
              <w:t>Engagement ends or pauses</w:t>
            </w:r>
          </w:p>
        </w:tc>
        <w:tc>
          <w:tcPr>
            <w:tcW w:type="dxa" w:w="4997"/>
            <w:tcMar>
              <w:top w:w="100" w:type="dxa"/>
              <w:start w:w="120" w:type="dxa"/>
              <w:bottom w:w="100" w:type="dxa"/>
              <w:end w:w="120" w:type="dxa"/>
            </w:tcMar>
            <w:vAlign w:val="top"/>
          </w:tcPr>
          <w:p>
            <w:r>
              <w:rPr>
                <w:sz w:val="16"/>
              </w:rPr>
              <w:t>Status, reason, follow-up trigger and retention treatment</w:t>
            </w:r>
          </w:p>
        </w:tc>
      </w:tr>
    </w:tbl>
    <w:p/>
    <w:p>
      <w:pPr>
        <w:pStyle w:val="BodyText"/>
        <w:spacing w:after="120" w:line="259" w:lineRule="auto"/>
      </w:pPr>
      <w:r>
        <w:rPr>
          <w:b w:val="0"/>
          <w:i w:val="0"/>
        </w:rPr>
        <w:t>During the prototype phase, this may be a manual 'Save to CRM' process. In production, it should become a controlled API or service integration rather than direct shared storage.</w:t>
      </w:r>
    </w:p>
    <w:p>
      <w:pPr>
        <w:pStyle w:val="Heading1"/>
        <w:pBdr>
          <w:bottom w:val="single" w:sz="10" w:space="6" w:color="B48A35"/>
        </w:pBdr>
      </w:pPr>
      <w:r>
        <w:t>19. Presentation Mode</w:t>
      </w:r>
    </w:p>
    <w:p>
      <w:pPr>
        <w:pStyle w:val="BodyText"/>
        <w:spacing w:after="120" w:line="259" w:lineRule="auto"/>
      </w:pPr>
      <w:r>
        <w:rPr>
          <w:b w:val="0"/>
          <w:i w:val="0"/>
        </w:rPr>
        <w:t>Presentation Mode should be preserved and redesigned as an advisor conversation surface.</w:t>
      </w:r>
    </w:p>
    <w:p>
      <w:pPr>
        <w:pStyle w:val="ListBullet"/>
        <w:spacing w:after="60"/>
      </w:pPr>
      <w:r>
        <w:t>Hide internal navigation, edit controls and confidential fields.</w:t>
      </w:r>
    </w:p>
    <w:p>
      <w:pPr>
        <w:pStyle w:val="ListBullet"/>
        <w:spacing w:after="60"/>
      </w:pPr>
      <w:r>
        <w:t>Show the decision question, assumptions, scenarios and trade-offs in a clear sequence.</w:t>
      </w:r>
    </w:p>
    <w:p>
      <w:pPr>
        <w:pStyle w:val="ListBullet"/>
        <w:spacing w:after="60"/>
      </w:pPr>
      <w:r>
        <w:t>Allow the consultant to reveal detail progressively rather than exposing a dense model all at once.</w:t>
      </w:r>
    </w:p>
    <w:p>
      <w:pPr>
        <w:pStyle w:val="ListBullet"/>
        <w:spacing w:after="60"/>
      </w:pPr>
      <w:r>
        <w:t>Display a visible version date and data-as-of date.</w:t>
      </w:r>
    </w:p>
    <w:p>
      <w:pPr>
        <w:pStyle w:val="ListBullet"/>
        <w:spacing w:after="60"/>
      </w:pPr>
      <w:r>
        <w:t>Provide an advisor-safe print or PDF output.</w:t>
      </w:r>
    </w:p>
    <w:p>
      <w:pPr>
        <w:pStyle w:val="ListBullet"/>
        <w:spacing w:after="60"/>
      </w:pPr>
      <w:r>
        <w:t>Never make a scenario appear recommended merely because it is visually highlighted.</w:t>
      </w:r>
    </w:p>
    <w:p>
      <w:pPr>
        <w:pStyle w:val="Heading1"/>
        <w:pBdr>
          <w:bottom w:val="single" w:sz="10" w:space="6" w:color="B48A35"/>
        </w:pBdr>
      </w:pPr>
      <w:r>
        <w:t>20. Experience Quality Assurance</w:t>
      </w:r>
    </w:p>
    <w:p>
      <w:pPr>
        <w:pStyle w:val="ListBullet"/>
        <w:spacing w:after="60"/>
      </w:pPr>
      <w:r>
        <w:t>The advisor sees no internal note, fee or pipeline information.</w:t>
      </w:r>
    </w:p>
    <w:p>
      <w:pPr>
        <w:pStyle w:val="ListBullet"/>
        <w:spacing w:after="60"/>
      </w:pPr>
      <w:r>
        <w:t>Every published artifact identifies its date and version.</w:t>
      </w:r>
    </w:p>
    <w:p>
      <w:pPr>
        <w:pStyle w:val="ListBullet"/>
        <w:spacing w:after="60"/>
      </w:pPr>
      <w:r>
        <w:t>Material assumptions are understandable.</w:t>
      </w:r>
    </w:p>
    <w:p>
      <w:pPr>
        <w:pStyle w:val="ListBullet"/>
        <w:spacing w:after="60"/>
      </w:pPr>
      <w:r>
        <w:t>Unknowns and contingent economics are visible.</w:t>
      </w:r>
    </w:p>
    <w:p>
      <w:pPr>
        <w:pStyle w:val="ListBullet"/>
        <w:spacing w:after="60"/>
      </w:pPr>
      <w:r>
        <w:t>The strongest credible stay path is represented where relevant.</w:t>
      </w:r>
    </w:p>
    <w:p>
      <w:pPr>
        <w:pStyle w:val="ListBullet"/>
        <w:spacing w:after="60"/>
      </w:pPr>
      <w:r>
        <w:t>The advisor knows the current stage and next permission gate.</w:t>
      </w:r>
    </w:p>
    <w:p>
      <w:pPr>
        <w:pStyle w:val="ListBullet"/>
        <w:spacing w:after="60"/>
      </w:pPr>
      <w:r>
        <w:t>No meeting advances solely because a commercial pipeline stage changed.</w:t>
      </w:r>
    </w:p>
    <w:p>
      <w:pPr>
        <w:pStyle w:val="ListBullet"/>
        <w:spacing w:after="60"/>
      </w:pPr>
      <w:r>
        <w:t>Every advisor-visible action was intentionally published.</w:t>
      </w:r>
    </w:p>
    <w:p>
      <w:pPr>
        <w:pStyle w:val="ListBullet"/>
        <w:spacing w:after="60"/>
      </w:pPr>
      <w:r>
        <w:t>The consultant can explain the model without relying on the interface.</w:t>
      </w:r>
    </w:p>
    <w:p>
      <w:pPr>
        <w:pStyle w:val="ListBullet"/>
        <w:spacing w:after="60"/>
      </w:pPr>
      <w:r>
        <w:t>The advisor can export or receive a durable record of the analysis.</w:t>
      </w:r>
    </w:p>
    <w:p>
      <w:pPr>
        <w:pStyle w:val="Heading1"/>
        <w:pBdr>
          <w:bottom w:val="single" w:sz="10" w:space="6" w:color="B48A35"/>
        </w:pBdr>
      </w:pPr>
      <w:r>
        <w:t>21. Build Sequence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2233F"/>
            <w:tcMar>
              <w:top w:w="100" w:type="dxa"/>
              <w:start w:w="120" w:type="dxa"/>
              <w:bottom w:w="100" w:type="dxa"/>
              <w:end w:w="120" w:type="dxa"/>
            </w:tcMar>
          </w:tcPr>
          <w:p>
            <w:r>
              <w:rPr>
                <w:b/>
                <w:color w:val="FFFFFF"/>
                <w:sz w:val="16"/>
              </w:rPr>
              <w:t>Phase</w:t>
            </w:r>
          </w:p>
        </w:tc>
        <w:tc>
          <w:tcPr>
            <w:tcW w:type="dxa" w:w="3331"/>
            <w:shd w:fill="12233F"/>
            <w:tcMar>
              <w:top w:w="100" w:type="dxa"/>
              <w:start w:w="120" w:type="dxa"/>
              <w:bottom w:w="100" w:type="dxa"/>
              <w:end w:w="120" w:type="dxa"/>
            </w:tcMar>
          </w:tcPr>
          <w:p>
            <w:r>
              <w:rPr>
                <w:b/>
                <w:color w:val="FFFFFF"/>
                <w:sz w:val="16"/>
              </w:rPr>
              <w:t>Build</w:t>
            </w:r>
          </w:p>
        </w:tc>
        <w:tc>
          <w:tcPr>
            <w:tcW w:type="dxa" w:w="3331"/>
            <w:shd w:fill="12233F"/>
            <w:tcMar>
              <w:top w:w="100" w:type="dxa"/>
              <w:start w:w="120" w:type="dxa"/>
              <w:bottom w:w="100" w:type="dxa"/>
              <w:end w:w="120" w:type="dxa"/>
            </w:tcMar>
          </w:tcPr>
          <w:p>
            <w:r>
              <w:rPr>
                <w:b/>
                <w:color w:val="FFFFFF"/>
                <w:sz w:val="16"/>
              </w:rPr>
              <w:t>Purpose</w:t>
            </w:r>
          </w:p>
        </w:tc>
      </w:tr>
      <w:tr>
        <w:tc>
          <w:tcPr>
            <w:tcW w:type="dxa" w:w="3331"/>
            <w:tcMar>
              <w:top w:w="100" w:type="dxa"/>
              <w:start w:w="120" w:type="dxa"/>
              <w:bottom w:w="100" w:type="dxa"/>
              <w:end w:w="120" w:type="dxa"/>
            </w:tcMar>
            <w:vAlign w:val="top"/>
          </w:tcPr>
          <w:p>
            <w:r>
              <w:rPr>
                <w:sz w:val="16"/>
              </w:rPr>
              <w:t>1</w:t>
            </w:r>
          </w:p>
        </w:tc>
        <w:tc>
          <w:tcPr>
            <w:tcW w:type="dxa" w:w="3331"/>
            <w:tcMar>
              <w:top w:w="100" w:type="dxa"/>
              <w:start w:w="120" w:type="dxa"/>
              <w:bottom w:w="100" w:type="dxa"/>
              <w:end w:w="120" w:type="dxa"/>
            </w:tcMar>
            <w:vAlign w:val="top"/>
          </w:tcPr>
          <w:p>
            <w:r>
              <w:rPr>
                <w:sz w:val="16"/>
              </w:rPr>
              <w:t>Experience and data specification</w:t>
            </w:r>
          </w:p>
        </w:tc>
        <w:tc>
          <w:tcPr>
            <w:tcW w:type="dxa" w:w="3331"/>
            <w:tcMar>
              <w:top w:w="100" w:type="dxa"/>
              <w:start w:w="120" w:type="dxa"/>
              <w:bottom w:w="100" w:type="dxa"/>
              <w:end w:w="120" w:type="dxa"/>
            </w:tcMar>
            <w:vAlign w:val="top"/>
          </w:tcPr>
          <w:p>
            <w:r>
              <w:rPr>
                <w:sz w:val="16"/>
              </w:rPr>
              <w:t>Lock the journey, modules, permissions, publication states and record structure.</w:t>
            </w:r>
          </w:p>
        </w:tc>
      </w:tr>
      <w:tr>
        <w:tc>
          <w:tcPr>
            <w:tcW w:type="dxa" w:w="3331"/>
            <w:tcMar>
              <w:top w:w="100" w:type="dxa"/>
              <w:start w:w="120" w:type="dxa"/>
              <w:bottom w:w="100" w:type="dxa"/>
              <w:end w:w="120" w:type="dxa"/>
            </w:tcMar>
            <w:vAlign w:val="top"/>
          </w:tcPr>
          <w:p>
            <w:r>
              <w:rPr>
                <w:sz w:val="16"/>
              </w:rPr>
              <w:t>2</w:t>
            </w:r>
          </w:p>
        </w:tc>
        <w:tc>
          <w:tcPr>
            <w:tcW w:type="dxa" w:w="3331"/>
            <w:tcMar>
              <w:top w:w="100" w:type="dxa"/>
              <w:start w:w="120" w:type="dxa"/>
              <w:bottom w:w="100" w:type="dxa"/>
              <w:end w:w="120" w:type="dxa"/>
            </w:tcMar>
            <w:vAlign w:val="top"/>
          </w:tcPr>
          <w:p>
            <w:r>
              <w:rPr>
                <w:sz w:val="16"/>
              </w:rPr>
              <w:t>Advisor deliverable templates</w:t>
            </w:r>
          </w:p>
        </w:tc>
        <w:tc>
          <w:tcPr>
            <w:tcW w:type="dxa" w:w="3331"/>
            <w:tcMar>
              <w:top w:w="100" w:type="dxa"/>
              <w:start w:w="120" w:type="dxa"/>
              <w:bottom w:w="100" w:type="dxa"/>
              <w:end w:w="120" w:type="dxa"/>
            </w:tcMar>
            <w:vAlign w:val="top"/>
          </w:tcPr>
          <w:p>
            <w:r>
              <w:rPr>
                <w:sz w:val="16"/>
              </w:rPr>
              <w:t>Create Current Reality, Future-State, VYNE's 9, Constraint, Comparison, Decision and Action templates.</w:t>
            </w:r>
          </w:p>
        </w:tc>
      </w:tr>
      <w:tr>
        <w:tc>
          <w:tcPr>
            <w:tcW w:type="dxa" w:w="3331"/>
            <w:tcMar>
              <w:top w:w="100" w:type="dxa"/>
              <w:start w:w="120" w:type="dxa"/>
              <w:bottom w:w="100" w:type="dxa"/>
              <w:end w:w="120" w:type="dxa"/>
            </w:tcMar>
            <w:vAlign w:val="top"/>
          </w:tcPr>
          <w:p>
            <w:r>
              <w:rPr>
                <w:sz w:val="16"/>
              </w:rPr>
              <w:t>3</w:t>
            </w:r>
          </w:p>
        </w:tc>
        <w:tc>
          <w:tcPr>
            <w:tcW w:type="dxa" w:w="3331"/>
            <w:tcMar>
              <w:top w:w="100" w:type="dxa"/>
              <w:start w:w="120" w:type="dxa"/>
              <w:bottom w:w="100" w:type="dxa"/>
              <w:end w:w="120" w:type="dxa"/>
            </w:tcMar>
            <w:vAlign w:val="top"/>
          </w:tcPr>
          <w:p>
            <w:r>
              <w:rPr>
                <w:sz w:val="16"/>
              </w:rPr>
              <w:t>Standalone modeling workspace</w:t>
            </w:r>
          </w:p>
        </w:tc>
        <w:tc>
          <w:tcPr>
            <w:tcW w:type="dxa" w:w="3331"/>
            <w:tcMar>
              <w:top w:w="100" w:type="dxa"/>
              <w:start w:w="120" w:type="dxa"/>
              <w:bottom w:w="100" w:type="dxa"/>
              <w:end w:w="120" w:type="dxa"/>
            </w:tcMar>
            <w:vAlign w:val="top"/>
          </w:tcPr>
          <w:p>
            <w:r>
              <w:rPr>
                <w:sz w:val="16"/>
              </w:rPr>
              <w:t>Refactor current model into internal workspace plus advisor-safe presentation and export modes.</w:t>
            </w:r>
          </w:p>
        </w:tc>
      </w:tr>
      <w:tr>
        <w:tc>
          <w:tcPr>
            <w:tcW w:type="dxa" w:w="3331"/>
            <w:tcMar>
              <w:top w:w="100" w:type="dxa"/>
              <w:start w:w="120" w:type="dxa"/>
              <w:bottom w:w="100" w:type="dxa"/>
              <w:end w:w="120" w:type="dxa"/>
            </w:tcMar>
            <w:vAlign w:val="top"/>
          </w:tcPr>
          <w:p>
            <w:r>
              <w:rPr>
                <w:sz w:val="16"/>
              </w:rPr>
              <w:t>4</w:t>
            </w:r>
          </w:p>
        </w:tc>
        <w:tc>
          <w:tcPr>
            <w:tcW w:type="dxa" w:w="3331"/>
            <w:tcMar>
              <w:top w:w="100" w:type="dxa"/>
              <w:start w:w="120" w:type="dxa"/>
              <w:bottom w:w="100" w:type="dxa"/>
              <w:end w:w="120" w:type="dxa"/>
            </w:tcMar>
            <w:vAlign w:val="top"/>
          </w:tcPr>
          <w:p>
            <w:r>
              <w:rPr>
                <w:sz w:val="16"/>
              </w:rPr>
              <w:t>VYNE OS integration</w:t>
            </w:r>
          </w:p>
        </w:tc>
        <w:tc>
          <w:tcPr>
            <w:tcW w:type="dxa" w:w="3331"/>
            <w:tcMar>
              <w:top w:w="100" w:type="dxa"/>
              <w:start w:w="120" w:type="dxa"/>
              <w:bottom w:w="100" w:type="dxa"/>
              <w:end w:w="120" w:type="dxa"/>
            </w:tcMar>
            <w:vAlign w:val="top"/>
          </w:tcPr>
          <w:p>
            <w:r>
              <w:rPr>
                <w:sz w:val="16"/>
              </w:rPr>
              <w:t>Add 'Save to CRM' snapshots, permissions, activities and document metadata.</w:t>
            </w:r>
          </w:p>
        </w:tc>
      </w:tr>
      <w:tr>
        <w:tc>
          <w:tcPr>
            <w:tcW w:type="dxa" w:w="3331"/>
            <w:tcMar>
              <w:top w:w="100" w:type="dxa"/>
              <w:start w:w="120" w:type="dxa"/>
              <w:bottom w:w="100" w:type="dxa"/>
              <w:end w:w="120" w:type="dxa"/>
            </w:tcMar>
            <w:vAlign w:val="top"/>
          </w:tcPr>
          <w:p>
            <w:r>
              <w:rPr>
                <w:sz w:val="16"/>
              </w:rPr>
              <w:t>5</w:t>
            </w:r>
          </w:p>
        </w:tc>
        <w:tc>
          <w:tcPr>
            <w:tcW w:type="dxa" w:w="3331"/>
            <w:tcMar>
              <w:top w:w="100" w:type="dxa"/>
              <w:start w:w="120" w:type="dxa"/>
              <w:bottom w:w="100" w:type="dxa"/>
              <w:end w:w="120" w:type="dxa"/>
            </w:tcMar>
            <w:vAlign w:val="top"/>
          </w:tcPr>
          <w:p>
            <w:r>
              <w:rPr>
                <w:sz w:val="16"/>
              </w:rPr>
              <w:t>Advisor Studio prototype</w:t>
            </w:r>
          </w:p>
        </w:tc>
        <w:tc>
          <w:tcPr>
            <w:tcW w:type="dxa" w:w="3331"/>
            <w:tcMar>
              <w:top w:w="100" w:type="dxa"/>
              <w:start w:w="120" w:type="dxa"/>
              <w:bottom w:w="100" w:type="dxa"/>
              <w:end w:w="120" w:type="dxa"/>
            </w:tcMar>
            <w:vAlign w:val="top"/>
          </w:tcPr>
          <w:p>
            <w:r>
              <w:rPr>
                <w:sz w:val="16"/>
              </w:rPr>
              <w:t>Build dashboard, journey, models, documents, tasks and decisions with synthetic data.</w:t>
            </w:r>
          </w:p>
        </w:tc>
      </w:tr>
      <w:tr>
        <w:tc>
          <w:tcPr>
            <w:tcW w:type="dxa" w:w="3331"/>
            <w:tcMar>
              <w:top w:w="100" w:type="dxa"/>
              <w:start w:w="120" w:type="dxa"/>
              <w:bottom w:w="100" w:type="dxa"/>
              <w:end w:w="120" w:type="dxa"/>
            </w:tcMar>
            <w:vAlign w:val="top"/>
          </w:tcPr>
          <w:p>
            <w:r>
              <w:rPr>
                <w:sz w:val="16"/>
              </w:rPr>
              <w:t>6</w:t>
            </w:r>
          </w:p>
        </w:tc>
        <w:tc>
          <w:tcPr>
            <w:tcW w:type="dxa" w:w="3331"/>
            <w:tcMar>
              <w:top w:w="100" w:type="dxa"/>
              <w:start w:w="120" w:type="dxa"/>
              <w:bottom w:w="100" w:type="dxa"/>
              <w:end w:w="120" w:type="dxa"/>
            </w:tcMar>
            <w:vAlign w:val="top"/>
          </w:tcPr>
          <w:p>
            <w:r>
              <w:rPr>
                <w:sz w:val="16"/>
              </w:rPr>
              <w:t>Production architecture</w:t>
            </w:r>
          </w:p>
        </w:tc>
        <w:tc>
          <w:tcPr>
            <w:tcW w:type="dxa" w:w="3331"/>
            <w:tcMar>
              <w:top w:w="100" w:type="dxa"/>
              <w:start w:w="120" w:type="dxa"/>
              <w:bottom w:w="100" w:type="dxa"/>
              <w:end w:w="120" w:type="dxa"/>
            </w:tcMar>
            <w:vAlign w:val="top"/>
          </w:tcPr>
          <w:p>
            <w:r>
              <w:rPr>
                <w:sz w:val="16"/>
              </w:rPr>
              <w:t>Implement authentication, database, role security, audit, backups and secure file storage.</w:t>
            </w:r>
          </w:p>
        </w:tc>
      </w:tr>
      <w:tr>
        <w:tc>
          <w:tcPr>
            <w:tcW w:type="dxa" w:w="3331"/>
            <w:tcMar>
              <w:top w:w="100" w:type="dxa"/>
              <w:start w:w="120" w:type="dxa"/>
              <w:bottom w:w="100" w:type="dxa"/>
              <w:end w:w="120" w:type="dxa"/>
            </w:tcMar>
            <w:vAlign w:val="top"/>
          </w:tcPr>
          <w:p>
            <w:r>
              <w:rPr>
                <w:sz w:val="16"/>
              </w:rPr>
              <w:t>7</w:t>
            </w:r>
          </w:p>
        </w:tc>
        <w:tc>
          <w:tcPr>
            <w:tcW w:type="dxa" w:w="3331"/>
            <w:tcMar>
              <w:top w:w="100" w:type="dxa"/>
              <w:start w:w="120" w:type="dxa"/>
              <w:bottom w:w="100" w:type="dxa"/>
              <w:end w:w="120" w:type="dxa"/>
            </w:tcMar>
            <w:vAlign w:val="top"/>
          </w:tcPr>
          <w:p>
            <w:r>
              <w:rPr>
                <w:sz w:val="16"/>
              </w:rPr>
              <w:t>Pilot and refinement</w:t>
            </w:r>
          </w:p>
        </w:tc>
        <w:tc>
          <w:tcPr>
            <w:tcW w:type="dxa" w:w="3331"/>
            <w:tcMar>
              <w:top w:w="100" w:type="dxa"/>
              <w:start w:w="120" w:type="dxa"/>
              <w:bottom w:w="100" w:type="dxa"/>
              <w:end w:w="120" w:type="dxa"/>
            </w:tcMar>
            <w:vAlign w:val="top"/>
          </w:tcPr>
          <w:p>
            <w:r>
              <w:rPr>
                <w:sz w:val="16"/>
              </w:rPr>
              <w:t>Run controlled advisor cases, collect feedback and revise the methodology and experience.</w:t>
            </w:r>
          </w:p>
        </w:tc>
      </w:tr>
    </w:tbl>
    <w:p/>
    <w:p>
      <w:pPr>
        <w:pStyle w:val="Heading1"/>
        <w:pBdr>
          <w:bottom w:val="single" w:sz="10" w:space="6" w:color="B48A35"/>
        </w:pBdr>
      </w:pPr>
      <w:r>
        <w:t>22. Immediate Product Decision</w:t>
      </w:r>
    </w:p>
    <w:tbl>
      <w:tblPr>
        <w:tblW w:type="auto" w:w="0"/>
        <w:jc w:val="center"/>
        <w:tblLook w:firstColumn="1" w:firstRow="1" w:lastColumn="0" w:lastRow="0" w:noHBand="0" w:noVBand="1" w:val="04A0"/>
      </w:tblPr>
      <w:tblGrid>
        <w:gridCol w:w="9994"/>
      </w:tblGrid>
      <w:tr>
        <w:tc>
          <w:tcPr>
            <w:tcW w:type="dxa" w:w="9994"/>
            <w:shd w:fill="F5EFD9"/>
            <w:tcMar>
              <w:top w:w="140" w:type="dxa"/>
              <w:start w:w="170" w:type="dxa"/>
              <w:bottom w:w="140" w:type="dxa"/>
              <w:end w:w="170" w:type="dxa"/>
            </w:tcMar>
          </w:tcPr>
          <w:p>
            <w:r/>
            <w:r>
              <w:rPr>
                <w:b/>
                <w:color w:val="B48A35"/>
                <w:sz w:val="17"/>
              </w:rPr>
              <w:t>RECOMMENDED PATH</w:t>
            </w:r>
          </w:p>
          <w:p>
            <w:pPr>
              <w:spacing w:after="0"/>
            </w:pPr>
            <w:r>
              <w:rPr>
                <w:b/>
                <w:color w:val="12233F"/>
                <w:sz w:val="22"/>
              </w:rPr>
              <w:t>Keep the model and deal builder as a separate Advisor Modeling Workspace for now. Use Presentation Mode and PDF exports with advisors. Save approved snapshots and notes back to the founder CRM. Build the full Advisor Studio only after the workflow and security requirements are proven.</w:t>
            </w:r>
          </w:p>
        </w:tc>
      </w:tr>
    </w:tbl>
    <w:p>
      <w:pPr>
        <w:spacing w:after="20"/>
      </w:pPr>
    </w:p>
    <w:p>
      <w:pPr>
        <w:pStyle w:val="BodyText"/>
        <w:spacing w:after="120" w:line="259" w:lineRule="auto"/>
      </w:pPr>
      <w:r>
        <w:rPr>
          <w:b w:val="0"/>
          <w:i w:val="0"/>
        </w:rPr>
        <w:t>This approach is faster, safer and less expensive than attempting to turn the current CRM prototype into a multi-user advisor portal immediately. It preserves the strongest parts of the existing work while preventing internal and advisor-facing requirements from becoming entangled.</w:t>
      </w:r>
    </w:p>
    <w:p>
      <w:r>
        <w:br w:type="page"/>
      </w:r>
    </w:p>
    <w:p>
      <w:pPr>
        <w:pStyle w:val="Heading1"/>
        <w:pBdr>
          <w:bottom w:val="single" w:sz="10" w:space="6" w:color="B48A35"/>
        </w:pBdr>
      </w:pPr>
      <w:r>
        <w:t>Appendix A — Advisor Meeting Record</w:t>
      </w:r>
    </w:p>
    <w:tbl>
      <w:tblPr>
        <w:tblStyle w:val="TableGrid"/>
        <w:tblW w:type="auto" w:w="0"/>
        <w:jc w:val="center"/>
        <w:tblLook w:firstColumn="1" w:firstRow="1" w:lastColumn="0" w:lastRow="0" w:noHBand="0" w:noVBand="1" w:val="04A0"/>
      </w:tblPr>
      <w:tblGrid>
        <w:gridCol w:w="4997"/>
        <w:gridCol w:w="4997"/>
      </w:tblGrid>
      <w:tr>
        <w:tc>
          <w:tcPr>
            <w:tcW w:type="dxa" w:w="4997"/>
            <w:shd w:fill="12233F"/>
            <w:tcMar>
              <w:top w:w="100" w:type="dxa"/>
              <w:start w:w="120" w:type="dxa"/>
              <w:bottom w:w="100" w:type="dxa"/>
              <w:end w:w="120" w:type="dxa"/>
            </w:tcMar>
          </w:tcPr>
          <w:p>
            <w:r>
              <w:rPr>
                <w:b/>
                <w:color w:val="FFFFFF"/>
                <w:sz w:val="16"/>
              </w:rPr>
              <w:t>Field</w:t>
            </w:r>
          </w:p>
        </w:tc>
        <w:tc>
          <w:tcPr>
            <w:tcW w:type="dxa" w:w="4997"/>
            <w:shd w:fill="12233F"/>
            <w:tcMar>
              <w:top w:w="100" w:type="dxa"/>
              <w:start w:w="120" w:type="dxa"/>
              <w:bottom w:w="100" w:type="dxa"/>
              <w:end w:w="120" w:type="dxa"/>
            </w:tcMar>
          </w:tcPr>
          <w:p>
            <w:r>
              <w:rPr>
                <w:b/>
                <w:color w:val="FFFFFF"/>
                <w:sz w:val="16"/>
              </w:rPr>
              <w:t>Required entry</w:t>
            </w:r>
          </w:p>
        </w:tc>
      </w:tr>
      <w:tr>
        <w:tc>
          <w:tcPr>
            <w:tcW w:type="dxa" w:w="4997"/>
            <w:tcMar>
              <w:top w:w="100" w:type="dxa"/>
              <w:start w:w="120" w:type="dxa"/>
              <w:bottom w:w="100" w:type="dxa"/>
              <w:end w:w="120" w:type="dxa"/>
            </w:tcMar>
            <w:vAlign w:val="top"/>
          </w:tcPr>
          <w:p>
            <w:r>
              <w:rPr>
                <w:sz w:val="16"/>
              </w:rPr>
              <w:t>Meeting</w:t>
            </w:r>
          </w:p>
        </w:tc>
        <w:tc>
          <w:tcPr>
            <w:tcW w:type="dxa" w:w="4997"/>
            <w:tcMar>
              <w:top w:w="100" w:type="dxa"/>
              <w:start w:w="120" w:type="dxa"/>
              <w:bottom w:w="100" w:type="dxa"/>
              <w:end w:w="120" w:type="dxa"/>
            </w:tcMar>
            <w:vAlign w:val="top"/>
          </w:tcPr>
          <w:p>
            <w:r>
              <w:rPr>
                <w:sz w:val="16"/>
              </w:rPr>
              <w:t>Type, date, attendees and owner</w:t>
            </w:r>
          </w:p>
        </w:tc>
      </w:tr>
      <w:tr>
        <w:tc>
          <w:tcPr>
            <w:tcW w:type="dxa" w:w="4997"/>
            <w:tcMar>
              <w:top w:w="100" w:type="dxa"/>
              <w:start w:w="120" w:type="dxa"/>
              <w:bottom w:w="100" w:type="dxa"/>
              <w:end w:w="120" w:type="dxa"/>
            </w:tcMar>
            <w:vAlign w:val="top"/>
          </w:tcPr>
          <w:p>
            <w:r>
              <w:rPr>
                <w:sz w:val="16"/>
              </w:rPr>
              <w:t>Decision question</w:t>
            </w:r>
          </w:p>
        </w:tc>
        <w:tc>
          <w:tcPr>
            <w:tcW w:type="dxa" w:w="4997"/>
            <w:tcMar>
              <w:top w:w="100" w:type="dxa"/>
              <w:start w:w="120" w:type="dxa"/>
              <w:bottom w:w="100" w:type="dxa"/>
              <w:end w:w="120" w:type="dxa"/>
            </w:tcMar>
            <w:vAlign w:val="top"/>
          </w:tcPr>
          <w:p>
            <w:r>
              <w:rPr>
                <w:sz w:val="16"/>
              </w:rPr>
              <w:t>The precise question being advanced</w:t>
            </w:r>
          </w:p>
        </w:tc>
      </w:tr>
      <w:tr>
        <w:tc>
          <w:tcPr>
            <w:tcW w:type="dxa" w:w="4997"/>
            <w:tcMar>
              <w:top w:w="100" w:type="dxa"/>
              <w:start w:w="120" w:type="dxa"/>
              <w:bottom w:w="100" w:type="dxa"/>
              <w:end w:w="120" w:type="dxa"/>
            </w:tcMar>
            <w:vAlign w:val="top"/>
          </w:tcPr>
          <w:p>
            <w:r>
              <w:rPr>
                <w:sz w:val="16"/>
              </w:rPr>
              <w:t>Advisor State</w:t>
            </w:r>
          </w:p>
        </w:tc>
        <w:tc>
          <w:tcPr>
            <w:tcW w:type="dxa" w:w="4997"/>
            <w:tcMar>
              <w:top w:w="100" w:type="dxa"/>
              <w:start w:w="120" w:type="dxa"/>
              <w:bottom w:w="100" w:type="dxa"/>
              <w:end w:w="120" w:type="dxa"/>
            </w:tcMar>
            <w:vAlign w:val="top"/>
          </w:tcPr>
          <w:p>
            <w:r>
              <w:rPr>
                <w:sz w:val="16"/>
              </w:rPr>
              <w:t>Trust, clarity, readiness, emotional load, team alignment and evidence confidence</w:t>
            </w:r>
          </w:p>
        </w:tc>
      </w:tr>
      <w:tr>
        <w:tc>
          <w:tcPr>
            <w:tcW w:type="dxa" w:w="4997"/>
            <w:tcMar>
              <w:top w:w="100" w:type="dxa"/>
              <w:start w:w="120" w:type="dxa"/>
              <w:bottom w:w="100" w:type="dxa"/>
              <w:end w:w="120" w:type="dxa"/>
            </w:tcMar>
            <w:vAlign w:val="top"/>
          </w:tcPr>
          <w:p>
            <w:r>
              <w:rPr>
                <w:sz w:val="16"/>
              </w:rPr>
              <w:t>Permission</w:t>
            </w:r>
          </w:p>
        </w:tc>
        <w:tc>
          <w:tcPr>
            <w:tcW w:type="dxa" w:w="4997"/>
            <w:tcMar>
              <w:top w:w="100" w:type="dxa"/>
              <w:start w:w="120" w:type="dxa"/>
              <w:bottom w:w="100" w:type="dxa"/>
              <w:end w:w="120" w:type="dxa"/>
            </w:tcMar>
            <w:vAlign w:val="top"/>
          </w:tcPr>
          <w:p>
            <w:r>
              <w:rPr>
                <w:sz w:val="16"/>
              </w:rPr>
              <w:t>What VYNE was authorized to document, model, share or do</w:t>
            </w:r>
          </w:p>
        </w:tc>
      </w:tr>
      <w:tr>
        <w:tc>
          <w:tcPr>
            <w:tcW w:type="dxa" w:w="4997"/>
            <w:tcMar>
              <w:top w:w="100" w:type="dxa"/>
              <w:start w:w="120" w:type="dxa"/>
              <w:bottom w:w="100" w:type="dxa"/>
              <w:end w:w="120" w:type="dxa"/>
            </w:tcMar>
            <w:vAlign w:val="top"/>
          </w:tcPr>
          <w:p>
            <w:r>
              <w:rPr>
                <w:sz w:val="16"/>
              </w:rPr>
              <w:t>What was learned</w:t>
            </w:r>
          </w:p>
        </w:tc>
        <w:tc>
          <w:tcPr>
            <w:tcW w:type="dxa" w:w="4997"/>
            <w:tcMar>
              <w:top w:w="100" w:type="dxa"/>
              <w:start w:w="120" w:type="dxa"/>
              <w:bottom w:w="100" w:type="dxa"/>
              <w:end w:w="120" w:type="dxa"/>
            </w:tcMar>
            <w:vAlign w:val="top"/>
          </w:tcPr>
          <w:p>
            <w:r>
              <w:rPr>
                <w:sz w:val="16"/>
              </w:rPr>
              <w:t>Material facts, reported facts, assumptions and unknowns</w:t>
            </w:r>
          </w:p>
        </w:tc>
      </w:tr>
      <w:tr>
        <w:tc>
          <w:tcPr>
            <w:tcW w:type="dxa" w:w="4997"/>
            <w:tcMar>
              <w:top w:w="100" w:type="dxa"/>
              <w:start w:w="120" w:type="dxa"/>
              <w:bottom w:w="100" w:type="dxa"/>
              <w:end w:w="120" w:type="dxa"/>
            </w:tcMar>
            <w:vAlign w:val="top"/>
          </w:tcPr>
          <w:p>
            <w:r>
              <w:rPr>
                <w:sz w:val="16"/>
              </w:rPr>
              <w:t>Framework progress</w:t>
            </w:r>
          </w:p>
        </w:tc>
        <w:tc>
          <w:tcPr>
            <w:tcW w:type="dxa" w:w="4997"/>
            <w:tcMar>
              <w:top w:w="100" w:type="dxa"/>
              <w:start w:w="120" w:type="dxa"/>
              <w:bottom w:w="100" w:type="dxa"/>
              <w:end w:w="120" w:type="dxa"/>
            </w:tcMar>
            <w:vAlign w:val="top"/>
          </w:tcPr>
          <w:p>
            <w:r>
              <w:rPr>
                <w:sz w:val="16"/>
              </w:rPr>
              <w:t>REALITY, DIRECTION, CONSTRAINTS or CHOICE work completed</w:t>
            </w:r>
          </w:p>
        </w:tc>
      </w:tr>
      <w:tr>
        <w:tc>
          <w:tcPr>
            <w:tcW w:type="dxa" w:w="4997"/>
            <w:tcMar>
              <w:top w:w="100" w:type="dxa"/>
              <w:start w:w="120" w:type="dxa"/>
              <w:bottom w:w="100" w:type="dxa"/>
              <w:end w:w="120" w:type="dxa"/>
            </w:tcMar>
            <w:vAlign w:val="top"/>
          </w:tcPr>
          <w:p>
            <w:r>
              <w:rPr>
                <w:sz w:val="16"/>
              </w:rPr>
              <w:t>Decision gate</w:t>
            </w:r>
          </w:p>
        </w:tc>
        <w:tc>
          <w:tcPr>
            <w:tcW w:type="dxa" w:w="4997"/>
            <w:tcMar>
              <w:top w:w="100" w:type="dxa"/>
              <w:start w:w="120" w:type="dxa"/>
              <w:bottom w:w="100" w:type="dxa"/>
              <w:end w:w="120" w:type="dxa"/>
            </w:tcMar>
            <w:vAlign w:val="top"/>
          </w:tcPr>
          <w:p>
            <w:r>
              <w:rPr>
                <w:sz w:val="16"/>
              </w:rPr>
              <w:t>What is complete and what must be true before advancement</w:t>
            </w:r>
          </w:p>
        </w:tc>
      </w:tr>
      <w:tr>
        <w:tc>
          <w:tcPr>
            <w:tcW w:type="dxa" w:w="4997"/>
            <w:tcMar>
              <w:top w:w="100" w:type="dxa"/>
              <w:start w:w="120" w:type="dxa"/>
              <w:bottom w:w="100" w:type="dxa"/>
              <w:end w:w="120" w:type="dxa"/>
            </w:tcMar>
            <w:vAlign w:val="top"/>
          </w:tcPr>
          <w:p>
            <w:r>
              <w:rPr>
                <w:sz w:val="16"/>
              </w:rPr>
              <w:t>Published output</w:t>
            </w:r>
          </w:p>
        </w:tc>
        <w:tc>
          <w:tcPr>
            <w:tcW w:type="dxa" w:w="4997"/>
            <w:tcMar>
              <w:top w:w="100" w:type="dxa"/>
              <w:start w:w="120" w:type="dxa"/>
              <w:bottom w:w="100" w:type="dxa"/>
              <w:end w:w="120" w:type="dxa"/>
            </w:tcMar>
            <w:vAlign w:val="top"/>
          </w:tcPr>
          <w:p>
            <w:r>
              <w:rPr>
                <w:sz w:val="16"/>
              </w:rPr>
              <w:t>Artifact, version and date</w:t>
            </w:r>
          </w:p>
        </w:tc>
      </w:tr>
      <w:tr>
        <w:tc>
          <w:tcPr>
            <w:tcW w:type="dxa" w:w="4997"/>
            <w:tcMar>
              <w:top w:w="100" w:type="dxa"/>
              <w:start w:w="120" w:type="dxa"/>
              <w:bottom w:w="100" w:type="dxa"/>
              <w:end w:w="120" w:type="dxa"/>
            </w:tcMar>
            <w:vAlign w:val="top"/>
          </w:tcPr>
          <w:p>
            <w:r>
              <w:rPr>
                <w:sz w:val="16"/>
              </w:rPr>
              <w:t>Next action</w:t>
            </w:r>
          </w:p>
        </w:tc>
        <w:tc>
          <w:tcPr>
            <w:tcW w:type="dxa" w:w="4997"/>
            <w:tcMar>
              <w:top w:w="100" w:type="dxa"/>
              <w:start w:w="120" w:type="dxa"/>
              <w:bottom w:w="100" w:type="dxa"/>
              <w:end w:w="120" w:type="dxa"/>
            </w:tcMar>
            <w:vAlign w:val="top"/>
          </w:tcPr>
          <w:p>
            <w:r>
              <w:rPr>
                <w:sz w:val="16"/>
              </w:rPr>
              <w:t>Owner, due date and authorization</w:t>
            </w:r>
          </w:p>
        </w:tc>
      </w:tr>
    </w:tbl>
    <w:p/>
    <w:p>
      <w:pPr>
        <w:pStyle w:val="Heading1"/>
        <w:pBdr>
          <w:bottom w:val="single" w:sz="10" w:space="6" w:color="B48A35"/>
        </w:pBdr>
      </w:pPr>
      <w:r>
        <w:t>Appendix B — Publication Record</w:t>
      </w:r>
    </w:p>
    <w:tbl>
      <w:tblPr>
        <w:tblStyle w:val="TableGrid"/>
        <w:tblW w:type="auto" w:w="0"/>
        <w:jc w:val="center"/>
        <w:tblLook w:firstColumn="1" w:firstRow="1" w:lastColumn="0" w:lastRow="0" w:noHBand="0" w:noVBand="1" w:val="04A0"/>
      </w:tblPr>
      <w:tblGrid>
        <w:gridCol w:w="4997"/>
        <w:gridCol w:w="4997"/>
      </w:tblGrid>
      <w:tr>
        <w:tc>
          <w:tcPr>
            <w:tcW w:type="dxa" w:w="4997"/>
            <w:shd w:fill="12233F"/>
            <w:tcMar>
              <w:top w:w="100" w:type="dxa"/>
              <w:start w:w="120" w:type="dxa"/>
              <w:bottom w:w="100" w:type="dxa"/>
              <w:end w:w="120" w:type="dxa"/>
            </w:tcMar>
          </w:tcPr>
          <w:p>
            <w:r>
              <w:rPr>
                <w:b/>
                <w:color w:val="FFFFFF"/>
                <w:sz w:val="16"/>
              </w:rPr>
              <w:t>Field</w:t>
            </w:r>
          </w:p>
        </w:tc>
        <w:tc>
          <w:tcPr>
            <w:tcW w:type="dxa" w:w="4997"/>
            <w:shd w:fill="12233F"/>
            <w:tcMar>
              <w:top w:w="100" w:type="dxa"/>
              <w:start w:w="120" w:type="dxa"/>
              <w:bottom w:w="100" w:type="dxa"/>
              <w:end w:w="120" w:type="dxa"/>
            </w:tcMar>
          </w:tcPr>
          <w:p>
            <w:r>
              <w:rPr>
                <w:b/>
                <w:color w:val="FFFFFF"/>
                <w:sz w:val="16"/>
              </w:rPr>
              <w:t>Required entry</w:t>
            </w:r>
          </w:p>
        </w:tc>
      </w:tr>
      <w:tr>
        <w:tc>
          <w:tcPr>
            <w:tcW w:type="dxa" w:w="4997"/>
            <w:tcMar>
              <w:top w:w="100" w:type="dxa"/>
              <w:start w:w="120" w:type="dxa"/>
              <w:bottom w:w="100" w:type="dxa"/>
              <w:end w:w="120" w:type="dxa"/>
            </w:tcMar>
            <w:vAlign w:val="top"/>
          </w:tcPr>
          <w:p>
            <w:r>
              <w:rPr>
                <w:sz w:val="16"/>
              </w:rPr>
              <w:t>Advisor / workspace</w:t>
            </w:r>
          </w:p>
        </w:tc>
        <w:tc>
          <w:tcPr>
            <w:tcW w:type="dxa" w:w="4997"/>
            <w:tcMar>
              <w:top w:w="100" w:type="dxa"/>
              <w:start w:w="120" w:type="dxa"/>
              <w:bottom w:w="100" w:type="dxa"/>
              <w:end w:w="120" w:type="dxa"/>
            </w:tcMar>
            <w:vAlign w:val="top"/>
          </w:tcPr>
          <w:p>
            <w:r>
              <w:rPr>
                <w:sz w:val="16"/>
              </w:rPr>
              <w:t>Authorized recipient</w:t>
            </w:r>
          </w:p>
        </w:tc>
      </w:tr>
      <w:tr>
        <w:tc>
          <w:tcPr>
            <w:tcW w:type="dxa" w:w="4997"/>
            <w:tcMar>
              <w:top w:w="100" w:type="dxa"/>
              <w:start w:w="120" w:type="dxa"/>
              <w:bottom w:w="100" w:type="dxa"/>
              <w:end w:w="120" w:type="dxa"/>
            </w:tcMar>
            <w:vAlign w:val="top"/>
          </w:tcPr>
          <w:p>
            <w:r>
              <w:rPr>
                <w:sz w:val="16"/>
              </w:rPr>
              <w:t>Artifact</w:t>
            </w:r>
          </w:p>
        </w:tc>
        <w:tc>
          <w:tcPr>
            <w:tcW w:type="dxa" w:w="4997"/>
            <w:tcMar>
              <w:top w:w="100" w:type="dxa"/>
              <w:start w:w="120" w:type="dxa"/>
              <w:bottom w:w="100" w:type="dxa"/>
              <w:end w:w="120" w:type="dxa"/>
            </w:tcMar>
            <w:vAlign w:val="top"/>
          </w:tcPr>
          <w:p>
            <w:r>
              <w:rPr>
                <w:sz w:val="16"/>
              </w:rPr>
              <w:t>Name and type</w:t>
            </w:r>
          </w:p>
        </w:tc>
      </w:tr>
      <w:tr>
        <w:tc>
          <w:tcPr>
            <w:tcW w:type="dxa" w:w="4997"/>
            <w:tcMar>
              <w:top w:w="100" w:type="dxa"/>
              <w:start w:w="120" w:type="dxa"/>
              <w:bottom w:w="100" w:type="dxa"/>
              <w:end w:w="120" w:type="dxa"/>
            </w:tcMar>
            <w:vAlign w:val="top"/>
          </w:tcPr>
          <w:p>
            <w:r>
              <w:rPr>
                <w:sz w:val="16"/>
              </w:rPr>
              <w:t>Version</w:t>
            </w:r>
          </w:p>
        </w:tc>
        <w:tc>
          <w:tcPr>
            <w:tcW w:type="dxa" w:w="4997"/>
            <w:tcMar>
              <w:top w:w="100" w:type="dxa"/>
              <w:start w:w="120" w:type="dxa"/>
              <w:bottom w:w="100" w:type="dxa"/>
              <w:end w:w="120" w:type="dxa"/>
            </w:tcMar>
            <w:vAlign w:val="top"/>
          </w:tcPr>
          <w:p>
            <w:r>
              <w:rPr>
                <w:sz w:val="16"/>
              </w:rPr>
              <w:t>Unique version identifier</w:t>
            </w:r>
          </w:p>
        </w:tc>
      </w:tr>
      <w:tr>
        <w:tc>
          <w:tcPr>
            <w:tcW w:type="dxa" w:w="4997"/>
            <w:tcMar>
              <w:top w:w="100" w:type="dxa"/>
              <w:start w:w="120" w:type="dxa"/>
              <w:bottom w:w="100" w:type="dxa"/>
              <w:end w:w="120" w:type="dxa"/>
            </w:tcMar>
            <w:vAlign w:val="top"/>
          </w:tcPr>
          <w:p>
            <w:r>
              <w:rPr>
                <w:sz w:val="16"/>
              </w:rPr>
              <w:t>Status</w:t>
            </w:r>
          </w:p>
        </w:tc>
        <w:tc>
          <w:tcPr>
            <w:tcW w:type="dxa" w:w="4997"/>
            <w:tcMar>
              <w:top w:w="100" w:type="dxa"/>
              <w:start w:w="120" w:type="dxa"/>
              <w:bottom w:w="100" w:type="dxa"/>
              <w:end w:w="120" w:type="dxa"/>
            </w:tcMar>
            <w:vAlign w:val="top"/>
          </w:tcPr>
          <w:p>
            <w:r>
              <w:rPr>
                <w:sz w:val="16"/>
              </w:rPr>
              <w:t>Draft, Reviewed, Approved, Published, Superseded or Withdrawn</w:t>
            </w:r>
          </w:p>
        </w:tc>
      </w:tr>
      <w:tr>
        <w:tc>
          <w:tcPr>
            <w:tcW w:type="dxa" w:w="4997"/>
            <w:tcMar>
              <w:top w:w="100" w:type="dxa"/>
              <w:start w:w="120" w:type="dxa"/>
              <w:bottom w:w="100" w:type="dxa"/>
              <w:end w:w="120" w:type="dxa"/>
            </w:tcMar>
            <w:vAlign w:val="top"/>
          </w:tcPr>
          <w:p>
            <w:r>
              <w:rPr>
                <w:sz w:val="16"/>
              </w:rPr>
              <w:t>Owner</w:t>
            </w:r>
          </w:p>
        </w:tc>
        <w:tc>
          <w:tcPr>
            <w:tcW w:type="dxa" w:w="4997"/>
            <w:tcMar>
              <w:top w:w="100" w:type="dxa"/>
              <w:start w:w="120" w:type="dxa"/>
              <w:bottom w:w="100" w:type="dxa"/>
              <w:end w:w="120" w:type="dxa"/>
            </w:tcMar>
            <w:vAlign w:val="top"/>
          </w:tcPr>
          <w:p>
            <w:r>
              <w:rPr>
                <w:sz w:val="16"/>
              </w:rPr>
              <w:t>Accountable VYNE person</w:t>
            </w:r>
          </w:p>
        </w:tc>
      </w:tr>
      <w:tr>
        <w:tc>
          <w:tcPr>
            <w:tcW w:type="dxa" w:w="4997"/>
            <w:tcMar>
              <w:top w:w="100" w:type="dxa"/>
              <w:start w:w="120" w:type="dxa"/>
              <w:bottom w:w="100" w:type="dxa"/>
              <w:end w:w="120" w:type="dxa"/>
            </w:tcMar>
            <w:vAlign w:val="top"/>
          </w:tcPr>
          <w:p>
            <w:r>
              <w:rPr>
                <w:sz w:val="16"/>
              </w:rPr>
              <w:t>Evidence date</w:t>
            </w:r>
          </w:p>
        </w:tc>
        <w:tc>
          <w:tcPr>
            <w:tcW w:type="dxa" w:w="4997"/>
            <w:tcMar>
              <w:top w:w="100" w:type="dxa"/>
              <w:start w:w="120" w:type="dxa"/>
              <w:bottom w:w="100" w:type="dxa"/>
              <w:end w:w="120" w:type="dxa"/>
            </w:tcMar>
            <w:vAlign w:val="top"/>
          </w:tcPr>
          <w:p>
            <w:r>
              <w:rPr>
                <w:sz w:val="16"/>
              </w:rPr>
              <w:t>Data-as-of date</w:t>
            </w:r>
          </w:p>
        </w:tc>
      </w:tr>
      <w:tr>
        <w:tc>
          <w:tcPr>
            <w:tcW w:type="dxa" w:w="4997"/>
            <w:tcMar>
              <w:top w:w="100" w:type="dxa"/>
              <w:start w:w="120" w:type="dxa"/>
              <w:bottom w:w="100" w:type="dxa"/>
              <w:end w:w="120" w:type="dxa"/>
            </w:tcMar>
            <w:vAlign w:val="top"/>
          </w:tcPr>
          <w:p>
            <w:r>
              <w:rPr>
                <w:sz w:val="16"/>
              </w:rPr>
              <w:t>Permitted audience</w:t>
            </w:r>
          </w:p>
        </w:tc>
        <w:tc>
          <w:tcPr>
            <w:tcW w:type="dxa" w:w="4997"/>
            <w:tcMar>
              <w:top w:w="100" w:type="dxa"/>
              <w:start w:w="120" w:type="dxa"/>
              <w:bottom w:w="100" w:type="dxa"/>
              <w:end w:w="120" w:type="dxa"/>
            </w:tcMar>
            <w:vAlign w:val="top"/>
          </w:tcPr>
          <w:p>
            <w:r>
              <w:rPr>
                <w:sz w:val="16"/>
              </w:rPr>
              <w:t>Advisor, named team members or other authorized recipient</w:t>
            </w:r>
          </w:p>
        </w:tc>
      </w:tr>
      <w:tr>
        <w:tc>
          <w:tcPr>
            <w:tcW w:type="dxa" w:w="4997"/>
            <w:tcMar>
              <w:top w:w="100" w:type="dxa"/>
              <w:start w:w="120" w:type="dxa"/>
              <w:bottom w:w="100" w:type="dxa"/>
              <w:end w:w="120" w:type="dxa"/>
            </w:tcMar>
            <w:vAlign w:val="top"/>
          </w:tcPr>
          <w:p>
            <w:r>
              <w:rPr>
                <w:sz w:val="16"/>
              </w:rPr>
              <w:t>Assumptions disclosed</w:t>
            </w:r>
          </w:p>
        </w:tc>
        <w:tc>
          <w:tcPr>
            <w:tcW w:type="dxa" w:w="4997"/>
            <w:tcMar>
              <w:top w:w="100" w:type="dxa"/>
              <w:start w:w="120" w:type="dxa"/>
              <w:bottom w:w="100" w:type="dxa"/>
              <w:end w:w="120" w:type="dxa"/>
            </w:tcMar>
            <w:vAlign w:val="top"/>
          </w:tcPr>
          <w:p>
            <w:r>
              <w:rPr>
                <w:sz w:val="16"/>
              </w:rPr>
              <w:t>Yes / no and location</w:t>
            </w:r>
          </w:p>
        </w:tc>
      </w:tr>
      <w:tr>
        <w:tc>
          <w:tcPr>
            <w:tcW w:type="dxa" w:w="4997"/>
            <w:tcMar>
              <w:top w:w="100" w:type="dxa"/>
              <w:start w:w="120" w:type="dxa"/>
              <w:bottom w:w="100" w:type="dxa"/>
              <w:end w:w="120" w:type="dxa"/>
            </w:tcMar>
            <w:vAlign w:val="top"/>
          </w:tcPr>
          <w:p>
            <w:r>
              <w:rPr>
                <w:sz w:val="16"/>
              </w:rPr>
              <w:t>Publication date</w:t>
            </w:r>
          </w:p>
        </w:tc>
        <w:tc>
          <w:tcPr>
            <w:tcW w:type="dxa" w:w="4997"/>
            <w:tcMar>
              <w:top w:w="100" w:type="dxa"/>
              <w:start w:w="120" w:type="dxa"/>
              <w:bottom w:w="100" w:type="dxa"/>
              <w:end w:w="120" w:type="dxa"/>
            </w:tcMar>
            <w:vAlign w:val="top"/>
          </w:tcPr>
          <w:p>
            <w:r>
              <w:rPr>
                <w:sz w:val="16"/>
              </w:rPr>
              <w:t>When visibility began</w:t>
            </w:r>
          </w:p>
        </w:tc>
      </w:tr>
      <w:tr>
        <w:tc>
          <w:tcPr>
            <w:tcW w:type="dxa" w:w="4997"/>
            <w:tcMar>
              <w:top w:w="100" w:type="dxa"/>
              <w:start w:w="120" w:type="dxa"/>
              <w:bottom w:w="100" w:type="dxa"/>
              <w:end w:w="120" w:type="dxa"/>
            </w:tcMar>
            <w:vAlign w:val="top"/>
          </w:tcPr>
          <w:p>
            <w:r>
              <w:rPr>
                <w:sz w:val="16"/>
              </w:rPr>
              <w:t>Withdrawal / supersession</w:t>
            </w:r>
          </w:p>
        </w:tc>
        <w:tc>
          <w:tcPr>
            <w:tcW w:type="dxa" w:w="4997"/>
            <w:tcMar>
              <w:top w:w="100" w:type="dxa"/>
              <w:start w:w="120" w:type="dxa"/>
              <w:bottom w:w="100" w:type="dxa"/>
              <w:end w:w="120" w:type="dxa"/>
            </w:tcMar>
            <w:vAlign w:val="top"/>
          </w:tcPr>
          <w:p>
            <w:r>
              <w:rPr>
                <w:sz w:val="16"/>
              </w:rPr>
              <w:t>Date, reason and replacement if any</w:t>
            </w:r>
          </w:p>
        </w:tc>
      </w:tr>
    </w:tbl>
    <w:p/>
    <w:p>
      <w:pPr>
        <w:pStyle w:val="Heading1"/>
        <w:pBdr>
          <w:bottom w:val="single" w:sz="10" w:space="6" w:color="B48A35"/>
        </w:pBdr>
      </w:pPr>
      <w:r>
        <w:t>Appendix C — Advisor Model Publication Checklist</w:t>
      </w:r>
    </w:p>
    <w:p>
      <w:pPr>
        <w:pStyle w:val="ListBullet"/>
        <w:spacing w:after="60"/>
      </w:pPr>
      <w:r>
        <w:t>Advisor identity and scenario scope are correct.</w:t>
      </w:r>
    </w:p>
    <w:p>
      <w:pPr>
        <w:pStyle w:val="ListBullet"/>
        <w:spacing w:after="60"/>
      </w:pPr>
      <w:r>
        <w:t>Firm and payout data are current and sourced.</w:t>
      </w:r>
    </w:p>
    <w:p>
      <w:pPr>
        <w:pStyle w:val="ListBullet"/>
        <w:spacing w:after="60"/>
      </w:pPr>
      <w:r>
        <w:t>TTMP / T12, AUM, households, transfer rate and growth assumptions are confirmed.</w:t>
      </w:r>
    </w:p>
    <w:p>
      <w:pPr>
        <w:pStyle w:val="ListBullet"/>
        <w:spacing w:after="60"/>
      </w:pPr>
      <w:r>
        <w:t>Tax treatment is labeled as an assumption and not tax advice.</w:t>
      </w:r>
    </w:p>
    <w:p>
      <w:pPr>
        <w:pStyle w:val="ListBullet"/>
        <w:spacing w:after="60"/>
      </w:pPr>
      <w:r>
        <w:t>Cash received and taxable recognition are separated.</w:t>
      </w:r>
    </w:p>
    <w:p>
      <w:pPr>
        <w:pStyle w:val="ListBullet"/>
        <w:spacing w:after="60"/>
      </w:pPr>
      <w:r>
        <w:t>Contingent hurdles are not included as guaranteed value.</w:t>
      </w:r>
    </w:p>
    <w:p>
      <w:pPr>
        <w:pStyle w:val="ListBullet"/>
        <w:spacing w:after="60"/>
      </w:pPr>
      <w:r>
        <w:t>Deferred compensation and note treatment are explicit.</w:t>
      </w:r>
    </w:p>
    <w:p>
      <w:pPr>
        <w:pStyle w:val="ListBullet"/>
        <w:spacing w:after="60"/>
      </w:pPr>
      <w:r>
        <w:t>Overhead and startup assumptions are explained.</w:t>
      </w:r>
    </w:p>
    <w:p>
      <w:pPr>
        <w:pStyle w:val="ListBullet"/>
        <w:spacing w:after="60"/>
      </w:pPr>
      <w:r>
        <w:t>At least one downside or sensitivity case has been reviewed internally.</w:t>
      </w:r>
    </w:p>
    <w:p>
      <w:pPr>
        <w:pStyle w:val="ListBullet"/>
        <w:spacing w:after="60"/>
      </w:pPr>
      <w:r>
        <w:t>Internal fees, recruiter compensation and private notes are absent.</w:t>
      </w:r>
    </w:p>
    <w:p>
      <w:pPr>
        <w:pStyle w:val="ListBullet"/>
        <w:spacing w:after="60"/>
      </w:pPr>
      <w:r>
        <w:t>Version date and author are visible.</w:t>
      </w:r>
    </w:p>
    <w:p>
      <w:pPr>
        <w:pStyle w:val="ListBullet"/>
        <w:spacing w:after="60"/>
      </w:pPr>
      <w:r>
        <w:t>The advisor-safe export has been visually reviewed.</w:t>
      </w:r>
    </w:p>
    <w:p>
      <w:pPr>
        <w:pStyle w:val="Heading1"/>
        <w:pBdr>
          <w:bottom w:val="single" w:sz="10" w:space="6" w:color="B48A35"/>
        </w:pBdr>
      </w:pPr>
      <w:r>
        <w:t>Appendix D — Change Log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2233F"/>
            <w:tcMar>
              <w:top w:w="100" w:type="dxa"/>
              <w:start w:w="120" w:type="dxa"/>
              <w:bottom w:w="100" w:type="dxa"/>
              <w:end w:w="120" w:type="dxa"/>
            </w:tcMar>
          </w:tcPr>
          <w:p>
            <w:r>
              <w:rPr>
                <w:b/>
                <w:color w:val="FFFFFF"/>
                <w:sz w:val="16"/>
              </w:rPr>
              <w:t>Version</w:t>
            </w:r>
          </w:p>
        </w:tc>
        <w:tc>
          <w:tcPr>
            <w:tcW w:type="dxa" w:w="2498"/>
            <w:shd w:fill="12233F"/>
            <w:tcMar>
              <w:top w:w="100" w:type="dxa"/>
              <w:start w:w="120" w:type="dxa"/>
              <w:bottom w:w="100" w:type="dxa"/>
              <w:end w:w="120" w:type="dxa"/>
            </w:tcMar>
          </w:tcPr>
          <w:p>
            <w:r>
              <w:rPr>
                <w:b/>
                <w:color w:val="FFFFFF"/>
                <w:sz w:val="16"/>
              </w:rPr>
              <w:t>Date</w:t>
            </w:r>
          </w:p>
        </w:tc>
        <w:tc>
          <w:tcPr>
            <w:tcW w:type="dxa" w:w="2498"/>
            <w:shd w:fill="12233F"/>
            <w:tcMar>
              <w:top w:w="100" w:type="dxa"/>
              <w:start w:w="120" w:type="dxa"/>
              <w:bottom w:w="100" w:type="dxa"/>
              <w:end w:w="120" w:type="dxa"/>
            </w:tcMar>
          </w:tcPr>
          <w:p>
            <w:r>
              <w:rPr>
                <w:b/>
                <w:color w:val="FFFFFF"/>
                <w:sz w:val="16"/>
              </w:rPr>
              <w:t>Status</w:t>
            </w:r>
          </w:p>
        </w:tc>
        <w:tc>
          <w:tcPr>
            <w:tcW w:type="dxa" w:w="2498"/>
            <w:shd w:fill="12233F"/>
            <w:tcMar>
              <w:top w:w="100" w:type="dxa"/>
              <w:start w:w="120" w:type="dxa"/>
              <w:bottom w:w="100" w:type="dxa"/>
              <w:end w:w="120" w:type="dxa"/>
            </w:tcMar>
          </w:tcPr>
          <w:p>
            <w:r>
              <w:rPr>
                <w:b/>
                <w:color w:val="FFFFFF"/>
                <w:sz w:val="16"/>
              </w:rPr>
              <w:t>Summary</w:t>
            </w:r>
          </w:p>
        </w:tc>
      </w:tr>
      <w:tr>
        <w:tc>
          <w:tcPr>
            <w:tcW w:type="dxa" w:w="2498"/>
            <w:tcMar>
              <w:top w:w="100" w:type="dxa"/>
              <w:start w:w="120" w:type="dxa"/>
              <w:bottom w:w="100" w:type="dxa"/>
              <w:end w:w="120" w:type="dxa"/>
            </w:tcMar>
            <w:vAlign w:val="top"/>
          </w:tcPr>
          <w:p>
            <w:r>
              <w:rPr>
                <w:sz w:val="16"/>
              </w:rPr>
              <w:t>0.1</w:t>
            </w:r>
          </w:p>
        </w:tc>
        <w:tc>
          <w:tcPr>
            <w:tcW w:type="dxa" w:w="2498"/>
            <w:tcMar>
              <w:top w:w="100" w:type="dxa"/>
              <w:start w:w="120" w:type="dxa"/>
              <w:bottom w:w="100" w:type="dxa"/>
              <w:end w:w="120" w:type="dxa"/>
            </w:tcMar>
            <w:vAlign w:val="top"/>
          </w:tcPr>
          <w:p>
            <w:r>
              <w:rPr>
                <w:sz w:val="16"/>
              </w:rPr>
              <w:t>July 2026</w:t>
            </w:r>
          </w:p>
        </w:tc>
        <w:tc>
          <w:tcPr>
            <w:tcW w:type="dxa" w:w="2498"/>
            <w:tcMar>
              <w:top w:w="100" w:type="dxa"/>
              <w:start w:w="120" w:type="dxa"/>
              <w:bottom w:w="100" w:type="dxa"/>
              <w:end w:w="120" w:type="dxa"/>
            </w:tcMar>
            <w:vAlign w:val="top"/>
          </w:tcPr>
          <w:p>
            <w:r>
              <w:rPr>
                <w:sz w:val="16"/>
              </w:rPr>
              <w:t>Founding blueprint</w:t>
            </w:r>
          </w:p>
        </w:tc>
        <w:tc>
          <w:tcPr>
            <w:tcW w:type="dxa" w:w="2498"/>
            <w:tcMar>
              <w:top w:w="100" w:type="dxa"/>
              <w:start w:w="120" w:type="dxa"/>
              <w:bottom w:w="100" w:type="dxa"/>
              <w:end w:w="120" w:type="dxa"/>
            </w:tcMar>
            <w:vAlign w:val="top"/>
          </w:tcPr>
          <w:p>
            <w:r>
              <w:rPr>
                <w:sz w:val="16"/>
              </w:rPr>
              <w:t>Establishes the Client Experience System, service standards, meeting system, two-environment product architecture, controlled publishing layer, Advisor Studio blueprint and separate modeling workspace.</w:t>
            </w:r>
          </w:p>
        </w:tc>
      </w:tr>
      <w:tr>
        <w:tc>
          <w:tcPr>
            <w:tcW w:type="dxa" w:w="2498"/>
            <w:tcMar>
              <w:top w:w="100" w:type="dxa"/>
              <w:start w:w="120" w:type="dxa"/>
              <w:bottom w:w="100" w:type="dxa"/>
              <w:end w:w="120" w:type="dxa"/>
            </w:tcMar>
            <w:vAlign w:val="top"/>
          </w:tcPr>
          <w:p>
            <w:r>
              <w:rPr>
                <w:sz w:val="16"/>
              </w:rPr>
            </w:r>
          </w:p>
        </w:tc>
        <w:tc>
          <w:tcPr>
            <w:tcW w:type="dxa" w:w="2498"/>
            <w:tcMar>
              <w:top w:w="100" w:type="dxa"/>
              <w:start w:w="120" w:type="dxa"/>
              <w:bottom w:w="100" w:type="dxa"/>
              <w:end w:w="120" w:type="dxa"/>
            </w:tcMar>
            <w:vAlign w:val="top"/>
          </w:tcPr>
          <w:p>
            <w:r>
              <w:rPr>
                <w:sz w:val="16"/>
              </w:rPr>
            </w:r>
          </w:p>
        </w:tc>
        <w:tc>
          <w:tcPr>
            <w:tcW w:type="dxa" w:w="2498"/>
            <w:tcMar>
              <w:top w:w="100" w:type="dxa"/>
              <w:start w:w="120" w:type="dxa"/>
              <w:bottom w:w="100" w:type="dxa"/>
              <w:end w:w="120" w:type="dxa"/>
            </w:tcMar>
            <w:vAlign w:val="top"/>
          </w:tcPr>
          <w:p>
            <w:r>
              <w:rPr>
                <w:sz w:val="16"/>
              </w:rPr>
            </w:r>
          </w:p>
        </w:tc>
        <w:tc>
          <w:tcPr>
            <w:tcW w:type="dxa" w:w="2498"/>
            <w:tcMar>
              <w:top w:w="100" w:type="dxa"/>
              <w:start w:w="120" w:type="dxa"/>
              <w:bottom w:w="100" w:type="dxa"/>
              <w:end w:w="120" w:type="dxa"/>
            </w:tcMar>
            <w:vAlign w:val="top"/>
          </w:tcPr>
          <w:p>
            <w:r>
              <w:rPr>
                <w:sz w:val="16"/>
              </w:rPr>
            </w:r>
          </w:p>
        </w:tc>
      </w:tr>
      <w:tr>
        <w:tc>
          <w:tcPr>
            <w:tcW w:type="dxa" w:w="2498"/>
            <w:tcMar>
              <w:top w:w="100" w:type="dxa"/>
              <w:start w:w="120" w:type="dxa"/>
              <w:bottom w:w="100" w:type="dxa"/>
              <w:end w:w="120" w:type="dxa"/>
            </w:tcMar>
            <w:vAlign w:val="top"/>
          </w:tcPr>
          <w:p>
            <w:r>
              <w:rPr>
                <w:sz w:val="16"/>
              </w:rPr>
            </w:r>
          </w:p>
        </w:tc>
        <w:tc>
          <w:tcPr>
            <w:tcW w:type="dxa" w:w="2498"/>
            <w:tcMar>
              <w:top w:w="100" w:type="dxa"/>
              <w:start w:w="120" w:type="dxa"/>
              <w:bottom w:w="100" w:type="dxa"/>
              <w:end w:w="120" w:type="dxa"/>
            </w:tcMar>
            <w:vAlign w:val="top"/>
          </w:tcPr>
          <w:p>
            <w:r>
              <w:rPr>
                <w:sz w:val="16"/>
              </w:rPr>
            </w:r>
          </w:p>
        </w:tc>
        <w:tc>
          <w:tcPr>
            <w:tcW w:type="dxa" w:w="2498"/>
            <w:tcMar>
              <w:top w:w="100" w:type="dxa"/>
              <w:start w:w="120" w:type="dxa"/>
              <w:bottom w:w="100" w:type="dxa"/>
              <w:end w:w="120" w:type="dxa"/>
            </w:tcMar>
            <w:vAlign w:val="top"/>
          </w:tcPr>
          <w:p>
            <w:r>
              <w:rPr>
                <w:sz w:val="16"/>
              </w:rPr>
            </w:r>
          </w:p>
        </w:tc>
        <w:tc>
          <w:tcPr>
            <w:tcW w:type="dxa" w:w="2498"/>
            <w:tcMar>
              <w:top w:w="100" w:type="dxa"/>
              <w:start w:w="120" w:type="dxa"/>
              <w:bottom w:w="100" w:type="dxa"/>
              <w:end w:w="120" w:type="dxa"/>
            </w:tcMar>
            <w:vAlign w:val="top"/>
          </w:tcPr>
          <w:p>
            <w:r>
              <w:rPr>
                <w:sz w:val="16"/>
              </w:rPr>
            </w:r>
          </w:p>
        </w:tc>
      </w:tr>
    </w:tbl>
    <w:p/>
    <w:p>
      <w:pPr>
        <w:pStyle w:val="Heading1"/>
        <w:pBdr>
          <w:bottom w:val="single" w:sz="10" w:space="6" w:color="B48A35"/>
        </w:pBdr>
      </w:pPr>
      <w:r>
        <w:t>Closing Standard</w:t>
      </w:r>
    </w:p>
    <w:tbl>
      <w:tblPr>
        <w:tblW w:type="auto" w:w="0"/>
        <w:jc w:val="center"/>
        <w:tblLook w:firstColumn="1" w:firstRow="1" w:lastColumn="0" w:lastRow="0" w:noHBand="0" w:noVBand="1" w:val="04A0"/>
      </w:tblPr>
      <w:tblGrid>
        <w:gridCol w:w="9994"/>
      </w:tblGrid>
      <w:tr>
        <w:tc>
          <w:tcPr>
            <w:tcW w:type="dxa" w:w="9994"/>
            <w:shd w:fill="12233F"/>
            <w:tcMar>
              <w:top w:w="140" w:type="dxa"/>
              <w:start w:w="170" w:type="dxa"/>
              <w:bottom w:w="140" w:type="dxa"/>
              <w:end w:w="170" w:type="dxa"/>
            </w:tcMar>
          </w:tcPr>
          <w:p>
            <w:r/>
            <w:r>
              <w:rPr>
                <w:b/>
                <w:color w:val="FFFFFF"/>
                <w:sz w:val="17"/>
              </w:rPr>
              <w:t>THE TEST</w:t>
            </w:r>
          </w:p>
          <w:p>
            <w:pPr>
              <w:spacing w:after="0"/>
            </w:pPr>
            <w:r>
              <w:rPr>
                <w:b/>
                <w:color w:val="FFFFFF"/>
                <w:sz w:val="22"/>
              </w:rPr>
              <w:t>VYNE OS should make the founder more capable. Advisor Studio should make the advisor more clear. Neither should expose the complexity of the other.</w:t>
            </w:r>
          </w:p>
        </w:tc>
      </w:tr>
    </w:tbl>
    <w:p>
      <w:pPr>
        <w:spacing w:after="20"/>
      </w:pP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25066"/>
        <w:sz w:val="16"/>
      </w:rPr>
      <w:t xml:space="preserve">VYNE STRATEGIES  |  VOLUME III — CLIENT EXPERIENCE SYSTEM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6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3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23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1D2633"/>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