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B48A35"/>
          <w:sz w:val="22"/>
        </w:rPr>
        <w:t>V Y N E   S T R A T E G I E S</w:t>
      </w:r>
    </w:p>
    <w:p>
      <w:pPr>
        <w:jc w:val="center"/>
      </w:pPr>
      <w:r>
        <w:rPr>
          <w:b/>
          <w:color w:val="425066"/>
          <w:sz w:val="26"/>
        </w:rPr>
        <w:t>VOLUME IV</w:t>
      </w:r>
    </w:p>
    <w:p>
      <w:pPr>
        <w:jc w:val="center"/>
      </w:pPr>
      <w:r>
        <w:rPr>
          <w:rFonts w:ascii="Aptos Display" w:hAnsi="Aptos Display"/>
          <w:b/>
          <w:color w:val="12233F"/>
          <w:sz w:val="58"/>
        </w:rPr>
        <w:t>THE VYNE DECISION LIBRARY</w:t>
      </w:r>
    </w:p>
    <w:p>
      <w:pPr>
        <w:jc w:val="center"/>
      </w:pPr>
      <w:r>
        <w:rPr>
          <w:rFonts w:ascii="Aptos Display" w:hAnsi="Aptos Display"/>
          <w:b/>
          <w:color w:val="214E3B"/>
          <w:sz w:val="36"/>
        </w:rPr>
        <w:t>Founding architecture, standards and decision cards</w:t>
      </w:r>
    </w:p>
    <w:p>
      <w:pPr>
        <w:jc w:val="center"/>
      </w:pPr>
      <w:r>
        <w:rPr>
          <w:color w:val="425066"/>
          <w:sz w:val="26"/>
        </w:rPr>
        <w:t>The institutional knowledge system that teaches VYNE how to think across consequential advisor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12233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CORE PURPOSE</w:t>
            </w:r>
          </w:p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The Decision Library converts VYNE's philosophy into reusable standards, decision cards, scorecards, evidence requirements, conversation guides and model specifications.</w:t>
            </w:r>
          </w:p>
        </w:tc>
      </w:tr>
    </w:tbl>
    <w:p>
      <w:pPr>
        <w:spacing w:after="20"/>
      </w:pPr>
    </w:p>
    <w:p>
      <w:pPr>
        <w:spacing w:before="920"/>
        <w:jc w:val="center"/>
      </w:pPr>
      <w:r>
        <w:rPr>
          <w:b/>
          <w:color w:val="8B2E2E"/>
          <w:sz w:val="18"/>
        </w:rPr>
        <w:t>VERSION 0.1  |  JULY 2026  |  CONFIDENTIAL — FOUNDING KNOWLEDGE ARCHITECTURE</w:t>
      </w:r>
    </w:p>
    <w:p>
      <w:r>
        <w:br w:type="page"/>
      </w:r>
    </w:p>
    <w:p>
      <w:pPr>
        <w:pStyle w:val="Heading1"/>
        <w:pBdr>
          <w:bottom w:val="single" w:sz="10" w:space="6" w:color="B48A35"/>
        </w:pBdr>
      </w:pPr>
      <w:r>
        <w:t>Executive Decision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Volume IV establishes the Decision Library as VYNE's institutional knowledge system. It is not a book to be read once. It is a governed library that future consultants, models, AI agents, Advisor Studio and VYNE OS can all 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4ED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B48A35"/>
                <w:sz w:val="17"/>
              </w:rPr>
              <w:t>PERMANENT DISTINCTION</w:t>
            </w:r>
          </w:p>
          <w:p>
            <w:pPr>
              <w:spacing w:after="0"/>
            </w:pPr>
            <w:r>
              <w:rPr>
                <w:b/>
                <w:color w:val="12233F"/>
                <w:sz w:val="22"/>
              </w:rPr>
              <w:t>The VYNE Framework governs how a decision is made. The Decision Library governs how VYNE applies that method to specific advisor decisions.</w:t>
            </w:r>
          </w:p>
        </w:tc>
      </w:tr>
    </w:tbl>
    <w:p>
      <w:pPr>
        <w:spacing w:after="20"/>
      </w:pPr>
    </w:p>
    <w:p>
      <w:pPr>
        <w:pStyle w:val="BodyText"/>
        <w:spacing w:after="120" w:line="259" w:lineRule="auto"/>
      </w:pPr>
      <w:r>
        <w:rPr>
          <w:b w:val="0"/>
          <w:i w:val="0"/>
        </w:rPr>
        <w:t>The Decision Library is built around eight connected libraries: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Library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Science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Explain how uncertainty, optionality, bias, emotion and incentives affect advisor decisions.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Standards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Define minimum process quality across all consequential decisions.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Cards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Provide a reusable operating standard for each major advisor decision.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Economic Standards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Specify required models, assumptions, sensitivities and limitations.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Conversation Standards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Define the questions, sequencing, red flags and decision gates.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Case Library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Preserve anonymized institutional learning from real engagements.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Research Library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Maintain sourced market, firm, channel and structural intelligence.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Implementation Library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Translate decisions into controlled execution plans.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1. Library Governance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Decision Library must grow through disciplined contribution rather than accumulation.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INCUBATOR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Idea, pattern or draft that may be valuable but is not yet proven.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Research and development only.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PROVISIONAL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Structured and usable, but still being tested through cases or expert review.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Internal use with caution.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CANONICAL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Approved VYNE standard with a defined owner and review cycle.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Primary institutional authority.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Replaced by a newer standard but preserved for history.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Do not use for current work unless explicitly studying history.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RETIRED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No longer aligned with VYNE's methodology or market reality.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Archive only.</w:t>
            </w:r>
          </w:p>
        </w:tc>
      </w:tr>
    </w:tbl>
    <w:p/>
    <w:p>
      <w:pPr>
        <w:pStyle w:val="ListBullet"/>
        <w:spacing w:after="60"/>
      </w:pPr>
      <w:r>
        <w:t>Every canonical item requires an owner, version, effective date and review date.</w:t>
      </w:r>
    </w:p>
    <w:p>
      <w:pPr>
        <w:pStyle w:val="ListBullet"/>
        <w:spacing w:after="60"/>
      </w:pPr>
      <w:r>
        <w:t>A new item must identify the problem it solves and the existing items it replaces or complements.</w:t>
      </w:r>
    </w:p>
    <w:p>
      <w:pPr>
        <w:pStyle w:val="ListBullet"/>
        <w:spacing w:after="60"/>
      </w:pPr>
      <w:r>
        <w:t>Case observations do not become standards until they are tested beyond a single engagement.</w:t>
      </w:r>
    </w:p>
    <w:p>
      <w:pPr>
        <w:pStyle w:val="ListBullet"/>
        <w:spacing w:after="60"/>
      </w:pPr>
      <w:r>
        <w:t>Competitive research may reveal a market problem, but VYNE's expression, structure and logic must be original.</w:t>
      </w:r>
    </w:p>
    <w:p>
      <w:pPr>
        <w:pStyle w:val="ListBullet"/>
        <w:spacing w:after="60"/>
      </w:pPr>
      <w:r>
        <w:t>Material economic or legal standards require appropriate professional review before canonical adoption.</w:t>
      </w:r>
    </w:p>
    <w:p>
      <w:pPr>
        <w:pStyle w:val="Heading1"/>
        <w:pBdr>
          <w:bottom w:val="single" w:sz="10" w:space="6" w:color="B48A35"/>
        </w:pBdr>
      </w:pPr>
      <w:r>
        <w:t>2. The Decision Card Standard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A Decision Card is the atomic unit of the Library. It allows VYNE to apply one consistent architecture to different advisor decisions without pretending those decisions are identical.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Card field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Required content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precise choice being evaluated.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 type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Strategic, ownership, platform, team, capital, succession, transaction or implementation.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Consequence level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Low, moderate, high or transformational.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Reversibility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Reversible, partially reversible or difficult to reverse.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Typical triggers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Events or tensions that cause the decision to emerge.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Future-state relevance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advisor outcomes this decision may advance.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Readiness signals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Evidence that the advisor is prepared to evaluate or act.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Required evidence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Facts, documents, data and diligence needed.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Required models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Economic or operational models required for comparison.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Critical constraints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Conditions capable of making the path irresponsible.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Common biases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Predictable decision errors that can distort judgment.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Red flags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Conditions that should slow, pause or stop the process.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Best questions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Conversation prompts that improve understanding.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 gates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What must be true before advancing.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Required deliverables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Advisor-facing outputs and internal records.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Related decisions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Other choices that must be considered together.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Implementation path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initial sequence after a decision is made.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3. Decision Completeness Scorecard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Decision Scorecard does not tell an advisor what to do. It tells VYNE and the advisor whether the process is complete enough for a responsible conclusion.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Status options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Completion standard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Current Reality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Material strengths, tensions and facts are understood.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Future State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Priorities, non-negotiables and time horizon are defined.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Constraints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Fixed, negotiable and unknown conditions are mapped.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Client Impact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Client benefit, disruption and retention exposure are evaluated.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Team Alignment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Material stakeholders, incentives and readiness are understood.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Economics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Income, costs, taxes, ownership and downside are modeled.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Legal / Regulatory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required / Pending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Material legal or compliance issues receive qualified review.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Diligence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Decision-changing claims are verified or clearly unresolved.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Alternative Set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started / Partial / Complete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Stay, strengthen, prepare and change paths are compared where credible.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 Ownership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Not ready / Emerging / Ready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advisor understands and accepts the reasoning and trade-offs.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EF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B48A35"/>
                <w:sz w:val="17"/>
              </w:rPr>
              <w:t>SCORECARD RULE</w:t>
            </w:r>
          </w:p>
          <w:p>
            <w:pPr>
              <w:spacing w:after="0"/>
            </w:pPr>
            <w:r>
              <w:rPr>
                <w:b/>
                <w:color w:val="12233F"/>
                <w:sz w:val="22"/>
              </w:rPr>
              <w:t>A recommendation is not appropriate when decision-changing evidence remains incomplete, even if one option appears commercially attractive.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6" w:color="B48A35"/>
        </w:pBdr>
      </w:pPr>
      <w:r>
        <w:t>4. Decision Science Library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Decision Science gives consultants a common language for understanding how advisors decide under complexity. It should be practical, not academic.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Concept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Advisor expression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VYNE response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Optionality overload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Too many credible paths increase comparison burden and make deferral feel safer than choice.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Reduce the field using the Future-State Mandate before deep comparison.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 fatigue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Repeated meetings, documents and new variables reduce cognitive quality.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Sequence work, identify decision-changing variables and pause when needed.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Loss aversion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Potential losses can feel more important than larger long-term gains.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Make both the cost of action and cost of inaction visible.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Anchoring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first offer, payout or firm comparison becomes the reference point.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Define objectives and alternative set before headline economics dominate.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Status quo bias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Familiarity is mistaken for safety.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Model the future cost and risk of staying.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Confirmation bias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advisor seeks evidence supporting an emerging favorite.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Prepare a challenge case and strongest opposing argument.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Social proof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Peer moves or industry trends substitute for personal fit.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Return to the advisor's own priorities and constraints.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Overconfidence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advisor underestimates implementation, client or team risk.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Use downside cases and evidence-based readiness gates.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Ambiguity avoidance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The advisor chooses the path that feels easier to understand.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Clarify unknowns instead of rewarding the least examined option.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Identity attachment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Professional identity becomes fused with a firm, model or historical success.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Separate what the advisor values from the structure currently delivering it.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5. Decision Standards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following standards apply to every Decision Card and every VYNE recommendation.</w:t>
      </w:r>
    </w:p>
    <w:p>
      <w:pPr>
        <w:pStyle w:val="ListNumber"/>
        <w:spacing w:after="60"/>
      </w:pPr>
      <w:r>
        <w:t>Define the decision before evaluating destinations.</w:t>
      </w:r>
    </w:p>
    <w:p>
      <w:pPr>
        <w:pStyle w:val="ListNumber"/>
        <w:spacing w:after="60"/>
      </w:pPr>
      <w:r>
        <w:t>Protect what is working before solving what is not.</w:t>
      </w:r>
    </w:p>
    <w:p>
      <w:pPr>
        <w:pStyle w:val="ListNumber"/>
        <w:spacing w:after="60"/>
      </w:pPr>
      <w:r>
        <w:t>Define the future before comparing offers.</w:t>
      </w:r>
    </w:p>
    <w:p>
      <w:pPr>
        <w:pStyle w:val="ListNumber"/>
        <w:spacing w:after="60"/>
      </w:pPr>
      <w:r>
        <w:t>Include staying, strengthening and waiting when credible.</w:t>
      </w:r>
    </w:p>
    <w:p>
      <w:pPr>
        <w:pStyle w:val="ListNumber"/>
        <w:spacing w:after="60"/>
      </w:pPr>
      <w:r>
        <w:t>Separate verified facts from reported claims and assumptions.</w:t>
      </w:r>
    </w:p>
    <w:p>
      <w:pPr>
        <w:pStyle w:val="ListNumber"/>
        <w:spacing w:after="60"/>
      </w:pPr>
      <w:r>
        <w:t>Model downside, not only expected or best-case results.</w:t>
      </w:r>
    </w:p>
    <w:p>
      <w:pPr>
        <w:pStyle w:val="ListNumber"/>
        <w:spacing w:after="60"/>
      </w:pPr>
      <w:r>
        <w:t>Treat clients, team, family and implementation as decision variables.</w:t>
      </w:r>
    </w:p>
    <w:p>
      <w:pPr>
        <w:pStyle w:val="ListNumber"/>
        <w:spacing w:after="60"/>
      </w:pPr>
      <w:r>
        <w:t>Disclose material VYNE and third-party economic conflicts.</w:t>
      </w:r>
    </w:p>
    <w:p>
      <w:pPr>
        <w:pStyle w:val="ListNumber"/>
        <w:spacing w:after="60"/>
      </w:pPr>
      <w:r>
        <w:t>Do not use a score to replace accountable judgment.</w:t>
      </w:r>
    </w:p>
    <w:p>
      <w:pPr>
        <w:pStyle w:val="ListNumber"/>
        <w:spacing w:after="60"/>
      </w:pPr>
      <w:r>
        <w:t>Document what could change the recommendation.</w:t>
      </w:r>
    </w:p>
    <w:p>
      <w:pPr>
        <w:pStyle w:val="Heading1"/>
        <w:pBdr>
          <w:bottom w:val="single" w:sz="10" w:space="6" w:color="B48A35"/>
        </w:pBdr>
      </w:pPr>
      <w:r>
        <w:t>6. Founding Decision Taxonomy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taxonomy allows VYNE to organize the Library without forcing every advisor into a recruiting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Decision family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Illustrative decisions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Stay and strengthen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Remain, renegotiate, change local leadership, redesign service model, add staff, improve economics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Employment and affiliation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Move wirehouse, regional, independent employee, independent contractor, supported independence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Ownership and independence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Launch RIA, join RIA, hybrid structure, aggregator affiliation, custody decision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Growth and capacity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Hire, form ensemble, acquire practice, merge teams, outsource, specialize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Capital and partnership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Take minority capital, majority capital, PE, strategic partner, financing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Succession and legacy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Internal successor, family succession, external sale, staged transition, continuity plan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Team and governance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Add partner, realign ownership, change compensation, resolve role conflict, separate team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Transaction and monetization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Sell, recapitalize, merge, buy, value practice, structure earn-out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Client and platform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Change service model, add banking, alternatives, lending, family-office capabilities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Implementation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Transition planning, client communication, team communication, integration and post-decision review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7. Founding Decision Cards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Version 0.1 includes ten founding cards. These cards establish the standard that future cards must follow.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01 — Stay as Currently Structured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the advisor should remain without pursuing material internal change.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Stay and strengthen | High consequence | Reversible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A recruiter inquiry, temporary frustration, market disruption, leadership change or curiosity about outside economics.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advisor can distinguish transient frustration from persistent structural issues.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Current economics, platform strengths, service gaps, leadership conditions, client and team impact.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Stay-base case, cost-of-inaction case and future-state gap.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Unresolved structural friction, deteriorating service, succession risk or material economic decline.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Status quo bias, familiarity effect, sunk cost and fear of disruption.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Staying is chosen solely because comparison feels overwhelming.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is working? What will still be true in five years? What problem remains if nothing changes?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A stay decision is responsible only when the future-state gap is acceptable or intentionally accepted.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Current Reality Record, Stay Rationale, review triggers and date.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02 — Stay and Strengthen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the advisor can reach the desired future through internal change rather than external movement.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Stay and strengthen | High consequence | Partially reversible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Persistent friction that may be negotiable, service gaps, local leadership issues, team capacity or economics.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Specific problems have identifiable internal remedies and accountable owners.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Internal flexibility, leadership authority, budget, timing and prior attempts.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Current versus improved economics, capacity impact and implementation cost.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Firm-wide structural limits, non-negotiable ownership restrictions or repeated failed remediation.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Optimism bias, avoidance of difficult conversations and false equivalence between promise and commitment.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The plan depends on vague assurances or no internal decision-maker is accountable.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exactly must change? Who can authorize it? By when? What happens if it does not occur?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Written commitments, owners, dates and measurable outcomes are established.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Strengthen Plan, Internal Diligence Record and review trigger.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EF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03 — Move to Another Employee Firm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another employee platform more responsibly advances the advisor's future state.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Employment and affiliation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Platform gaps, leadership instability, compensation changes, client capability needs or cultural misalignment.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advisor's objectives are defined before specific firms are compared.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Platform capability, compensation, deferred treatment, transition terms, legal conditions, client fit and team support.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Stay versus move income, deal schedule, deferred loss, client transfer and long-term wealth.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Client portability, team division, restrictive obligations, implementation complexity and contingent economics.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Anchoring on upfront deal, social proof and problem substitution.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A target firm is selected before the strongest stay case and at least one alternative are evaluated.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becomes possible there that cannot be achieved here? What is being sacrificed? What must be documented?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Decision-changing claims are verified and downside scenarios remain acceptable.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Firm Comparison, Economic Model, Constraint Map and Decision Record.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E9E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04 — Supported Independence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the advisor should pursue greater ownership and control within a supported platform.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Ownership and independence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Desire for enterprise value, flexibility and control without building every capability alone.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advisor wants ownership but values platform support and accepts business responsibility.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Payout, expenses, services, ownership rights, exit provisions, technology, supervision and capital needs.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Net income, overhead, enterprise value, startup cost, transfer rate and downside liquidity.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Low operational readiness, limited team depth, insufficient capital or misunderstood support boundaries.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Overweighting payout and underweighting operating complexity.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The advisor treats 1099 payout as net economics.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Which responsibilities do you want to own? Which must remain supported? What is the real cost of that support?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Business-owner readiness and support boundaries are explicit.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Independence Readiness Profile, Economic Model and Operating Responsibility Map.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05 — Launch or Join an RIA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full or substantial RIA ownership is the right path.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Ownership and independence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Control, enterprise value, fiduciary alignment, technology choice or dissatisfaction with platform restrictions.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advisor accepts governance, compliance, operating and capital responsibilities.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Custody, compliance, technology, staffing, contracts, financing, client needs and ownership design.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RIA P&amp;L, startup and working capital, transfer, enterprise value and downside runway.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Underestimated operating burden, weak compliance infrastructure, partner misalignment or inadequate capital.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Control illusion, overconfidence and platform-cost simplification.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Independence is framed only as higher payout.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business are you prepared to build? What must remain true when markets decline? Who owns each operating function?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Operating model, governance, capital and client transition plan are credible.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RIA Readiness Assessment, Operating Model, Capital Plan and Decision Record.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06 — Acquire a Practice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an acquisition creates responsible strategic and economic value.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Growth and transaction | High consequence | Partially reversible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Growth ambition, succession opportunity, geographic expansion or team leverage.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buyer has integration capacity and a clear acquisition thesis.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Revenue quality, client concentration, retention, staff, contracts, seller role, financing and cultural fit.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Purchase price, debt service, retention sensitivity, earn-out, integration costs and break-even.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Capacity limits, client mismatch, weak diligence, seller dependence and financing risk.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Growth optimism, deal momentum and underestimating integration.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The acquisition only works under near-perfect retention.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must be true after closing for this to be a good deal? Who integrates the clients and team?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Downside retention and integration cases remain financeable and operationally credible.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Acquisition Scorecard, Valuation Model, Integration Plan and Decision Record.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EFD9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07 — Merge with Another Team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combining teams improves capability, economics, succession and client outcomes.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Growth and governance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Scale needs, complementary capabilities, succession, leadership burden or geographic opportunity.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Strategic rationale exists beyond shared overhead or personal chemistry.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Roles, ownership, compensation, governance, client segmentation, brand and conflict resolution.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Combined P&amp;L, ownership economics, capacity and partner exit scenarios.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Ambiguous authority, unequal expectations, culture conflict and client ownership disputes.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Halo effect, conflict avoidance and optimism about governance.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Difficult decisions are deferred until after the merger.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Who decides when you disagree? How is value created and divided? How does someone leave?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Governance, economics, roles and exit provisions are documented before commitment.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Merger Thesis, Governance Map, Combined Economics and Decision Record.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E9E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08 — Sell or Monetize the Practice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and how the advisor should convert business value into liquidity or succession.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Transaction and succession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Retirement, fatigue, concentration, health, family priorities, market opportunity or capital proposal.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advisor understands the difference between headline valuation and realized after-tax value.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Valuation basis, buyer quality, payment security, earn-out, employment, client continuity and tax treatment.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Cash and contingent proceeds, taxes, note risk, employment income and alternative timing.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Buyer financing, retention conditions, earn-out dependence, identity transition and client fit.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Headline multiple anchoring, scarcity and urgency distortion.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Most value is contingent on conditions the advisor cannot control.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are you selling? What are you retaining? What happens if the buyer underperforms?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Realized value, risk transfer and post-transaction role are understood.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Sale Comparison, Proceeds Model, Risk Map and Decision Record.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09 — Internal or Family Succession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ownership and leadership should transition internally or to family.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Succession and governance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Retirement horizon, continuity needs, next-generation interest or key-person dependency.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Successor readiness and founder willingness to transfer authority can be evaluated honestly.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Capability, client trust, economics, ownership funding, timing, governance and family dynamics.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Purchase funding, compensation, cash flow, ownership transfer and contingency.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Role ambiguity, entitlement, financing weakness, unequal family expectations and delayed authority.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Legacy bias, optimism and avoidance of difficult performance assessment.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Relationship is treated as evidence of successor capability.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Would this successor be selected without the relationship? When does authority actually transfer?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Capability, economics, governance and fallback plan are credible.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Successor Readiness Assessment, Ownership Path and Transition Plan.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E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b/>
                <w:color w:val="12233F"/>
                <w:sz w:val="26"/>
              </w:rPr>
              <w:t>CARD 10 — Take External Capital or a Strategic Partner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DECISION: </w:t>
            </w:r>
            <w:r>
              <w:rPr>
                <w:color w:val="1D2633"/>
                <w:sz w:val="18"/>
              </w:rPr>
              <w:t>Whether external capital improves the business without undermining the advisor's objectives.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TYPE: </w:t>
            </w:r>
            <w:r>
              <w:rPr>
                <w:color w:val="1D2633"/>
                <w:sz w:val="18"/>
              </w:rPr>
              <w:t>Capital and partnership | Transformational | Difficult to reverse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TYPICAL TRIGGERS: </w:t>
            </w:r>
            <w:r>
              <w:rPr>
                <w:color w:val="1D2633"/>
                <w:sz w:val="18"/>
              </w:rPr>
              <w:t>Acquisition strategy, liquidity, infrastructure investment, succession or growth acceleration.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READINESS SIGNALS: </w:t>
            </w:r>
            <w:r>
              <w:rPr>
                <w:color w:val="1D2633"/>
                <w:sz w:val="18"/>
              </w:rPr>
              <w:t>The advisor can define the specific problem capital solves.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EVIDENCE: </w:t>
            </w:r>
            <w:r>
              <w:rPr>
                <w:color w:val="1D2633"/>
                <w:sz w:val="18"/>
              </w:rPr>
              <w:t>Valuation, governance rights, liquidity, control, return expectations, time horizon and exit provisions.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REQUIRED MODELS: </w:t>
            </w:r>
            <w:r>
              <w:rPr>
                <w:color w:val="1D2633"/>
                <w:sz w:val="18"/>
              </w:rPr>
              <w:t>Ownership dilution, proceeds, growth requirements, distributions, downside and exit scenarios.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CRITICAL CONSTRAINTS: </w:t>
            </w:r>
            <w:r>
              <w:rPr>
                <w:color w:val="1D2633"/>
                <w:sz w:val="18"/>
              </w:rPr>
              <w:t>Misaligned time horizon, control transfer, growth pressure, leverage and unclear exit.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COMMON BIASES: </w:t>
            </w:r>
            <w:r>
              <w:rPr>
                <w:color w:val="1D2633"/>
                <w:sz w:val="18"/>
              </w:rPr>
              <w:t>Valuation anchoring, prestige effect and underweighting governance.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RED FLAGS: </w:t>
            </w:r>
            <w:r>
              <w:rPr>
                <w:color w:val="1D2633"/>
                <w:sz w:val="18"/>
              </w:rPr>
              <w:t>Capital is accepted before the operating use and partner rights are understood.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BEST QUESTIONS: </w:t>
            </w:r>
            <w:r>
              <w:rPr>
                <w:color w:val="1D2633"/>
                <w:sz w:val="18"/>
              </w:rPr>
              <w:t>What does the capital require the business to become? What decisions will no longer be yours?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DECISION GATE: </w:t>
            </w:r>
            <w:r>
              <w:rPr>
                <w:color w:val="1D2633"/>
                <w:sz w:val="18"/>
              </w:rPr>
              <w:t>Use of proceeds, governance and downside remain aligned with the Future-State Mandate.</w:t>
            </w:r>
          </w:p>
          <w:p>
            <w:pPr>
              <w:spacing w:after="60"/>
            </w:pPr>
            <w:r>
              <w:rPr>
                <w:b/>
                <w:color w:val="B48A35"/>
                <w:sz w:val="17"/>
              </w:rPr>
              <w:t xml:space="preserve">DELIVERABLES: </w:t>
            </w:r>
            <w:r>
              <w:rPr>
                <w:color w:val="1D2633"/>
                <w:sz w:val="18"/>
              </w:rPr>
              <w:t>Capital Partner Scorecard, Dilution Model, Governance Map and Decision Record.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8. Economic Standards Library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Economic analysis must compare long-term decision consequences rather than only headline compensation.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Model family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Minimum outputs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Required sensitivities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Stay / move compensation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Annual net income, cash received, taxable recognition, deferred loss and cumulative wealth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Transfer rate, payout, market return, taxes, backend hurdles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Independent / RIA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Revenue, payout, overhead, startup cost, working capital, owner income and enterprise value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Revenue growth, expense ratio, retention, staffing and valuation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Acquisition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Purchase price, debt service, cash flow, earn-out, integration cost and return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Retention, financing rate, growth, seller transition and margin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Sale / succession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Cash, notes, contingent payments, taxes, employment income and realized value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Default, retention, timing, tax treatment and discount rate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Capital partner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Proceeds, dilution, governance, distributions, growth requirements and exit value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Valuation, growth, leverage, exit timing and partner economics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Team / merger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Combined income, ownership, capacity, compensation and exit economics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Production, expense allocation, role changes and partner departure</w:t>
            </w:r>
          </w:p>
        </w:tc>
      </w:tr>
    </w:tbl>
    <w:p/>
    <w:p>
      <w:pPr>
        <w:pStyle w:val="ListBullet"/>
        <w:spacing w:after="60"/>
      </w:pPr>
      <w:r>
        <w:t>Every model must identify source, date, owner and assumption classification.</w:t>
      </w:r>
    </w:p>
    <w:p>
      <w:pPr>
        <w:pStyle w:val="ListBullet"/>
        <w:spacing w:after="60"/>
      </w:pPr>
      <w:r>
        <w:t>Guaranteed, contingent, estimated and modeled amounts must be visibly separated.</w:t>
      </w:r>
    </w:p>
    <w:p>
      <w:pPr>
        <w:pStyle w:val="ListBullet"/>
        <w:spacing w:after="60"/>
      </w:pPr>
      <w:r>
        <w:t>Cash flow and taxable income must not be conflated.</w:t>
      </w:r>
    </w:p>
    <w:p>
      <w:pPr>
        <w:pStyle w:val="ListBullet"/>
        <w:spacing w:after="60"/>
      </w:pPr>
      <w:r>
        <w:t>A base case without a downside case is incomplete.</w:t>
      </w:r>
    </w:p>
    <w:p>
      <w:pPr>
        <w:pStyle w:val="ListBullet"/>
        <w:spacing w:after="60"/>
      </w:pPr>
      <w:r>
        <w:t>Model precision must not exceed the quality of the inputs.</w:t>
      </w:r>
    </w:p>
    <w:p>
      <w:pPr>
        <w:pStyle w:val="ListBullet"/>
        <w:spacing w:after="60"/>
      </w:pPr>
      <w:r>
        <w:t>Advisor-facing outputs require plain-language interpretation and limitations.</w:t>
      </w:r>
    </w:p>
    <w:p>
      <w:pPr>
        <w:pStyle w:val="Heading1"/>
        <w:pBdr>
          <w:bottom w:val="single" w:sz="10" w:space="6" w:color="B48A35"/>
        </w:pBdr>
      </w:pPr>
      <w:r>
        <w:t>9. Conversation Standards Library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Conversation guides should improve judgment without turning the consultant into a scripted interviewer.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Conversation phase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Consultant objective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Failure mode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Clarify the decision and create safety for honest discussion.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Beginning with VYNE credentials or firm options.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Explore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Understand strengths, tensions, priorities and stakeholders.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Collecting facts without meaning or context.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Test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Challenge assumptions, preferences and incomplete claims respectfully.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Arguing for a predetermined conclusion.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Clarify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Separate what is known, believed, feared and still unknown.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Treating confidence as evidence.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Reflect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State what VYNE heard and invite correction.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Moving forward without shared understanding.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Gate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Explain what is complete and what remains before decision.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Advancing because the pipeline expects progress.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Confirm permission, owner and next action.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Using urgency or ambiguity to obtain commitment.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10. Case Library Standard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Case Library is where VYNE converts experience into institutional learning while protecting confidentiality.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Case field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Case ID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Anonymous identifier; no public client name.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The decision evaluated.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Context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Business size, model, team and relevant facts at an appropriately generalized level.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Framework record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Reality, Direction, Constraints and Choice.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risks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Biases, conflicts, unknowns and fragile assumptions.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Models used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Economic and operational analyses.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state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Stay, Strengthen, Prepare, Move or Continue Diligence.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Observed result and time horizon, when available.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Lesson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What VYNE should repeat, revise or avoid.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Library impact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Card or standard updated as a result.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E9E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B48A35"/>
                <w:sz w:val="17"/>
              </w:rPr>
              <w:t>CONFIDENTIALITY RULE</w:t>
            </w:r>
          </w:p>
          <w:p>
            <w:pPr>
              <w:spacing w:after="0"/>
            </w:pPr>
            <w:r>
              <w:rPr>
                <w:b/>
                <w:color w:val="12233F"/>
                <w:sz w:val="22"/>
              </w:rPr>
              <w:t>A useful case is not permission to expose an advisor. Cases must be anonymized, generalized and reviewed before training or publication.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6" w:color="B48A35"/>
        </w:pBdr>
      </w:pPr>
      <w:r>
        <w:t>11. Research Library Standard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Research should be organized around decisions, not simply firms or news.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Research object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metadata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Firm / platform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Capabilities, payout, leadership, advisor model, transition terms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Source, date, geography, confidence and limitations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Channel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Employee, independent employee, contractor, RIA, aggregator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Definition, economics, control, support and risks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factor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Custody, lending, alternatives, succession, ownership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relevance and affected cards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Market event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Merger, compensation change, leadership shift, regulation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Effective date, source quality and potential advisor impact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Claim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Specific representation requiring verification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Claim owner, evidence status and decision impact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12. Implementation Library Standard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A decision is incomplete until VYNE can describe how it becomes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Implementation module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contents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Transition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Timeline, roles, permissions, client segmentation, documents and risk controls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Stay and strengthen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Commitments, owners, measures, review date and failure trigger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Acquisition integration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Client, team, systems, brand, compensation and governance workstreams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Succession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Authority transfer, ownership, communication, capability and contingency milestones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Sale / capital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Closing conditions, payment security, governance transition and post-close obligations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Post-decision review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Expected versus actual outcomes, lessons and corrective action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13. How the Library Connects to VYNE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VYNE OS object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Decision Library connection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Advisor record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Links to active decision, relevant cards and scorecard status.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Opportunity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Uses commercial pipeline stages but references decision readiness separately.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Meeting type links to conversation standard and required outputs.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Links to the applicable economic standard and version.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Firm submission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Requires permission and the relevant decision card.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Task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Can be generated from decision gates, diligence items and implementation modules.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Document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Classified as evidence, model, advisor deliverable, legal review or internal note.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Outcome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Feeds anonymized learning into the Case Library.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14. How the Library Connects to Advisor Studio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Advisor Studio area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Decision Library use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Journey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Shows decision stage and readiness without exposing internal pipeline data.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My Priorities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Publishes the Future-State Mandate and non-negotiables.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Options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Displays only approved alternatives relevant to the active Decision Card.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Models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Uses the canonical economic standard for that decision.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Open Questions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Shows unresolved diligence items that affect readiness.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Scorecard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Displays completeness, not a recommendation score.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Record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Publishes reasoning, trade-offs, conditions and ownership.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Action Path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Uses the applicable implementation module.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15. AI and Agent Use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Decision Library should become the primary retrieval source for future VYNE agents.</w:t>
      </w:r>
    </w:p>
    <w:p>
      <w:pPr>
        <w:pStyle w:val="ListBullet"/>
        <w:spacing w:after="60"/>
      </w:pPr>
      <w:r>
        <w:t>Agents may identify the relevant Decision Card based on advisor context.</w:t>
      </w:r>
    </w:p>
    <w:p>
      <w:pPr>
        <w:pStyle w:val="ListBullet"/>
        <w:spacing w:after="60"/>
      </w:pPr>
      <w:r>
        <w:t>Agents may prepare questions, checklists, missing-evidence lists and draft model inputs.</w:t>
      </w:r>
    </w:p>
    <w:p>
      <w:pPr>
        <w:pStyle w:val="ListBullet"/>
        <w:spacing w:after="60"/>
      </w:pPr>
      <w:r>
        <w:t>Agents may compare current work against canonical standards and flag omissions.</w:t>
      </w:r>
    </w:p>
    <w:p>
      <w:pPr>
        <w:pStyle w:val="ListBullet"/>
        <w:spacing w:after="60"/>
      </w:pPr>
      <w:r>
        <w:t>Agents may not convert a card into an automatic recommendation.</w:t>
      </w:r>
    </w:p>
    <w:p>
      <w:pPr>
        <w:pStyle w:val="ListBullet"/>
        <w:spacing w:after="60"/>
      </w:pPr>
      <w:r>
        <w:t>Agents must distinguish canonical standards from provisional or incubator content.</w:t>
      </w:r>
    </w:p>
    <w:p>
      <w:pPr>
        <w:pStyle w:val="ListBullet"/>
        <w:spacing w:after="60"/>
      </w:pPr>
      <w:r>
        <w:t>Any external advisor output requires human review and controlled publication.</w:t>
      </w:r>
    </w:p>
    <w:p>
      <w:pPr>
        <w:pStyle w:val="Heading1"/>
        <w:pBdr>
          <w:bottom w:val="single" w:sz="10" w:space="6" w:color="B48A35"/>
        </w:pBdr>
      </w:pPr>
      <w:r>
        <w:t>16. Library Contribution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31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1. Observe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Capture a repeated issue, new decision type, model need or case lesson.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Consultant / founder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2. Classify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Determine whether it belongs in science, standards, card, model, case, research or implementation.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Library steward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3. Draft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Use the canonical template and document sources or original rationale.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Assigned owner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4. Challenge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Test against contradictory cases, commercial incentives and legal boundaries.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Reviewer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5. Pilot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Use provisionally in controlled engagements.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Engagement owner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6. Approve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Assign canonical status, version and review date.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Founder / governance owner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7. Train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Incorporate into consultant training and systems.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Operations</w:t>
            </w:r>
          </w:p>
        </w:tc>
      </w:tr>
      <w:tr>
        <w:trPr>
          <w:cantSplit/>
        </w:trP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8. Review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Assess outcomes, market changes and contradictions.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Library steward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17. Build Queue</w:t>
      </w:r>
    </w:p>
    <w:p>
      <w:pPr>
        <w:pStyle w:val="BodyText"/>
        <w:spacing w:after="120" w:line="259" w:lineRule="auto"/>
      </w:pPr>
      <w:r>
        <w:rPr>
          <w:b w:val="0"/>
          <w:i w:val="0"/>
        </w:rPr>
        <w:t>The Decision Library should expand in controlled waves.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Priority cards / modules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Wave 1 — Foundation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Stay, Strengthen, Employee Move, Supported Independence, RIA, Acquire, Merge, Sell, Succession, External Capital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Wave 2 — Team and ownership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Add partner, split team, compensation redesign, key-person retention, family governance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Wave 3 — Platform and capability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Custodian, banking, lending, alternatives, technology, family-office capabilities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Wave 4 — Growth and specialization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Organic growth, niche strategy, hiring, outsourcing, multi-office expansion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Wave 5 — Advanced transaction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Recapitalization, aggregator selection, minority sale, staged liquidity, roll-up participation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Wave 6 — Implementation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Transition, integration, client communication, team communication and post-decision review</w:t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18. Immediate Next Production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8F0EA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B48A35"/>
                <w:sz w:val="17"/>
              </w:rPr>
              <w:t>RECOMMENDED NEXT ARTIFACT</w:t>
            </w:r>
          </w:p>
          <w:p>
            <w:pPr>
              <w:spacing w:after="0"/>
            </w:pPr>
            <w:r>
              <w:rPr>
                <w:b/>
                <w:color w:val="12233F"/>
                <w:sz w:val="22"/>
              </w:rPr>
              <w:t>Build the Advisor Deliverables Toolkit before the CRM specification. It will turn the Framework and Decision Library into the actual Current Reality Record, Future-State Mandate, VYNE's 9 Profile, Constraint Map, Alternative Comparison, Decision Scorecard, Decision Record and Action Path.</w:t>
            </w:r>
          </w:p>
        </w:tc>
      </w:tr>
    </w:tbl>
    <w:p>
      <w:pPr>
        <w:spacing w:after="20"/>
      </w:pPr>
    </w:p>
    <w:p>
      <w:pPr>
        <w:pStyle w:val="BodyText"/>
        <w:spacing w:after="120" w:line="259" w:lineRule="auto"/>
      </w:pPr>
      <w:r>
        <w:rPr>
          <w:b w:val="0"/>
          <w:i w:val="0"/>
        </w:rPr>
        <w:t>That toolkit will also define the exact outputs the modeling workspace must generate and the exact artifacts that VYNE OS stores and Advisor Studio publishes.</w:t>
      </w:r>
    </w:p>
    <w:p>
      <w:r>
        <w:br w:type="page"/>
      </w:r>
    </w:p>
    <w:p>
      <w:pPr>
        <w:pStyle w:val="Heading1"/>
        <w:pBdr>
          <w:bottom w:val="single" w:sz="10" w:space="6" w:color="B48A35"/>
        </w:pBdr>
      </w:pPr>
      <w:r>
        <w:t>Appendix A — Blank Decision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type / consequence / reversibility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Typical triggers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Future-state relevance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Readiness signals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Required evidence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Required models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Critical constraints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Common biases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Red flags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Best questions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Decision gates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Required deliverables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Related decisions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Implementation path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Appendix B — Decision Completeness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</w:trPr>
        <w:tc>
          <w:tcPr>
            <w:tcW w:type="dxa" w:w="1999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999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999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Evidence / open issue</w:t>
            </w:r>
          </w:p>
        </w:tc>
        <w:tc>
          <w:tcPr>
            <w:tcW w:type="dxa" w:w="1999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999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Review date</w:t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Current Reality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Future State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Constraints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Client Impact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Team Alignment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Economics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Legal / Regulatory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Diligence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Alternative Set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  <w:t>Decision Ownership</w:t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199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Appendix C — Library Item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97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entry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Item ID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Library type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Incubator / Provisional / Canonical / Superseded / Retired</w:t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Review date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Problem solved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Related items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Sources / rationale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Change summary</w:t>
            </w:r>
          </w:p>
        </w:tc>
        <w:tc>
          <w:tcPr>
            <w:tcW w:type="dxa" w:w="499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Appendix D —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498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98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8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98"/>
            <w:shd w:fill="1223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Summary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July 2026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Founding architecture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  <w:t>Establishes Decision Library governance, Decision Card standard, completeness scorecard, decision science, founding taxonomy, ten founding cards, model standards, conversation standards and system integrations.</w:t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  <w:pBdr>
          <w:bottom w:val="single" w:sz="10" w:space="6" w:color="B48A35"/>
        </w:pBdr>
      </w:pPr>
      <w:r>
        <w:t>Closing Standard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12233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INSTITUTIONAL TEST</w:t>
            </w:r>
          </w:p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The Library is valuable only when it helps VYNE reach a clearer, more complete and more defensible decision than personality, memory or sales instinct would produce.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25066"/>
        <w:sz w:val="16"/>
      </w:rPr>
      <w:t xml:space="preserve">VYNE STRATEGIES  |  VOLUME IV — DECISION LIBRARY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D2633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