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8A35"/>
          <w:sz w:val="24"/>
        </w:rPr>
        <w:t>V Y N E   S T R A T E G I E S</w:t>
        <w:br/>
      </w:r>
      <w:r>
        <w:rPr>
          <w:b/>
          <w:color w:val="425066"/>
          <w:sz w:val="26"/>
        </w:rPr>
        <w:t>VOLUME V</w:t>
        <w:br/>
      </w:r>
      <w:r>
        <w:rPr>
          <w:b/>
          <w:color w:val="12233F"/>
          <w:sz w:val="56"/>
        </w:rPr>
        <w:t>ADVISOR DELIVERABLES TOOLKIT</w:t>
      </w:r>
    </w:p>
    <w:p>
      <w:pPr>
        <w:jc w:val="center"/>
      </w:pPr>
      <w:r>
        <w:rPr>
          <w:color w:val="214E3B"/>
          <w:sz w:val="24"/>
        </w:rPr>
        <w:t>Branded templates that every VYNE advisor engagement produces.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toolkit defines the advisor-facing documents that represent the VYNE experience. Every deliverable should carry consistent VYNE branding, version control, and a concise executive presentation style.</w:t>
      </w:r>
    </w:p>
    <w:p>
      <w:pPr>
        <w:pStyle w:val="Heading1"/>
      </w:pPr>
      <w:r>
        <w:t>VYNE Brand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Element</w:t>
            </w:r>
          </w:p>
        </w:tc>
        <w:tc>
          <w:tcPr>
            <w:tcW w:type="dxa" w:w="5112"/>
          </w:tcPr>
          <w:p>
            <w:r>
              <w:t>Standard</w:t>
            </w:r>
          </w:p>
        </w:tc>
      </w:tr>
      <w:tr>
        <w:tc>
          <w:tcPr>
            <w:tcW w:type="dxa" w:w="5112"/>
          </w:tcPr>
          <w:p>
            <w:r>
              <w:t>Primary colors</w:t>
            </w:r>
          </w:p>
        </w:tc>
        <w:tc>
          <w:tcPr>
            <w:tcW w:type="dxa" w:w="5112"/>
          </w:tcPr>
          <w:p>
            <w:r>
              <w:t>Navy (#12233F), Forest (#214E3B), Gold (#B48A35), White</w:t>
            </w:r>
          </w:p>
        </w:tc>
      </w:tr>
      <w:tr>
        <w:tc>
          <w:tcPr>
            <w:tcW w:type="dxa" w:w="5112"/>
          </w:tcPr>
          <w:p>
            <w:r>
              <w:t>Typography</w:t>
            </w:r>
          </w:p>
        </w:tc>
        <w:tc>
          <w:tcPr>
            <w:tcW w:type="dxa" w:w="5112"/>
          </w:tcPr>
          <w:p>
            <w:r>
              <w:t>Aptos Display headings, Aptos body</w:t>
            </w:r>
          </w:p>
        </w:tc>
      </w:tr>
      <w:tr>
        <w:tc>
          <w:tcPr>
            <w:tcW w:type="dxa" w:w="5112"/>
          </w:tcPr>
          <w:p>
            <w:r>
              <w:t>Cover</w:t>
            </w:r>
          </w:p>
        </w:tc>
        <w:tc>
          <w:tcPr>
            <w:tcW w:type="dxa" w:w="5112"/>
          </w:tcPr>
          <w:p>
            <w:r>
              <w:t>Minimalist, centered logo, generous whitespace</w:t>
            </w:r>
          </w:p>
        </w:tc>
      </w:tr>
      <w:tr>
        <w:tc>
          <w:tcPr>
            <w:tcW w:type="dxa" w:w="5112"/>
          </w:tcPr>
          <w:p>
            <w:r>
              <w:t>Footer</w:t>
            </w:r>
          </w:p>
        </w:tc>
        <w:tc>
          <w:tcPr>
            <w:tcW w:type="dxa" w:w="5112"/>
          </w:tcPr>
          <w:p>
            <w:r>
              <w:t>Confidential • Advisor Name • Version • Date • Page</w:t>
            </w:r>
          </w:p>
        </w:tc>
      </w:tr>
      <w:tr>
        <w:tc>
          <w:tcPr>
            <w:tcW w:type="dxa" w:w="5112"/>
          </w:tcPr>
          <w:p>
            <w:r>
              <w:t>Tone</w:t>
            </w:r>
          </w:p>
        </w:tc>
        <w:tc>
          <w:tcPr>
            <w:tcW w:type="dxa" w:w="5112"/>
          </w:tcPr>
          <w:p>
            <w:r>
              <w:t>Objective, evidence-based, executive quality</w:t>
            </w:r>
          </w:p>
        </w:tc>
      </w:tr>
      <w:tr>
        <w:tc>
          <w:tcPr>
            <w:tcW w:type="dxa" w:w="5112"/>
          </w:tcPr>
          <w:p>
            <w:r>
              <w:t>Charts</w:t>
            </w:r>
          </w:p>
        </w:tc>
        <w:tc>
          <w:tcPr>
            <w:tcW w:type="dxa" w:w="5112"/>
          </w:tcPr>
          <w:p>
            <w:r>
              <w:t>Simple, consistent colors, avoid unnecessary decoration</w:t>
            </w:r>
          </w:p>
        </w:tc>
      </w:tr>
    </w:tbl>
    <w:p>
      <w:pPr>
        <w:pStyle w:val="Heading2"/>
      </w:pPr>
      <w:r>
        <w:t>1. Current Reality Record</w:t>
      </w:r>
    </w:p>
    <w:p>
      <w:r>
        <w:t>Snapshot of today's business, strengths, risks, economics and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2"/>
      </w:pPr>
      <w:r>
        <w:t>2. Future-State Mandate</w:t>
      </w:r>
    </w:p>
    <w:p>
      <w:r>
        <w:t>Prioritized objectives, non-negotiables and success definition.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2"/>
      </w:pPr>
      <w:r>
        <w:t>3. VYNE's 9 Profile</w:t>
      </w:r>
    </w:p>
    <w:p>
      <w:r>
        <w:t>Structured assessment across the nine dimensions.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2"/>
      </w:pPr>
      <w:r>
        <w:t>4. Constraint Map</w:t>
      </w:r>
    </w:p>
    <w:p>
      <w:r>
        <w:t>Decision barriers ranked by importance and controllability.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2"/>
      </w:pPr>
      <w:r>
        <w:t>5. Alternative Comparison</w:t>
      </w:r>
    </w:p>
    <w:p>
      <w:r>
        <w:t>Consistent side-by-side evaluation of viable paths.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2"/>
      </w:pPr>
      <w:r>
        <w:t>6. Decision Completeness Scorecard</w:t>
      </w:r>
    </w:p>
    <w:p>
      <w:r>
        <w:t>Shows readiness—not recommendation.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2"/>
      </w:pPr>
      <w:r>
        <w:t>7. Economic Modeling Report</w:t>
      </w:r>
    </w:p>
    <w:p>
      <w:r>
        <w:t>Cash flow, taxes, ownership, enterprise value and scenario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2"/>
      </w:pPr>
      <w:r>
        <w:t>8. Decision Record</w:t>
      </w:r>
    </w:p>
    <w:p>
      <w:r>
        <w:t>Recommendation, trade-offs, assumptions and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2"/>
      </w:pPr>
      <w:r>
        <w:t>9. Action Path</w:t>
      </w:r>
    </w:p>
    <w:p>
      <w:r>
        <w:t>90-day implementation roadmap with milestones and owners.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One-page overview for advisor</w:t>
            </w:r>
          </w:p>
        </w:tc>
      </w:tr>
      <w:tr>
        <w:tc>
          <w:tcPr>
            <w:tcW w:type="dxa" w:w="5112"/>
          </w:tcPr>
          <w:p>
            <w:r>
              <w:t>Key Findings</w:t>
            </w:r>
          </w:p>
        </w:tc>
        <w:tc>
          <w:tcPr>
            <w:tcW w:type="dxa" w:w="5112"/>
          </w:tcPr>
          <w:p>
            <w:r>
              <w:t>Evidence-based observations</w:t>
            </w:r>
          </w:p>
        </w:tc>
      </w:tr>
      <w:tr>
        <w:tc>
          <w:tcPr>
            <w:tcW w:type="dxa" w:w="5112"/>
          </w:tcPr>
          <w:p>
            <w:r>
              <w:t>Supporting Analysis</w:t>
            </w:r>
          </w:p>
        </w:tc>
        <w:tc>
          <w:tcPr>
            <w:tcW w:type="dxa" w:w="5112"/>
          </w:tcPr>
          <w:p>
            <w:r>
              <w:t>Charts, models, assumptions</w:t>
            </w:r>
          </w:p>
        </w:tc>
      </w:tr>
      <w:tr>
        <w:tc>
          <w:tcPr>
            <w:tcW w:type="dxa" w:w="5112"/>
          </w:tcPr>
          <w:p>
            <w:r>
              <w:t>Recommendations</w:t>
            </w:r>
          </w:p>
        </w:tc>
        <w:tc>
          <w:tcPr>
            <w:tcW w:type="dxa" w:w="5112"/>
          </w:tcPr>
          <w:p>
            <w:r>
              <w:t>Objective guidance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Owner, timing and decision gate</w:t>
            </w:r>
          </w:p>
        </w:tc>
      </w:tr>
    </w:tbl>
    <w:p>
      <w:pPr>
        <w:pStyle w:val="Heading3"/>
      </w:pPr>
      <w:r>
        <w:t>Branding notes:</w:t>
      </w:r>
    </w:p>
    <w:p>
      <w:r>
        <w:t>• Cover page with VYNE title treatment</w:t>
        <w:br/>
        <w:t>• Navy section dividers</w:t>
        <w:br/>
        <w:t>• Gold accent rules</w:t>
        <w:br/>
        <w:t>• Executive summary first</w:t>
        <w:br/>
        <w:t>• Print-ready PDF format</w:t>
      </w:r>
    </w:p>
    <w:p>
      <w:pPr>
        <w:pStyle w:val="Heading1"/>
      </w:pPr>
      <w:r>
        <w:t>Presentation Standards</w:t>
      </w:r>
    </w:p>
    <w:p>
      <w:pPr>
        <w:pStyle w:val="ListBullet"/>
      </w:pPr>
      <w:r>
        <w:t>Every report begins with a one-page executive summary.</w:t>
      </w:r>
    </w:p>
    <w:p>
      <w:pPr>
        <w:pStyle w:val="ListBullet"/>
      </w:pPr>
      <w:r>
        <w:t>Every recommendation identifies assumptions and uncertainties.</w:t>
      </w:r>
    </w:p>
    <w:p>
      <w:pPr>
        <w:pStyle w:val="ListBullet"/>
      </w:pPr>
      <w:r>
        <w:t>Every model separates guaranteed, contingent and estimated values.</w:t>
      </w:r>
    </w:p>
    <w:p>
      <w:pPr>
        <w:pStyle w:val="ListBullet"/>
      </w:pPr>
      <w:r>
        <w:t>Every document contains version number and preparation date.</w:t>
      </w:r>
    </w:p>
    <w:p>
      <w:pPr>
        <w:pStyle w:val="ListBullet"/>
      </w:pPr>
      <w:r>
        <w:t>No internal CRM notes or recruiter compensation appear in advisor reports.</w:t>
      </w:r>
    </w:p>
    <w:p>
      <w:pPr>
        <w:pStyle w:val="Heading1"/>
      </w:pPr>
      <w:r>
        <w:t>Future Digital Experience</w:t>
      </w:r>
    </w:p>
    <w:p>
      <w:r>
        <w:t>Each document should ultimately be generated automatically from VYNE OS and published into Advisor Studio. The branded PDF becomes both the advisor deliverable and the permanent engagement record.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