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A97C50"/>
          <w:sz w:val="22"/>
        </w:rPr>
        <w:t>V Y N E   S T R A T E G I E S</w:t>
      </w:r>
    </w:p>
    <w:p>
      <w:pPr>
        <w:jc w:val="center"/>
      </w:pPr>
      <w:r>
        <w:rPr>
          <w:rFonts w:ascii="Aptos Display" w:hAnsi="Aptos Display"/>
          <w:b/>
          <w:color w:val="12233F"/>
          <w:sz w:val="60"/>
        </w:rPr>
        <w:t>Canonical Architecture &amp; Language Guide</w:t>
      </w:r>
    </w:p>
    <w:p>
      <w:pPr>
        <w:jc w:val="center"/>
      </w:pPr>
      <w:r>
        <w:rPr>
          <w:color w:val="3D495B"/>
          <w:sz w:val="28"/>
        </w:rPr>
        <w:t>The control layer for a coherent institution</w:t>
      </w:r>
    </w:p>
    <w:tbl>
      <w:tblPr>
        <w:tblW w:type="auto" w:w="0"/>
        <w:jc w:val="center"/>
        <w:tblLook w:firstColumn="1" w:firstRow="1" w:lastColumn="0" w:lastRow="0" w:noHBand="0" w:noVBand="1" w:val="04A0"/>
      </w:tblPr>
      <w:tblGrid>
        <w:gridCol w:w="9936"/>
      </w:tblGrid>
      <w:tr>
        <w:tc>
          <w:tcPr>
            <w:tcW w:type="dxa" w:w="9936"/>
            <w:shd w:fill="F5F1E8"/>
          </w:tcPr>
          <w:p>
            <w:r/>
          </w:p>
          <w:p>
            <w:r>
              <w:rPr>
                <w:b/>
                <w:color w:val="A97C50"/>
                <w:sz w:val="18"/>
              </w:rPr>
              <w:t>GOVERNING PRINCIPLE</w:t>
            </w:r>
          </w:p>
          <w:p>
            <w:r>
              <w:rPr>
                <w:b/>
                <w:color w:val="12233F"/>
                <w:sz w:val="22"/>
              </w:rPr>
              <w:t>VYNE exists to improve the quality of consequential career and business decisions made by financial advisors.</w:t>
            </w:r>
          </w:p>
        </w:tc>
      </w:tr>
    </w:tbl>
    <w:p/>
    <w:p>
      <w:pPr>
        <w:spacing w:before="1500"/>
        <w:jc w:val="center"/>
      </w:pPr>
      <w:r>
        <w:rPr>
          <w:b/>
          <w:color w:val="8B2E2E"/>
          <w:sz w:val="18"/>
        </w:rPr>
        <w:t>VERSION 0.1  |  JULY 2026  |  CONFIDENTIAL — INTERNAL USE ONLY</w:t>
      </w:r>
    </w:p>
    <w:p>
      <w:r>
        <w:br w:type="page"/>
      </w:r>
    </w:p>
    <w:p>
      <w:pPr>
        <w:pStyle w:val="Heading1"/>
        <w:pBdr>
          <w:bottom w:val="single" w:sz="10" w:space="6" w:color="A97C50"/>
        </w:pBdr>
      </w:pPr>
      <w:r>
        <w:rPr>
          <w:rFonts w:ascii="Aptos Display" w:hAnsi="Aptos Display"/>
          <w:color w:val="12233F"/>
        </w:rPr>
        <w:t>1. Why This Guide Exists</w:t>
      </w:r>
    </w:p>
    <w:p>
      <w:pPr>
        <w:pStyle w:val="BodyText"/>
        <w:spacing w:after="120" w:line="259" w:lineRule="auto"/>
      </w:pPr>
      <w:r>
        <w:rPr>
          <w:b w:val="0"/>
        </w:rPr>
        <w:t>VYNE has enough ideas, frameworks, policies, technology specifications and brand work to create institutional strength—or institutional confusion. This guide establishes the control layer. It determines which concepts sit above others, which language VYNE uses, which language it avoids, and how future work is evaluated before it becomes part of the company.</w:t>
      </w:r>
    </w:p>
    <w:tbl>
      <w:tblPr>
        <w:tblW w:type="auto" w:w="0"/>
        <w:jc w:val="center"/>
        <w:tblLook w:firstColumn="1" w:firstRow="1" w:lastColumn="0" w:lastRow="0" w:noHBand="0" w:noVBand="1" w:val="04A0"/>
      </w:tblPr>
      <w:tblGrid>
        <w:gridCol w:w="9936"/>
      </w:tblGrid>
      <w:tr>
        <w:tc>
          <w:tcPr>
            <w:tcW w:type="dxa" w:w="9936"/>
            <w:shd w:fill="F5F1E8"/>
          </w:tcPr>
          <w:p>
            <w:r/>
          </w:p>
          <w:p>
            <w:r>
              <w:rPr>
                <w:b/>
                <w:color w:val="A97C50"/>
                <w:sz w:val="18"/>
              </w:rPr>
              <w:t>THE DISCIPLINE</w:t>
            </w:r>
          </w:p>
          <w:p>
            <w:r>
              <w:rPr>
                <w:b/>
                <w:color w:val="12233F"/>
                <w:sz w:val="22"/>
              </w:rPr>
              <w:t>No new framework, product, page, agent, policy or campaign becomes canonical merely because it is compelling. It must fit the architecture, improve decision quality and strengthen trust.</w:t>
            </w:r>
          </w:p>
        </w:tc>
      </w:tr>
    </w:tbl>
    <w:p/>
    <w:p>
      <w:pPr>
        <w:pStyle w:val="Heading1"/>
        <w:pBdr>
          <w:bottom w:val="single" w:sz="10" w:space="6" w:color="A97C50"/>
        </w:pBdr>
      </w:pPr>
      <w:r>
        <w:rPr>
          <w:rFonts w:ascii="Aptos Display" w:hAnsi="Aptos Display"/>
          <w:color w:val="12233F"/>
        </w:rPr>
        <w:t>2. Permanent Definition of VYNE</w:t>
      </w:r>
    </w:p>
    <w:p>
      <w:pPr>
        <w:pStyle w:val="Heading2"/>
      </w:pPr>
      <w:r>
        <w:rPr>
          <w:rFonts w:ascii="Aptos Display" w:hAnsi="Aptos Display"/>
          <w:color w:val="12233F"/>
        </w:rPr>
        <w:t>2.1 Purpose</w:t>
      </w:r>
    </w:p>
    <w:p>
      <w:pPr>
        <w:pStyle w:val="BodyText"/>
        <w:spacing w:after="120" w:line="259" w:lineRule="auto"/>
      </w:pPr>
      <w:r>
        <w:rPr>
          <w:b/>
        </w:rPr>
        <w:t>VYNE exists to improve the quality of consequential career and business decisions made by financial advisors.</w:t>
      </w:r>
    </w:p>
    <w:p>
      <w:pPr>
        <w:pStyle w:val="Heading2"/>
      </w:pPr>
      <w:r>
        <w:rPr>
          <w:rFonts w:ascii="Aptos Display" w:hAnsi="Aptos Display"/>
          <w:color w:val="12233F"/>
        </w:rPr>
        <w:t>2.2 Institutional Positioning</w:t>
      </w:r>
    </w:p>
    <w:p>
      <w:pPr>
        <w:pStyle w:val="BodyText"/>
        <w:spacing w:after="120" w:line="259" w:lineRule="auto"/>
      </w:pPr>
      <w:r>
        <w:rPr>
          <w:b w:val="0"/>
        </w:rPr>
        <w:t>VYNE is an independent strategic advisory firm that helps financial advisors understand where they are, define what they want, evaluate available paths and act with greater clarity, evidence and conviction.</w:t>
      </w:r>
    </w:p>
    <w:p>
      <w:pPr>
        <w:pStyle w:val="Heading2"/>
      </w:pPr>
      <w:r>
        <w:rPr>
          <w:rFonts w:ascii="Aptos Display" w:hAnsi="Aptos Display"/>
          <w:color w:val="12233F"/>
        </w:rPr>
        <w:t>2.3 Brand Promise</w:t>
      </w:r>
    </w:p>
    <w:p>
      <w:pPr>
        <w:pStyle w:val="BodyText"/>
        <w:spacing w:after="120" w:line="259" w:lineRule="auto"/>
      </w:pPr>
      <w:r>
        <w:rPr>
          <w:b/>
        </w:rPr>
        <w:t>A better decision than the advisor would have made alone.</w:t>
      </w:r>
    </w:p>
    <w:p>
      <w:pPr>
        <w:pStyle w:val="Heading2"/>
      </w:pPr>
      <w:r>
        <w:rPr>
          <w:rFonts w:ascii="Aptos Display" w:hAnsi="Aptos Display"/>
          <w:color w:val="12233F"/>
        </w:rPr>
        <w:t>2.4 Commercial Reality</w:t>
      </w:r>
    </w:p>
    <w:p>
      <w:pPr>
        <w:pStyle w:val="BodyText"/>
        <w:spacing w:after="120" w:line="259" w:lineRule="auto"/>
      </w:pPr>
      <w:r>
        <w:rPr>
          <w:b w:val="0"/>
        </w:rPr>
        <w:t>Recruiting and placement can be important services and revenue outcomes. They do not define the institution. VYNE may recommend staying, strengthening, preparing or moving. The firm earns trust because the answer is not predetermined.</w:t>
      </w:r>
    </w:p>
    <w:p>
      <w:pPr>
        <w:pStyle w:val="Heading2"/>
      </w:pPr>
      <w:r>
        <w:rPr>
          <w:rFonts w:ascii="Aptos Display" w:hAnsi="Aptos Display"/>
          <w:color w:val="12233F"/>
        </w:rPr>
        <w:t>2.5 Technology Reality</w:t>
      </w:r>
    </w:p>
    <w:p>
      <w:pPr>
        <w:pStyle w:val="BodyText"/>
        <w:spacing w:after="120" w:line="259" w:lineRule="auto"/>
      </w:pPr>
      <w:r>
        <w:rPr>
          <w:b w:val="0"/>
        </w:rPr>
        <w:t>Technology improves rigor, responsiveness, institutional memory and scale. It remains infrastructure. VYNE should be known for how it thinks—not for which AI tools it uses.</w:t>
      </w:r>
    </w:p>
    <w:p>
      <w:pPr>
        <w:pStyle w:val="Heading1"/>
        <w:pBdr>
          <w:bottom w:val="single" w:sz="10" w:space="6" w:color="A97C50"/>
        </w:pBdr>
      </w:pPr>
      <w:r>
        <w:rPr>
          <w:rFonts w:ascii="Aptos Display" w:hAnsi="Aptos Display"/>
          <w:color w:val="12233F"/>
        </w:rPr>
        <w:t>3. Canonical Framework Hierarchy</w:t>
      </w:r>
    </w:p>
    <w:tbl>
      <w:tblPr>
        <w:tblW w:type="auto" w:w="0"/>
        <w:jc w:val="center"/>
        <w:tblLook w:firstColumn="1" w:firstRow="1" w:lastColumn="0" w:lastRow="0" w:noHBand="0" w:noVBand="1" w:val="04A0"/>
      </w:tblPr>
      <w:tblGrid>
        <w:gridCol w:w="9936"/>
      </w:tblGrid>
      <w:tr>
        <w:tc>
          <w:tcPr>
            <w:tcW w:type="dxa" w:w="9936"/>
            <w:shd w:fill="F5F1E8"/>
          </w:tcPr>
          <w:p>
            <w:r/>
          </w:p>
          <w:p>
            <w:r>
              <w:rPr>
                <w:b/>
                <w:color w:val="A97C50"/>
                <w:sz w:val="18"/>
              </w:rPr>
              <w:t>PUBLIC ARCHITECTURE</w:t>
            </w:r>
          </w:p>
          <w:p>
            <w:r>
              <w:rPr>
                <w:b/>
                <w:color w:val="12233F"/>
                <w:sz w:val="22"/>
              </w:rPr>
              <w:t>VYNE → The VYNE Framework → VYNE's 9</w:t>
            </w:r>
          </w:p>
        </w:tc>
      </w:tr>
    </w:tbl>
    <w:p/>
    <w:p>
      <w:pPr>
        <w:pStyle w:val="BodyText"/>
        <w:spacing w:after="120" w:line="259" w:lineRule="auto"/>
      </w:pPr>
      <w:r>
        <w:rPr>
          <w:b w:val="0"/>
        </w:rPr>
        <w:t>The public experience must be memorable. Advisors should not be required to understand a collection of internal frameworks before they can understand what VYNE does.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2233F"/>
          </w:tcPr>
          <w:p>
            <w:r>
              <w:rPr>
                <w:b/>
                <w:color w:val="FFFFFF"/>
                <w:sz w:val="17"/>
              </w:rPr>
              <w:t>Layer</w:t>
            </w:r>
          </w:p>
        </w:tc>
        <w:tc>
          <w:tcPr>
            <w:tcW w:type="dxa" w:w="2484"/>
            <w:shd w:fill="12233F"/>
          </w:tcPr>
          <w:p>
            <w:r>
              <w:rPr>
                <w:b/>
                <w:color w:val="FFFFFF"/>
                <w:sz w:val="17"/>
              </w:rPr>
              <w:t>Role</w:t>
            </w:r>
          </w:p>
        </w:tc>
        <w:tc>
          <w:tcPr>
            <w:tcW w:type="dxa" w:w="2484"/>
            <w:shd w:fill="12233F"/>
          </w:tcPr>
          <w:p>
            <w:r>
              <w:rPr>
                <w:b/>
                <w:color w:val="FFFFFF"/>
                <w:sz w:val="17"/>
              </w:rPr>
              <w:t>Public visibility</w:t>
            </w:r>
          </w:p>
        </w:tc>
        <w:tc>
          <w:tcPr>
            <w:tcW w:type="dxa" w:w="2484"/>
            <w:shd w:fill="12233F"/>
          </w:tcPr>
          <w:p>
            <w:r>
              <w:rPr>
                <w:b/>
                <w:color w:val="FFFFFF"/>
                <w:sz w:val="17"/>
              </w:rPr>
              <w:t>Control decision</w:t>
            </w:r>
          </w:p>
        </w:tc>
      </w:tr>
      <w:tr>
        <w:tc>
          <w:tcPr>
            <w:tcW w:type="dxa" w:w="2484"/>
          </w:tcPr>
          <w:p>
            <w:r>
              <w:rPr>
                <w:sz w:val="16"/>
              </w:rPr>
              <w:t>VYNE</w:t>
            </w:r>
          </w:p>
        </w:tc>
        <w:tc>
          <w:tcPr>
            <w:tcW w:type="dxa" w:w="2484"/>
          </w:tcPr>
          <w:p>
            <w:r>
              <w:rPr>
                <w:sz w:val="16"/>
              </w:rPr>
              <w:t>The institution and trusted advisor</w:t>
            </w:r>
          </w:p>
        </w:tc>
        <w:tc>
          <w:tcPr>
            <w:tcW w:type="dxa" w:w="2484"/>
          </w:tcPr>
          <w:p>
            <w:r>
              <w:rPr>
                <w:sz w:val="16"/>
              </w:rPr>
              <w:t>Always</w:t>
            </w:r>
          </w:p>
        </w:tc>
        <w:tc>
          <w:tcPr>
            <w:tcW w:type="dxa" w:w="2484"/>
          </w:tcPr>
          <w:p>
            <w:r>
              <w:rPr>
                <w:sz w:val="16"/>
              </w:rPr>
              <w:t>Permanent</w:t>
            </w:r>
          </w:p>
        </w:tc>
      </w:tr>
      <w:tr>
        <w:tc>
          <w:tcPr>
            <w:tcW w:type="dxa" w:w="2484"/>
          </w:tcPr>
          <w:p>
            <w:r>
              <w:rPr>
                <w:sz w:val="16"/>
              </w:rPr>
              <w:t>VYNE Framework</w:t>
            </w:r>
          </w:p>
        </w:tc>
        <w:tc>
          <w:tcPr>
            <w:tcW w:type="dxa" w:w="2484"/>
          </w:tcPr>
          <w:p>
            <w:r>
              <w:rPr>
                <w:sz w:val="16"/>
              </w:rPr>
              <w:t>The high-level decision philosophy and process</w:t>
            </w:r>
          </w:p>
        </w:tc>
        <w:tc>
          <w:tcPr>
            <w:tcW w:type="dxa" w:w="2484"/>
          </w:tcPr>
          <w:p>
            <w:r>
              <w:rPr>
                <w:sz w:val="16"/>
              </w:rPr>
              <w:t>Always</w:t>
            </w:r>
          </w:p>
        </w:tc>
        <w:tc>
          <w:tcPr>
            <w:tcW w:type="dxa" w:w="2484"/>
          </w:tcPr>
          <w:p>
            <w:r>
              <w:rPr>
                <w:sz w:val="16"/>
              </w:rPr>
              <w:t>Permanent; exact V-Y-N-E language to be finalized</w:t>
            </w:r>
          </w:p>
        </w:tc>
      </w:tr>
      <w:tr>
        <w:tc>
          <w:tcPr>
            <w:tcW w:type="dxa" w:w="2484"/>
          </w:tcPr>
          <w:p>
            <w:r>
              <w:rPr>
                <w:sz w:val="16"/>
              </w:rPr>
              <w:t>VYNE's 9</w:t>
            </w:r>
          </w:p>
        </w:tc>
        <w:tc>
          <w:tcPr>
            <w:tcW w:type="dxa" w:w="2484"/>
          </w:tcPr>
          <w:p>
            <w:r>
              <w:rPr>
                <w:sz w:val="16"/>
              </w:rPr>
              <w:t>Nine essential questions that structure consequential decisions</w:t>
            </w:r>
          </w:p>
        </w:tc>
        <w:tc>
          <w:tcPr>
            <w:tcW w:type="dxa" w:w="2484"/>
          </w:tcPr>
          <w:p>
            <w:r>
              <w:rPr>
                <w:sz w:val="16"/>
              </w:rPr>
              <w:t>Always</w:t>
            </w:r>
          </w:p>
        </w:tc>
        <w:tc>
          <w:tcPr>
            <w:tcW w:type="dxa" w:w="2484"/>
          </w:tcPr>
          <w:p>
            <w:r>
              <w:rPr>
                <w:sz w:val="16"/>
              </w:rPr>
              <w:t>Replaces Eight Questions</w:t>
            </w:r>
          </w:p>
        </w:tc>
      </w:tr>
      <w:tr>
        <w:tc>
          <w:tcPr>
            <w:tcW w:type="dxa" w:w="2484"/>
          </w:tcPr>
          <w:p>
            <w:r>
              <w:rPr>
                <w:sz w:val="16"/>
              </w:rPr>
              <w:t>ROOT / BRANCH / GROW</w:t>
            </w:r>
          </w:p>
        </w:tc>
        <w:tc>
          <w:tcPr>
            <w:tcW w:type="dxa" w:w="2484"/>
          </w:tcPr>
          <w:p>
            <w:r>
              <w:rPr>
                <w:sz w:val="16"/>
              </w:rPr>
              <w:t>Internal/client-delivery architecture for discovery, evaluation and defined post-decision support</w:t>
            </w:r>
          </w:p>
        </w:tc>
        <w:tc>
          <w:tcPr>
            <w:tcW w:type="dxa" w:w="2484"/>
          </w:tcPr>
          <w:p>
            <w:r>
              <w:rPr>
                <w:sz w:val="16"/>
              </w:rPr>
              <w:t>Selective</w:t>
            </w:r>
          </w:p>
        </w:tc>
        <w:tc>
          <w:tcPr>
            <w:tcW w:type="dxa" w:w="2484"/>
          </w:tcPr>
          <w:p>
            <w:r>
              <w:rPr>
                <w:sz w:val="16"/>
              </w:rPr>
              <w:t>Must never compete with public hierarchy</w:t>
            </w:r>
          </w:p>
        </w:tc>
      </w:tr>
      <w:tr>
        <w:tc>
          <w:tcPr>
            <w:tcW w:type="dxa" w:w="2484"/>
          </w:tcPr>
          <w:p>
            <w:r>
              <w:rPr>
                <w:sz w:val="16"/>
              </w:rPr>
              <w:t>Advisor Journey</w:t>
            </w:r>
          </w:p>
        </w:tc>
        <w:tc>
          <w:tcPr>
            <w:tcW w:type="dxa" w:w="2484"/>
          </w:tcPr>
          <w:p>
            <w:r>
              <w:rPr>
                <w:sz w:val="16"/>
              </w:rPr>
              <w:t>Operational stages, gates and permissions</w:t>
            </w:r>
          </w:p>
        </w:tc>
        <w:tc>
          <w:tcPr>
            <w:tcW w:type="dxa" w:w="2484"/>
          </w:tcPr>
          <w:p>
            <w:r>
              <w:rPr>
                <w:sz w:val="16"/>
              </w:rPr>
              <w:t>Internal</w:t>
            </w:r>
          </w:p>
        </w:tc>
        <w:tc>
          <w:tcPr>
            <w:tcW w:type="dxa" w:w="2484"/>
          </w:tcPr>
          <w:p>
            <w:r>
              <w:rPr>
                <w:sz w:val="16"/>
              </w:rPr>
              <w:t>CRM and service-delivery control</w:t>
            </w:r>
          </w:p>
        </w:tc>
      </w:tr>
      <w:tr>
        <w:tc>
          <w:tcPr>
            <w:tcW w:type="dxa" w:w="2484"/>
          </w:tcPr>
          <w:p>
            <w:r>
              <w:rPr>
                <w:sz w:val="16"/>
              </w:rPr>
              <w:t>Diagnose / Map / Model / Move</w:t>
            </w:r>
          </w:p>
        </w:tc>
        <w:tc>
          <w:tcPr>
            <w:tcW w:type="dxa" w:w="2484"/>
          </w:tcPr>
          <w:p>
            <w:r>
              <w:rPr>
                <w:sz w:val="16"/>
              </w:rPr>
              <w:t>Possible recruiter desk workflow</w:t>
            </w:r>
          </w:p>
        </w:tc>
        <w:tc>
          <w:tcPr>
            <w:tcW w:type="dxa" w:w="2484"/>
          </w:tcPr>
          <w:p>
            <w:r>
              <w:rPr>
                <w:sz w:val="16"/>
              </w:rPr>
              <w:t>Internal only</w:t>
            </w:r>
          </w:p>
        </w:tc>
        <w:tc>
          <w:tcPr>
            <w:tcW w:type="dxa" w:w="2484"/>
          </w:tcPr>
          <w:p>
            <w:r>
              <w:rPr>
                <w:sz w:val="16"/>
              </w:rPr>
              <w:t>Retain only if it adds operational precision</w:t>
            </w:r>
          </w:p>
        </w:tc>
      </w:tr>
    </w:tbl>
    <w:p/>
    <w:p>
      <w:pPr>
        <w:pStyle w:val="Heading1"/>
        <w:pBdr>
          <w:bottom w:val="single" w:sz="10" w:space="6" w:color="A97C50"/>
        </w:pBdr>
      </w:pPr>
      <w:r>
        <w:rPr>
          <w:rFonts w:ascii="Aptos Display" w:hAnsi="Aptos Display"/>
          <w:color w:val="12233F"/>
        </w:rPr>
        <w:t>4. The Role of VYNE's 9</w:t>
      </w:r>
    </w:p>
    <w:p>
      <w:pPr>
        <w:pStyle w:val="BodyText"/>
        <w:spacing w:after="120" w:line="259" w:lineRule="auto"/>
      </w:pPr>
      <w:r>
        <w:rPr>
          <w:b w:val="0"/>
        </w:rPr>
        <w:t>VYNE's 9 is not a cosmetic rename of the Eight Questions. It is the primary public intellectual property of the firm and must become a complete decision system.</w:t>
      </w:r>
    </w:p>
    <w:p>
      <w:pPr>
        <w:pStyle w:val="ListBullet"/>
        <w:spacing w:after="60"/>
      </w:pPr>
      <w:r>
        <w:t>Nine questions should cover the advisor's current reality, desired future, client needs, platform fit, economics, ownership, risk, readiness and conviction.</w:t>
      </w:r>
    </w:p>
    <w:p>
      <w:pPr>
        <w:pStyle w:val="ListBullet"/>
        <w:spacing w:after="60"/>
      </w:pPr>
      <w:r>
        <w:t>The questions must support a stay, strengthen, prepare or move outcome without bias.</w:t>
      </w:r>
    </w:p>
    <w:p>
      <w:pPr>
        <w:pStyle w:val="ListBullet"/>
        <w:spacing w:after="60"/>
      </w:pPr>
      <w:r>
        <w:t>The assessment may score readiness and tension, but it must not manufacture false precision.</w:t>
      </w:r>
    </w:p>
    <w:p>
      <w:pPr>
        <w:pStyle w:val="ListBullet"/>
        <w:spacing w:after="60"/>
      </w:pPr>
      <w:r>
        <w:t>Results should lead to education and reflection before requesting identifying information.</w:t>
      </w:r>
    </w:p>
    <w:p>
      <w:pPr>
        <w:pStyle w:val="ListBullet"/>
        <w:spacing w:after="60"/>
      </w:pPr>
      <w:r>
        <w:t>The CRM handoff must preserve consent, source, answers, confidence and the advisor's chosen next step.</w:t>
      </w:r>
    </w:p>
    <w:tbl>
      <w:tblPr>
        <w:tblW w:type="auto" w:w="0"/>
        <w:jc w:val="center"/>
        <w:tblLook w:firstColumn="1" w:firstRow="1" w:lastColumn="0" w:lastRow="0" w:noHBand="0" w:noVBand="1" w:val="04A0"/>
      </w:tblPr>
      <w:tblGrid>
        <w:gridCol w:w="9936"/>
      </w:tblGrid>
      <w:tr>
        <w:tc>
          <w:tcPr>
            <w:tcW w:type="dxa" w:w="9936"/>
            <w:shd w:fill="F5F1E8"/>
          </w:tcPr>
          <w:p>
            <w:r/>
          </w:p>
          <w:p>
            <w:r>
              <w:rPr>
                <w:b/>
                <w:color w:val="A97C50"/>
                <w:sz w:val="18"/>
              </w:rPr>
              <w:t>MIGRATION RULE</w:t>
            </w:r>
          </w:p>
          <w:p>
            <w:r>
              <w:rPr>
                <w:b/>
                <w:color w:val="12233F"/>
                <w:sz w:val="22"/>
              </w:rPr>
              <w:t>Preserve valuable scoring, branching and CRM logic from the Eight Questions specification. Retire the old name and any language that makes the product feel like lead qualification disguised as advice.</w:t>
            </w:r>
          </w:p>
        </w:tc>
      </w:tr>
    </w:tbl>
    <w:p/>
    <w:p>
      <w:pPr>
        <w:pStyle w:val="Heading1"/>
        <w:pBdr>
          <w:bottom w:val="single" w:sz="10" w:space="6" w:color="A97C50"/>
        </w:pBdr>
      </w:pPr>
      <w:r>
        <w:rPr>
          <w:rFonts w:ascii="Aptos Display" w:hAnsi="Aptos Display"/>
          <w:color w:val="12233F"/>
        </w:rPr>
        <w:t>5. AEO and the Trust Acquisition System</w:t>
      </w:r>
    </w:p>
    <w:p>
      <w:pPr>
        <w:pStyle w:val="BodyText"/>
        <w:spacing w:after="120" w:line="259" w:lineRule="auto"/>
      </w:pPr>
      <w:r>
        <w:rPr>
          <w:b w:val="0"/>
        </w:rPr>
        <w:t>AEO is central to VYNE's growth model because advisors increasingly begin consequential decisions in private research. VYNE should be present when the question begins—not only when a recruiter starts calling.</w:t>
      </w:r>
    </w:p>
    <w:p>
      <w:pPr>
        <w:pStyle w:val="Heading2"/>
      </w:pPr>
      <w:r>
        <w:rPr>
          <w:rFonts w:ascii="Aptos Display" w:hAnsi="Aptos Display"/>
          <w:color w:val="12233F"/>
        </w:rPr>
        <w:t>5.1 Strategic Formula</w:t>
      </w:r>
    </w:p>
    <w:tbl>
      <w:tblPr>
        <w:tblW w:type="auto" w:w="0"/>
        <w:jc w:val="center"/>
        <w:tblLook w:firstColumn="1" w:firstRow="1" w:lastColumn="0" w:lastRow="0" w:noHBand="0" w:noVBand="1" w:val="04A0"/>
      </w:tblPr>
      <w:tblGrid>
        <w:gridCol w:w="9936"/>
      </w:tblGrid>
      <w:tr>
        <w:tc>
          <w:tcPr>
            <w:tcW w:type="dxa" w:w="9936"/>
            <w:shd w:fill="F5F1E8"/>
          </w:tcPr>
          <w:p>
            <w:r/>
          </w:p>
          <w:p>
            <w:r>
              <w:rPr>
                <w:b/>
                <w:color w:val="A97C50"/>
                <w:sz w:val="18"/>
              </w:rPr>
              <w:t>GROWTH DOCTRINE</w:t>
            </w:r>
          </w:p>
          <w:p>
            <w:r>
              <w:rPr>
                <w:b/>
                <w:color w:val="12233F"/>
                <w:sz w:val="22"/>
              </w:rPr>
              <w:t>AEO is the discovery engine. Trust is the strategy. Qualified confidential conversations are the conversion objective.</w:t>
            </w:r>
          </w:p>
        </w:tc>
      </w:tr>
    </w:tbl>
    <w:p/>
    <w:p>
      <w:pPr>
        <w:pStyle w:val="Heading2"/>
      </w:pPr>
      <w:r>
        <w:rPr>
          <w:rFonts w:ascii="Aptos Display" w:hAnsi="Aptos Display"/>
          <w:color w:val="12233F"/>
        </w:rPr>
        <w:t>5.2 The Trust Flywheel</w:t>
      </w:r>
    </w:p>
    <w:p>
      <w:pPr>
        <w:pStyle w:val="BodyText"/>
        <w:spacing w:after="120" w:line="259" w:lineRule="auto"/>
      </w:pPr>
      <w:r>
        <w:rPr>
          <w:b w:val="0"/>
        </w:rPr>
        <w:t>01.  Advisor asks a high-intent question.</w:t>
      </w:r>
    </w:p>
    <w:p>
      <w:pPr>
        <w:pStyle w:val="BodyText"/>
        <w:spacing w:after="120" w:line="259" w:lineRule="auto"/>
      </w:pPr>
      <w:r>
        <w:rPr>
          <w:b w:val="0"/>
        </w:rPr>
        <w:t>02.  VYNE publishes the strongest neutral answer, framework, evidence or original research.</w:t>
      </w:r>
    </w:p>
    <w:p>
      <w:pPr>
        <w:pStyle w:val="BodyText"/>
        <w:spacing w:after="120" w:line="259" w:lineRule="auto"/>
      </w:pPr>
      <w:r>
        <w:rPr>
          <w:b w:val="0"/>
        </w:rPr>
        <w:t>03.  Search and AI systems surface or cite VYNE.</w:t>
      </w:r>
    </w:p>
    <w:p>
      <w:pPr>
        <w:pStyle w:val="BodyText"/>
        <w:spacing w:after="120" w:line="259" w:lineRule="auto"/>
      </w:pPr>
      <w:r>
        <w:rPr>
          <w:b w:val="0"/>
        </w:rPr>
        <w:t>04.  The advisor enters the website through an answer—not a sales pitch.</w:t>
      </w:r>
    </w:p>
    <w:p>
      <w:pPr>
        <w:pStyle w:val="BodyText"/>
        <w:spacing w:after="120" w:line="259" w:lineRule="auto"/>
      </w:pPr>
      <w:r>
        <w:rPr>
          <w:b w:val="0"/>
        </w:rPr>
        <w:t>05.  VYNE's 9, a calculator, a brief or the newsletter earns a deeper permission.</w:t>
      </w:r>
    </w:p>
    <w:p>
      <w:pPr>
        <w:pStyle w:val="BodyText"/>
        <w:spacing w:after="120" w:line="259" w:lineRule="auto"/>
      </w:pPr>
      <w:r>
        <w:rPr>
          <w:b w:val="0"/>
        </w:rPr>
        <w:t>06.  Repeated value builds familiarity and confidence.</w:t>
      </w:r>
    </w:p>
    <w:p>
      <w:pPr>
        <w:pStyle w:val="BodyText"/>
        <w:spacing w:after="120" w:line="259" w:lineRule="auto"/>
      </w:pPr>
      <w:r>
        <w:rPr>
          <w:b w:val="0"/>
        </w:rPr>
        <w:t>07.  A confidential conversation begins when the advisor is ready.</w:t>
      </w:r>
    </w:p>
    <w:p>
      <w:pPr>
        <w:pStyle w:val="BodyText"/>
        <w:spacing w:after="120" w:line="259" w:lineRule="auto"/>
      </w:pPr>
      <w:r>
        <w:rPr>
          <w:b w:val="0"/>
        </w:rPr>
        <w:t>08.  The advisor's outcome creates anonymized learning that improves future research.</w:t>
      </w:r>
    </w:p>
    <w:p>
      <w:pPr>
        <w:pStyle w:val="Heading2"/>
      </w:pPr>
      <w:r>
        <w:rPr>
          <w:rFonts w:ascii="Aptos Display" w:hAnsi="Aptos Display"/>
          <w:color w:val="12233F"/>
        </w:rPr>
        <w:t>5.3 Channel Balance</w:t>
      </w:r>
    </w:p>
    <w:p>
      <w:pPr>
        <w:pStyle w:val="BodyText"/>
        <w:spacing w:after="120" w:line="259" w:lineRule="auto"/>
      </w:pPr>
      <w:r>
        <w:rPr>
          <w:b w:val="0"/>
        </w:rPr>
        <w:t>AEO should not be forced to carry Year 1 revenue alone. The launch system should combine:</w:t>
      </w:r>
    </w:p>
    <w:p>
      <w:pPr>
        <w:pStyle w:val="ListBullet"/>
        <w:spacing w:after="60"/>
      </w:pPr>
      <w:r>
        <w:t>Founder relationships and discreet direct outreach</w:t>
      </w:r>
    </w:p>
    <w:p>
      <w:pPr>
        <w:pStyle w:val="ListBullet"/>
        <w:spacing w:after="60"/>
      </w:pPr>
      <w:r>
        <w:t>Professional and advisor referrals</w:t>
      </w:r>
    </w:p>
    <w:p>
      <w:pPr>
        <w:pStyle w:val="ListBullet"/>
        <w:spacing w:after="60"/>
      </w:pPr>
      <w:r>
        <w:t>AEO, original research and newsletter nurture</w:t>
      </w:r>
    </w:p>
    <w:p>
      <w:pPr>
        <w:pStyle w:val="Heading2"/>
      </w:pPr>
      <w:r>
        <w:rPr>
          <w:rFonts w:ascii="Aptos Display" w:hAnsi="Aptos Display"/>
          <w:color w:val="12233F"/>
        </w:rPr>
        <w:t>5.4 What VYNE Measures</w:t>
      </w:r>
    </w:p>
    <w:p>
      <w:pPr>
        <w:pStyle w:val="ListBullet"/>
        <w:spacing w:after="60"/>
      </w:pPr>
      <w:r>
        <w:t>Priority-question visibility and citations</w:t>
      </w:r>
    </w:p>
    <w:p>
      <w:pPr>
        <w:pStyle w:val="ListBullet"/>
        <w:spacing w:after="60"/>
      </w:pPr>
      <w:r>
        <w:t>Qualified organic sessions rather than raw traffic</w:t>
      </w:r>
    </w:p>
    <w:p>
      <w:pPr>
        <w:pStyle w:val="ListBullet"/>
        <w:spacing w:after="60"/>
      </w:pPr>
      <w:r>
        <w:t>Newsletter engagement and subscriber quality</w:t>
      </w:r>
    </w:p>
    <w:p>
      <w:pPr>
        <w:pStyle w:val="ListBullet"/>
        <w:spacing w:after="60"/>
      </w:pPr>
      <w:r>
        <w:t>Assessment completion and next-step selection</w:t>
      </w:r>
    </w:p>
    <w:p>
      <w:pPr>
        <w:pStyle w:val="ListBullet"/>
        <w:spacing w:after="60"/>
      </w:pPr>
      <w:r>
        <w:t>Confidential conversations influenced by content</w:t>
      </w:r>
    </w:p>
    <w:p>
      <w:pPr>
        <w:pStyle w:val="ListBullet"/>
        <w:spacing w:after="60"/>
      </w:pPr>
      <w:r>
        <w:t>Time from first touch to relationship</w:t>
      </w:r>
    </w:p>
    <w:p>
      <w:pPr>
        <w:pStyle w:val="ListBullet"/>
        <w:spacing w:after="60"/>
      </w:pPr>
      <w:r>
        <w:t>Revenue and non-move outcomes influenced by authority</w:t>
      </w:r>
    </w:p>
    <w:p>
      <w:pPr>
        <w:pStyle w:val="Heading1"/>
        <w:pBdr>
          <w:bottom w:val="single" w:sz="10" w:space="6" w:color="A97C50"/>
        </w:pBdr>
      </w:pPr>
      <w:r>
        <w:rPr>
          <w:rFonts w:ascii="Aptos Display" w:hAnsi="Aptos Display"/>
          <w:color w:val="12233F"/>
        </w:rPr>
        <w:t>6. Controlled Language</w:t>
      </w:r>
    </w:p>
    <w:p>
      <w:pPr>
        <w:pStyle w:val="BodyText"/>
        <w:spacing w:after="120" w:line="259" w:lineRule="auto"/>
      </w:pPr>
      <w:r>
        <w:rPr>
          <w:b w:val="0"/>
        </w:rPr>
        <w:t>Language is an operating control. The same firm cannot sound like an institution on its homepage and a boiler-room recruiter in its CRM, proposals or internal meetings.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2233F"/>
          </w:tcPr>
          <w:p>
            <w:r>
              <w:rPr>
                <w:b/>
                <w:color w:val="FFFFFF"/>
                <w:sz w:val="16"/>
              </w:rPr>
              <w:t>Context</w:t>
            </w:r>
          </w:p>
        </w:tc>
        <w:tc>
          <w:tcPr>
            <w:tcW w:type="dxa" w:w="2484"/>
            <w:shd w:fill="12233F"/>
          </w:tcPr>
          <w:p>
            <w:r>
              <w:rPr>
                <w:b/>
                <w:color w:val="FFFFFF"/>
                <w:sz w:val="16"/>
              </w:rPr>
              <w:t>Use</w:t>
            </w:r>
          </w:p>
        </w:tc>
        <w:tc>
          <w:tcPr>
            <w:tcW w:type="dxa" w:w="2484"/>
            <w:shd w:fill="12233F"/>
          </w:tcPr>
          <w:p>
            <w:r>
              <w:rPr>
                <w:b/>
                <w:color w:val="FFFFFF"/>
                <w:sz w:val="16"/>
              </w:rPr>
              <w:t>Avoid</w:t>
            </w:r>
          </w:p>
        </w:tc>
        <w:tc>
          <w:tcPr>
            <w:tcW w:type="dxa" w:w="2484"/>
            <w:shd w:fill="12233F"/>
          </w:tcPr>
          <w:p>
            <w:r>
              <w:rPr>
                <w:b/>
                <w:color w:val="FFFFFF"/>
                <w:sz w:val="16"/>
              </w:rPr>
              <w:t>Why</w:t>
            </w:r>
          </w:p>
        </w:tc>
      </w:tr>
      <w:tr>
        <w:tc>
          <w:tcPr>
            <w:tcW w:type="dxa" w:w="2484"/>
          </w:tcPr>
          <w:p>
            <w:r>
              <w:rPr>
                <w:sz w:val="15"/>
              </w:rPr>
              <w:t>Public</w:t>
            </w:r>
          </w:p>
        </w:tc>
        <w:tc>
          <w:tcPr>
            <w:tcW w:type="dxa" w:w="2484"/>
          </w:tcPr>
          <w:p>
            <w:r>
              <w:rPr>
                <w:sz w:val="15"/>
              </w:rPr>
              <w:t>financial advisor</w:t>
            </w:r>
          </w:p>
        </w:tc>
        <w:tc>
          <w:tcPr>
            <w:tcW w:type="dxa" w:w="2484"/>
          </w:tcPr>
          <w:p>
            <w:r>
              <w:rPr>
                <w:sz w:val="15"/>
              </w:rPr>
              <w:t>candidate</w:t>
            </w:r>
          </w:p>
        </w:tc>
        <w:tc>
          <w:tcPr>
            <w:tcW w:type="dxa" w:w="2484"/>
          </w:tcPr>
          <w:p>
            <w:r>
              <w:rPr>
                <w:sz w:val="15"/>
              </w:rPr>
              <w:t>Advisors are clients or prospective clients, not inventory.</w:t>
            </w:r>
          </w:p>
        </w:tc>
      </w:tr>
      <w:tr>
        <w:tc>
          <w:tcPr>
            <w:tcW w:type="dxa" w:w="2484"/>
          </w:tcPr>
          <w:p>
            <w:r>
              <w:rPr>
                <w:sz w:val="15"/>
              </w:rPr>
              <w:t>Public</w:t>
            </w:r>
          </w:p>
        </w:tc>
        <w:tc>
          <w:tcPr>
            <w:tcW w:type="dxa" w:w="2484"/>
          </w:tcPr>
          <w:p>
            <w:r>
              <w:rPr>
                <w:sz w:val="15"/>
              </w:rPr>
              <w:t>confidential conversation</w:t>
            </w:r>
          </w:p>
        </w:tc>
        <w:tc>
          <w:tcPr>
            <w:tcW w:type="dxa" w:w="2484"/>
          </w:tcPr>
          <w:p>
            <w:r>
              <w:rPr>
                <w:sz w:val="15"/>
              </w:rPr>
              <w:t>sales call</w:t>
            </w:r>
          </w:p>
        </w:tc>
        <w:tc>
          <w:tcPr>
            <w:tcW w:type="dxa" w:w="2484"/>
          </w:tcPr>
          <w:p>
            <w:r>
              <w:rPr>
                <w:sz w:val="15"/>
              </w:rPr>
              <w:t>Reflects discretion and lowers transactional pressure.</w:t>
            </w:r>
          </w:p>
        </w:tc>
      </w:tr>
      <w:tr>
        <w:tc>
          <w:tcPr>
            <w:tcW w:type="dxa" w:w="2484"/>
          </w:tcPr>
          <w:p>
            <w:r>
              <w:rPr>
                <w:sz w:val="15"/>
              </w:rPr>
              <w:t>Public</w:t>
            </w:r>
          </w:p>
        </w:tc>
        <w:tc>
          <w:tcPr>
            <w:tcW w:type="dxa" w:w="2484"/>
          </w:tcPr>
          <w:p>
            <w:r>
              <w:rPr>
                <w:sz w:val="15"/>
              </w:rPr>
              <w:t>decision process</w:t>
            </w:r>
          </w:p>
        </w:tc>
        <w:tc>
          <w:tcPr>
            <w:tcW w:type="dxa" w:w="2484"/>
          </w:tcPr>
          <w:p>
            <w:r>
              <w:rPr>
                <w:sz w:val="15"/>
              </w:rPr>
              <w:t>sales process</w:t>
            </w:r>
          </w:p>
        </w:tc>
        <w:tc>
          <w:tcPr>
            <w:tcW w:type="dxa" w:w="2484"/>
          </w:tcPr>
          <w:p>
            <w:r>
              <w:rPr>
                <w:sz w:val="15"/>
              </w:rPr>
              <w:t>VYNE helps advisors decide; it does not force progression.</w:t>
            </w:r>
          </w:p>
        </w:tc>
      </w:tr>
      <w:tr>
        <w:tc>
          <w:tcPr>
            <w:tcW w:type="dxa" w:w="2484"/>
          </w:tcPr>
          <w:p>
            <w:r>
              <w:rPr>
                <w:sz w:val="15"/>
              </w:rPr>
              <w:t>Public</w:t>
            </w:r>
          </w:p>
        </w:tc>
        <w:tc>
          <w:tcPr>
            <w:tcW w:type="dxa" w:w="2484"/>
          </w:tcPr>
          <w:p>
            <w:r>
              <w:rPr>
                <w:sz w:val="15"/>
              </w:rPr>
              <w:t>advisor relationship</w:t>
            </w:r>
          </w:p>
        </w:tc>
        <w:tc>
          <w:tcPr>
            <w:tcW w:type="dxa" w:w="2484"/>
          </w:tcPr>
          <w:p>
            <w:r>
              <w:rPr>
                <w:sz w:val="15"/>
              </w:rPr>
              <w:t>lead</w:t>
            </w:r>
          </w:p>
        </w:tc>
        <w:tc>
          <w:tcPr>
            <w:tcW w:type="dxa" w:w="2484"/>
          </w:tcPr>
          <w:p>
            <w:r>
              <w:rPr>
                <w:sz w:val="15"/>
              </w:rPr>
              <w:t>Use 'lead' only in internal operational contexts.</w:t>
            </w:r>
          </w:p>
        </w:tc>
      </w:tr>
      <w:tr>
        <w:tc>
          <w:tcPr>
            <w:tcW w:type="dxa" w:w="2484"/>
          </w:tcPr>
          <w:p>
            <w:r>
              <w:rPr>
                <w:sz w:val="15"/>
              </w:rPr>
              <w:t>Public</w:t>
            </w:r>
          </w:p>
        </w:tc>
        <w:tc>
          <w:tcPr>
            <w:tcW w:type="dxa" w:w="2484"/>
          </w:tcPr>
          <w:p>
            <w:r>
              <w:rPr>
                <w:sz w:val="15"/>
              </w:rPr>
              <w:t>evaluate available paths</w:t>
            </w:r>
          </w:p>
        </w:tc>
        <w:tc>
          <w:tcPr>
            <w:tcW w:type="dxa" w:w="2484"/>
          </w:tcPr>
          <w:p>
            <w:r>
              <w:rPr>
                <w:sz w:val="15"/>
              </w:rPr>
              <w:t>shop firms</w:t>
            </w:r>
          </w:p>
        </w:tc>
        <w:tc>
          <w:tcPr>
            <w:tcW w:type="dxa" w:w="2484"/>
          </w:tcPr>
          <w:p>
            <w:r>
              <w:rPr>
                <w:sz w:val="15"/>
              </w:rPr>
              <w:t>Signals disciplined comparison rather than deal chasing.</w:t>
            </w:r>
          </w:p>
        </w:tc>
      </w:tr>
      <w:tr>
        <w:tc>
          <w:tcPr>
            <w:tcW w:type="dxa" w:w="2484"/>
          </w:tcPr>
          <w:p>
            <w:r>
              <w:rPr>
                <w:sz w:val="15"/>
              </w:rPr>
              <w:t>Public</w:t>
            </w:r>
          </w:p>
        </w:tc>
        <w:tc>
          <w:tcPr>
            <w:tcW w:type="dxa" w:w="2484"/>
          </w:tcPr>
          <w:p>
            <w:r>
              <w:rPr>
                <w:sz w:val="15"/>
              </w:rPr>
              <w:t>transition advisory</w:t>
            </w:r>
          </w:p>
        </w:tc>
        <w:tc>
          <w:tcPr>
            <w:tcW w:type="dxa" w:w="2484"/>
          </w:tcPr>
          <w:p>
            <w:r>
              <w:rPr>
                <w:sz w:val="15"/>
              </w:rPr>
              <w:t>recruiting placement</w:t>
            </w:r>
          </w:p>
        </w:tc>
        <w:tc>
          <w:tcPr>
            <w:tcW w:type="dxa" w:w="2484"/>
          </w:tcPr>
          <w:p>
            <w:r>
              <w:rPr>
                <w:sz w:val="15"/>
              </w:rPr>
              <w:t>Use placement language only when describing a specific implementation service.</w:t>
            </w:r>
          </w:p>
        </w:tc>
      </w:tr>
      <w:tr>
        <w:tc>
          <w:tcPr>
            <w:tcW w:type="dxa" w:w="2484"/>
          </w:tcPr>
          <w:p>
            <w:r>
              <w:rPr>
                <w:sz w:val="15"/>
              </w:rPr>
              <w:t>Public</w:t>
            </w:r>
          </w:p>
        </w:tc>
        <w:tc>
          <w:tcPr>
            <w:tcW w:type="dxa" w:w="2484"/>
          </w:tcPr>
          <w:p>
            <w:r>
              <w:rPr>
                <w:sz w:val="15"/>
              </w:rPr>
              <w:t>decision quality</w:t>
            </w:r>
          </w:p>
        </w:tc>
        <w:tc>
          <w:tcPr>
            <w:tcW w:type="dxa" w:w="2484"/>
          </w:tcPr>
          <w:p>
            <w:r>
              <w:rPr>
                <w:sz w:val="15"/>
              </w:rPr>
              <w:t>deal quality</w:t>
            </w:r>
          </w:p>
        </w:tc>
        <w:tc>
          <w:tcPr>
            <w:tcW w:type="dxa" w:w="2484"/>
          </w:tcPr>
          <w:p>
            <w:r>
              <w:rPr>
                <w:sz w:val="15"/>
              </w:rPr>
              <w:t>The firm optimizes the decision, not merely economics.</w:t>
            </w:r>
          </w:p>
        </w:tc>
      </w:tr>
      <w:tr>
        <w:tc>
          <w:tcPr>
            <w:tcW w:type="dxa" w:w="2484"/>
          </w:tcPr>
          <w:p>
            <w:r>
              <w:rPr>
                <w:sz w:val="15"/>
              </w:rPr>
              <w:t>Public</w:t>
            </w:r>
          </w:p>
        </w:tc>
        <w:tc>
          <w:tcPr>
            <w:tcW w:type="dxa" w:w="2484"/>
          </w:tcPr>
          <w:p>
            <w:r>
              <w:rPr>
                <w:sz w:val="15"/>
              </w:rPr>
              <w:t>evidence and judgment</w:t>
            </w:r>
          </w:p>
        </w:tc>
        <w:tc>
          <w:tcPr>
            <w:tcW w:type="dxa" w:w="2484"/>
          </w:tcPr>
          <w:p>
            <w:r>
              <w:rPr>
                <w:sz w:val="15"/>
              </w:rPr>
              <w:t>insider intel</w:t>
            </w:r>
          </w:p>
        </w:tc>
        <w:tc>
          <w:tcPr>
            <w:tcW w:type="dxa" w:w="2484"/>
          </w:tcPr>
          <w:p>
            <w:r>
              <w:rPr>
                <w:sz w:val="15"/>
              </w:rPr>
              <w:t>Avoid sensational or unverifiable positioning.</w:t>
            </w:r>
          </w:p>
        </w:tc>
      </w:tr>
      <w:tr>
        <w:tc>
          <w:tcPr>
            <w:tcW w:type="dxa" w:w="2484"/>
          </w:tcPr>
          <w:p>
            <w:r>
              <w:rPr>
                <w:sz w:val="15"/>
              </w:rPr>
              <w:t>Public</w:t>
            </w:r>
          </w:p>
        </w:tc>
        <w:tc>
          <w:tcPr>
            <w:tcW w:type="dxa" w:w="2484"/>
          </w:tcPr>
          <w:p>
            <w:r>
              <w:rPr>
                <w:sz w:val="15"/>
              </w:rPr>
              <w:t>independent strategic advisory firm</w:t>
            </w:r>
          </w:p>
        </w:tc>
        <w:tc>
          <w:tcPr>
            <w:tcW w:type="dxa" w:w="2484"/>
          </w:tcPr>
          <w:p>
            <w:r>
              <w:rPr>
                <w:sz w:val="15"/>
              </w:rPr>
              <w:t>recruiting shop</w:t>
            </w:r>
          </w:p>
        </w:tc>
        <w:tc>
          <w:tcPr>
            <w:tcW w:type="dxa" w:w="2484"/>
          </w:tcPr>
          <w:p>
            <w:r>
              <w:rPr>
                <w:sz w:val="15"/>
              </w:rPr>
              <w:t>Defines the institution at the correct altitude.</w:t>
            </w:r>
          </w:p>
        </w:tc>
      </w:tr>
      <w:tr>
        <w:tc>
          <w:tcPr>
            <w:tcW w:type="dxa" w:w="2484"/>
          </w:tcPr>
          <w:p>
            <w:r>
              <w:rPr>
                <w:sz w:val="15"/>
              </w:rPr>
              <w:t>Public</w:t>
            </w:r>
          </w:p>
        </w:tc>
        <w:tc>
          <w:tcPr>
            <w:tcW w:type="dxa" w:w="2484"/>
          </w:tcPr>
          <w:p>
            <w:r>
              <w:rPr>
                <w:sz w:val="15"/>
              </w:rPr>
              <w:t>VYNE's 9</w:t>
            </w:r>
          </w:p>
        </w:tc>
        <w:tc>
          <w:tcPr>
            <w:tcW w:type="dxa" w:w="2484"/>
          </w:tcPr>
          <w:p>
            <w:r>
              <w:rPr>
                <w:sz w:val="15"/>
              </w:rPr>
              <w:t>Eight Questions</w:t>
            </w:r>
          </w:p>
        </w:tc>
        <w:tc>
          <w:tcPr>
            <w:tcW w:type="dxa" w:w="2484"/>
          </w:tcPr>
          <w:p>
            <w:r>
              <w:rPr>
                <w:sz w:val="15"/>
              </w:rPr>
              <w:t>The Eight Questions is a superseded product name.</w:t>
            </w:r>
          </w:p>
        </w:tc>
      </w:tr>
      <w:tr>
        <w:tc>
          <w:tcPr>
            <w:tcW w:type="dxa" w:w="2484"/>
          </w:tcPr>
          <w:p>
            <w:r>
              <w:rPr>
                <w:sz w:val="15"/>
              </w:rPr>
              <w:t>Internal</w:t>
            </w:r>
          </w:p>
        </w:tc>
        <w:tc>
          <w:tcPr>
            <w:tcW w:type="dxa" w:w="2484"/>
          </w:tcPr>
          <w:p>
            <w:r>
              <w:rPr>
                <w:sz w:val="15"/>
              </w:rPr>
              <w:t>lead</w:t>
            </w:r>
          </w:p>
        </w:tc>
        <w:tc>
          <w:tcPr>
            <w:tcW w:type="dxa" w:w="2484"/>
          </w:tcPr>
          <w:p>
            <w:r>
              <w:rPr>
                <w:sz w:val="15"/>
              </w:rPr>
              <w:t>relationship</w:t>
            </w:r>
          </w:p>
        </w:tc>
        <w:tc>
          <w:tcPr>
            <w:tcW w:type="dxa" w:w="2484"/>
          </w:tcPr>
          <w:p>
            <w:r>
              <w:rPr>
                <w:sz w:val="15"/>
              </w:rPr>
              <w:t>Operational systems may use lead for source, status and allocation precision.</w:t>
            </w:r>
          </w:p>
        </w:tc>
      </w:tr>
      <w:tr>
        <w:tc>
          <w:tcPr>
            <w:tcW w:type="dxa" w:w="2484"/>
          </w:tcPr>
          <w:p>
            <w:r>
              <w:rPr>
                <w:sz w:val="15"/>
              </w:rPr>
              <w:t>Internal</w:t>
            </w:r>
          </w:p>
        </w:tc>
        <w:tc>
          <w:tcPr>
            <w:tcW w:type="dxa" w:w="2484"/>
          </w:tcPr>
          <w:p>
            <w:r>
              <w:rPr>
                <w:sz w:val="15"/>
              </w:rPr>
              <w:t>advisor case</w:t>
            </w:r>
          </w:p>
        </w:tc>
        <w:tc>
          <w:tcPr>
            <w:tcW w:type="dxa" w:w="2484"/>
          </w:tcPr>
          <w:p>
            <w:r>
              <w:rPr>
                <w:sz w:val="15"/>
              </w:rPr>
              <w:t>deal</w:t>
            </w:r>
          </w:p>
        </w:tc>
        <w:tc>
          <w:tcPr>
            <w:tcW w:type="dxa" w:w="2484"/>
          </w:tcPr>
          <w:p>
            <w:r>
              <w:rPr>
                <w:sz w:val="15"/>
              </w:rPr>
              <w:t>Use 'deal' only for firm economics or transaction-specific records.</w:t>
            </w:r>
          </w:p>
        </w:tc>
      </w:tr>
      <w:tr>
        <w:tc>
          <w:tcPr>
            <w:tcW w:type="dxa" w:w="2484"/>
          </w:tcPr>
          <w:p>
            <w:r>
              <w:rPr>
                <w:sz w:val="15"/>
              </w:rPr>
              <w:t>Internal</w:t>
            </w:r>
          </w:p>
        </w:tc>
        <w:tc>
          <w:tcPr>
            <w:tcW w:type="dxa" w:w="2484"/>
          </w:tcPr>
          <w:p>
            <w:r>
              <w:rPr>
                <w:sz w:val="15"/>
              </w:rPr>
              <w:t>relationship steward</w:t>
            </w:r>
          </w:p>
        </w:tc>
        <w:tc>
          <w:tcPr>
            <w:tcW w:type="dxa" w:w="2484"/>
          </w:tcPr>
          <w:p>
            <w:r>
              <w:rPr>
                <w:sz w:val="15"/>
              </w:rPr>
              <w:t>lead owner</w:t>
            </w:r>
          </w:p>
        </w:tc>
        <w:tc>
          <w:tcPr>
            <w:tcW w:type="dxa" w:w="2484"/>
          </w:tcPr>
          <w:p>
            <w:r>
              <w:rPr>
                <w:sz w:val="15"/>
              </w:rPr>
              <w:t>Emphasizes responsibility; contracts may separately define economic protection.</w:t>
            </w:r>
          </w:p>
        </w:tc>
      </w:tr>
      <w:tr>
        <w:tc>
          <w:tcPr>
            <w:tcW w:type="dxa" w:w="2484"/>
          </w:tcPr>
          <w:p>
            <w:r>
              <w:rPr>
                <w:sz w:val="15"/>
              </w:rPr>
              <w:t>Internal</w:t>
            </w:r>
          </w:p>
        </w:tc>
        <w:tc>
          <w:tcPr>
            <w:tcW w:type="dxa" w:w="2484"/>
          </w:tcPr>
          <w:p>
            <w:r>
              <w:rPr>
                <w:sz w:val="15"/>
              </w:rPr>
              <w:t>stage gate</w:t>
            </w:r>
          </w:p>
        </w:tc>
        <w:tc>
          <w:tcPr>
            <w:tcW w:type="dxa" w:w="2484"/>
          </w:tcPr>
          <w:p>
            <w:r>
              <w:rPr>
                <w:sz w:val="15"/>
              </w:rPr>
              <w:t>pipeline push</w:t>
            </w:r>
          </w:p>
        </w:tc>
        <w:tc>
          <w:tcPr>
            <w:tcW w:type="dxa" w:w="2484"/>
          </w:tcPr>
          <w:p>
            <w:r>
              <w:rPr>
                <w:sz w:val="15"/>
              </w:rPr>
              <w:t>Advancement requires evidence, consent and readiness.</w:t>
            </w:r>
          </w:p>
        </w:tc>
      </w:tr>
    </w:tbl>
    <w:p/>
    <w:p>
      <w:pPr>
        <w:pStyle w:val="Heading2"/>
      </w:pPr>
      <w:r>
        <w:rPr>
          <w:rFonts w:ascii="Aptos Display" w:hAnsi="Aptos Display"/>
          <w:color w:val="12233F"/>
        </w:rPr>
        <w:t>6.1 Terms Reserved for Internal Precision</w:t>
      </w:r>
    </w:p>
    <w:p>
      <w:pPr>
        <w:pStyle w:val="BodyText"/>
        <w:spacing w:after="120" w:line="259" w:lineRule="auto"/>
      </w:pPr>
      <w:r>
        <w:rPr>
          <w:b w:val="0"/>
        </w:rPr>
        <w:t>Lead, pipeline, source, assignment, commission, verified T12, fee, clawback and stage may be used internally when they create operational precision. They should not dominate the advisor-facing experience.</w:t>
      </w:r>
    </w:p>
    <w:p>
      <w:pPr>
        <w:pStyle w:val="Heading2"/>
      </w:pPr>
      <w:r>
        <w:rPr>
          <w:rFonts w:ascii="Aptos Display" w:hAnsi="Aptos Display"/>
          <w:color w:val="12233F"/>
        </w:rPr>
        <w:t>6.2 Non-Negotiable Tone</w:t>
      </w:r>
    </w:p>
    <w:p>
      <w:pPr>
        <w:pStyle w:val="ListBullet"/>
        <w:spacing w:after="60"/>
      </w:pPr>
      <w:r>
        <w:t>Calm, not urgent</w:t>
      </w:r>
    </w:p>
    <w:p>
      <w:pPr>
        <w:pStyle w:val="ListBullet"/>
        <w:spacing w:after="60"/>
      </w:pPr>
      <w:r>
        <w:t>Direct, not promotional</w:t>
      </w:r>
    </w:p>
    <w:p>
      <w:pPr>
        <w:pStyle w:val="ListBullet"/>
        <w:spacing w:after="60"/>
      </w:pPr>
      <w:r>
        <w:t>Evidence-based, not performatively certain</w:t>
      </w:r>
    </w:p>
    <w:p>
      <w:pPr>
        <w:pStyle w:val="ListBullet"/>
        <w:spacing w:after="60"/>
      </w:pPr>
      <w:r>
        <w:t>Premium, not ornate</w:t>
      </w:r>
    </w:p>
    <w:p>
      <w:pPr>
        <w:pStyle w:val="ListBullet"/>
        <w:spacing w:after="60"/>
      </w:pPr>
      <w:r>
        <w:t>Human, not casual</w:t>
      </w:r>
    </w:p>
    <w:p>
      <w:pPr>
        <w:pStyle w:val="ListBullet"/>
        <w:spacing w:after="60"/>
      </w:pPr>
      <w:r>
        <w:t>Confidential, not mysterious</w:t>
      </w:r>
    </w:p>
    <w:p>
      <w:pPr>
        <w:pStyle w:val="ListBullet"/>
        <w:spacing w:after="60"/>
      </w:pPr>
      <w:r>
        <w:t>Neutral, not passive</w:t>
      </w:r>
    </w:p>
    <w:p>
      <w:pPr>
        <w:pStyle w:val="Heading1"/>
        <w:pBdr>
          <w:bottom w:val="single" w:sz="10" w:space="6" w:color="A97C50"/>
        </w:pBdr>
      </w:pPr>
      <w:r>
        <w:rPr>
          <w:rFonts w:ascii="Aptos Display" w:hAnsi="Aptos Display"/>
          <w:color w:val="12233F"/>
        </w:rPr>
        <w:t>7. Canonical Decisions From the Source Audit</w:t>
      </w:r>
    </w:p>
    <w:p>
      <w:pPr>
        <w:pStyle w:val="Heading2"/>
      </w:pPr>
      <w:r>
        <w:rPr>
          <w:rFonts w:ascii="Aptos Display" w:hAnsi="Aptos Display"/>
          <w:color w:val="12233F"/>
        </w:rPr>
        <w:t>Company identity</w:t>
      </w:r>
    </w:p>
    <w:p>
      <w:pPr>
        <w:pStyle w:val="BodyText"/>
        <w:spacing w:after="120" w:line="259" w:lineRule="auto"/>
      </w:pPr>
      <w:r>
        <w:rPr>
          <w:b/>
        </w:rPr>
        <w:t>VYNE is the institution; recruiting is a service capability and monetization path.</w:t>
      </w:r>
    </w:p>
    <w:p>
      <w:pPr>
        <w:pStyle w:val="BodyText"/>
        <w:spacing w:after="120" w:line="259" w:lineRule="auto"/>
      </w:pPr>
      <w:r>
        <w:rPr>
          <w:b w:val="0"/>
        </w:rPr>
        <w:t>Prevents the placement model from narrowing the brand.</w:t>
      </w:r>
    </w:p>
    <w:p>
      <w:pPr>
        <w:pStyle w:val="Heading2"/>
      </w:pPr>
      <w:r>
        <w:rPr>
          <w:rFonts w:ascii="Aptos Display" w:hAnsi="Aptos Display"/>
          <w:color w:val="12233F"/>
        </w:rPr>
        <w:t>Primary public methodology</w:t>
      </w:r>
    </w:p>
    <w:p>
      <w:pPr>
        <w:pStyle w:val="BodyText"/>
        <w:spacing w:after="120" w:line="259" w:lineRule="auto"/>
      </w:pPr>
      <w:r>
        <w:rPr>
          <w:b/>
        </w:rPr>
        <w:t>Public hierarchy is VYNE → VYNE Framework → VYNE's 9. ROOT/BRANCH/GROW remain guided internal/client-process tools.</w:t>
      </w:r>
    </w:p>
    <w:p>
      <w:pPr>
        <w:pStyle w:val="BodyText"/>
        <w:spacing w:after="120" w:line="259" w:lineRule="auto"/>
      </w:pPr>
      <w:r>
        <w:rPr>
          <w:b w:val="0"/>
        </w:rPr>
        <w:t>Creates one memorable public architecture.</w:t>
      </w:r>
    </w:p>
    <w:p>
      <w:pPr>
        <w:pStyle w:val="Heading2"/>
      </w:pPr>
      <w:r>
        <w:rPr>
          <w:rFonts w:ascii="Aptos Display" w:hAnsi="Aptos Display"/>
          <w:color w:val="12233F"/>
        </w:rPr>
        <w:t>Assessment name</w:t>
      </w:r>
    </w:p>
    <w:p>
      <w:pPr>
        <w:pStyle w:val="BodyText"/>
        <w:spacing w:after="120" w:line="259" w:lineRule="auto"/>
      </w:pPr>
      <w:r>
        <w:rPr>
          <w:b/>
        </w:rPr>
        <w:t>VYNE's 9 replaces the Eight Questions. Existing scoring and branching logic must be migrated, not merely renamed.</w:t>
      </w:r>
    </w:p>
    <w:p>
      <w:pPr>
        <w:pStyle w:val="BodyText"/>
        <w:spacing w:after="120" w:line="259" w:lineRule="auto"/>
      </w:pPr>
      <w:r>
        <w:rPr>
          <w:b w:val="0"/>
        </w:rPr>
        <w:t>Preserves good product logic while creating ownable IP.</w:t>
      </w:r>
    </w:p>
    <w:p>
      <w:pPr>
        <w:pStyle w:val="Heading2"/>
      </w:pPr>
      <w:r>
        <w:rPr>
          <w:rFonts w:ascii="Aptos Display" w:hAnsi="Aptos Display"/>
          <w:color w:val="12233F"/>
        </w:rPr>
        <w:t>AEO role</w:t>
      </w:r>
    </w:p>
    <w:p>
      <w:pPr>
        <w:pStyle w:val="BodyText"/>
        <w:spacing w:after="120" w:line="259" w:lineRule="auto"/>
      </w:pPr>
      <w:r>
        <w:rPr>
          <w:b/>
        </w:rPr>
        <w:t>AEO is a core compounding acquisition engine. Trust remains the strategy and qualified conversations remain the conversion objective.</w:t>
      </w:r>
    </w:p>
    <w:p>
      <w:pPr>
        <w:pStyle w:val="BodyText"/>
        <w:spacing w:after="120" w:line="259" w:lineRule="auto"/>
      </w:pPr>
      <w:r>
        <w:rPr>
          <w:b w:val="0"/>
        </w:rPr>
        <w:t>Keeps traffic subordinate to authority and relationships.</w:t>
      </w:r>
    </w:p>
    <w:p>
      <w:pPr>
        <w:pStyle w:val="Heading2"/>
      </w:pPr>
      <w:r>
        <w:rPr>
          <w:rFonts w:ascii="Aptos Display" w:hAnsi="Aptos Display"/>
          <w:color w:val="12233F"/>
        </w:rPr>
        <w:t>Lead-generation mix</w:t>
      </w:r>
    </w:p>
    <w:p>
      <w:pPr>
        <w:pStyle w:val="BodyText"/>
        <w:spacing w:after="120" w:line="259" w:lineRule="auto"/>
      </w:pPr>
      <w:r>
        <w:rPr>
          <w:b/>
        </w:rPr>
        <w:t>Launch with founder relationships, referrals and high-trust outreach while AEO compounds.</w:t>
      </w:r>
    </w:p>
    <w:p>
      <w:pPr>
        <w:pStyle w:val="BodyText"/>
        <w:spacing w:after="120" w:line="259" w:lineRule="auto"/>
      </w:pPr>
      <w:r>
        <w:rPr>
          <w:b w:val="0"/>
        </w:rPr>
        <w:t>Protects near-term economics without weakening the long-term model.</w:t>
      </w:r>
    </w:p>
    <w:p>
      <w:pPr>
        <w:pStyle w:val="Heading2"/>
      </w:pPr>
      <w:r>
        <w:rPr>
          <w:rFonts w:ascii="Aptos Display" w:hAnsi="Aptos Display"/>
          <w:color w:val="12233F"/>
        </w:rPr>
        <w:t>Recruiter framework</w:t>
      </w:r>
    </w:p>
    <w:p>
      <w:pPr>
        <w:pStyle w:val="BodyText"/>
        <w:spacing w:after="120" w:line="259" w:lineRule="auto"/>
      </w:pPr>
      <w:r>
        <w:rPr>
          <w:b/>
        </w:rPr>
        <w:t>Retain as an internal desk workflow only when useful. Do not market it as a competing firm-wide framework.</w:t>
      </w:r>
    </w:p>
    <w:p>
      <w:pPr>
        <w:pStyle w:val="BodyText"/>
        <w:spacing w:after="120" w:line="259" w:lineRule="auto"/>
      </w:pPr>
      <w:r>
        <w:rPr>
          <w:b w:val="0"/>
        </w:rPr>
        <w:t>Avoids framework proliferation.</w:t>
      </w:r>
    </w:p>
    <w:p>
      <w:pPr>
        <w:pStyle w:val="Heading2"/>
      </w:pPr>
      <w:r>
        <w:rPr>
          <w:rFonts w:ascii="Aptos Display" w:hAnsi="Aptos Display"/>
          <w:color w:val="12233F"/>
        </w:rPr>
        <w:t>Post-transition promise</w:t>
      </w:r>
    </w:p>
    <w:p>
      <w:pPr>
        <w:pStyle w:val="BodyText"/>
        <w:spacing w:after="120" w:line="259" w:lineRule="auto"/>
      </w:pPr>
      <w:r>
        <w:rPr>
          <w:b/>
        </w:rPr>
        <w:t>GROW must be a scoped service with clear eligibility, deliverables, duration and economics.</w:t>
      </w:r>
    </w:p>
    <w:p>
      <w:pPr>
        <w:pStyle w:val="BodyText"/>
        <w:spacing w:after="120" w:line="259" w:lineRule="auto"/>
      </w:pPr>
      <w:r>
        <w:rPr>
          <w:b w:val="0"/>
        </w:rPr>
        <w:t>Avoids open-ended obligations and brand overreach.</w:t>
      </w:r>
    </w:p>
    <w:p>
      <w:pPr>
        <w:pStyle w:val="Heading2"/>
      </w:pPr>
      <w:r>
        <w:rPr>
          <w:rFonts w:ascii="Aptos Display" w:hAnsi="Aptos Display"/>
          <w:color w:val="12233F"/>
        </w:rPr>
        <w:t>CRM posture</w:t>
      </w:r>
    </w:p>
    <w:p>
      <w:pPr>
        <w:pStyle w:val="BodyText"/>
        <w:spacing w:after="120" w:line="259" w:lineRule="auto"/>
      </w:pPr>
      <w:r>
        <w:rPr>
          <w:b/>
        </w:rPr>
        <w:t>Treat current CRM as a design prototype. Use no confidential advisor data until production authentication, encryption, backups, access controls and incident response exist.</w:t>
      </w:r>
    </w:p>
    <w:p>
      <w:pPr>
        <w:pStyle w:val="BodyText"/>
        <w:spacing w:after="120" w:line="259" w:lineRule="auto"/>
      </w:pPr>
      <w:r>
        <w:rPr>
          <w:b w:val="0"/>
        </w:rPr>
        <w:t>Protects confidentiality and credibility.</w:t>
      </w:r>
    </w:p>
    <w:p>
      <w:pPr>
        <w:pStyle w:val="Heading2"/>
      </w:pPr>
      <w:r>
        <w:rPr>
          <w:rFonts w:ascii="Aptos Display" w:hAnsi="Aptos Display"/>
          <w:color w:val="12233F"/>
        </w:rPr>
        <w:t>Contractor control</w:t>
      </w:r>
    </w:p>
    <w:p>
      <w:pPr>
        <w:pStyle w:val="BodyText"/>
        <w:spacing w:after="120" w:line="259" w:lineRule="auto"/>
      </w:pPr>
      <w:r>
        <w:rPr>
          <w:b/>
        </w:rPr>
        <w:t>Results expectations may remain; behavioral control, mandatory schedules and discipline language require counsel review.</w:t>
      </w:r>
    </w:p>
    <w:p>
      <w:pPr>
        <w:pStyle w:val="BodyText"/>
        <w:spacing w:after="120" w:line="259" w:lineRule="auto"/>
      </w:pPr>
      <w:r>
        <w:rPr>
          <w:b w:val="0"/>
        </w:rPr>
        <w:t>Reduces classification exposure.</w:t>
      </w:r>
    </w:p>
    <w:p>
      <w:pPr>
        <w:pStyle w:val="Heading2"/>
      </w:pPr>
      <w:r>
        <w:rPr>
          <w:rFonts w:ascii="Aptos Display" w:hAnsi="Aptos Display"/>
          <w:color w:val="12233F"/>
        </w:rPr>
        <w:t>Relationship ownership</w:t>
      </w:r>
    </w:p>
    <w:p>
      <w:pPr>
        <w:pStyle w:val="BodyText"/>
        <w:spacing w:after="120" w:line="259" w:lineRule="auto"/>
      </w:pPr>
      <w:r>
        <w:rPr>
          <w:b/>
        </w:rPr>
        <w:t>VYNE owns records, contractual rights and economics—not people. Stewardship rules govern allocation and protection.</w:t>
      </w:r>
    </w:p>
    <w:p>
      <w:pPr>
        <w:pStyle w:val="BodyText"/>
        <w:spacing w:after="120" w:line="259" w:lineRule="auto"/>
      </w:pPr>
      <w:r>
        <w:rPr>
          <w:b w:val="0"/>
        </w:rPr>
        <w:t>Makes policy more defensible and respectful.</w:t>
      </w:r>
    </w:p>
    <w:p>
      <w:pPr>
        <w:pStyle w:val="Heading2"/>
      </w:pPr>
      <w:r>
        <w:rPr>
          <w:rFonts w:ascii="Aptos Display" w:hAnsi="Aptos Display"/>
          <w:color w:val="12233F"/>
        </w:rPr>
        <w:t>Volume numbering</w:t>
      </w:r>
    </w:p>
    <w:p>
      <w:pPr>
        <w:pStyle w:val="BodyText"/>
        <w:spacing w:after="120" w:line="259" w:lineRule="auto"/>
      </w:pPr>
      <w:r>
        <w:rPr>
          <w:b/>
        </w:rPr>
        <w:t>Rename recruiter manuals into operating policies under People, Finance and Legal. Reserve permanent volume numbering for the institutional library.</w:t>
      </w:r>
    </w:p>
    <w:p>
      <w:pPr>
        <w:pStyle w:val="BodyText"/>
        <w:spacing w:after="120" w:line="259" w:lineRule="auto"/>
      </w:pPr>
      <w:r>
        <w:rPr>
          <w:b w:val="0"/>
        </w:rPr>
        <w:t>Prevents future library confusion.</w:t>
      </w:r>
    </w:p>
    <w:p>
      <w:pPr>
        <w:pStyle w:val="Heading2"/>
      </w:pPr>
      <w:r>
        <w:rPr>
          <w:rFonts w:ascii="Aptos Display" w:hAnsi="Aptos Display"/>
          <w:color w:val="12233F"/>
        </w:rPr>
        <w:t>Brand role of technology</w:t>
      </w:r>
    </w:p>
    <w:p>
      <w:pPr>
        <w:pStyle w:val="BodyText"/>
        <w:spacing w:after="120" w:line="259" w:lineRule="auto"/>
      </w:pPr>
      <w:r>
        <w:rPr>
          <w:b/>
        </w:rPr>
        <w:t>Technology is invisible infrastructure; 'agents prepare, humans decide.'</w:t>
      </w:r>
    </w:p>
    <w:p>
      <w:pPr>
        <w:pStyle w:val="BodyText"/>
        <w:spacing w:after="120" w:line="259" w:lineRule="auto"/>
      </w:pPr>
      <w:r>
        <w:rPr>
          <w:b w:val="0"/>
        </w:rPr>
        <w:t>Makes the brand durable beyond tools.</w:t>
      </w:r>
    </w:p>
    <w:p>
      <w:pPr>
        <w:pStyle w:val="Heading1"/>
        <w:pBdr>
          <w:bottom w:val="single" w:sz="10" w:space="6" w:color="A97C50"/>
        </w:pBdr>
      </w:pPr>
      <w:r>
        <w:rPr>
          <w:rFonts w:ascii="Aptos Display" w:hAnsi="Aptos Display"/>
          <w:color w:val="12233F"/>
        </w:rPr>
        <w:t>8. Permanent Institutional Library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2233F"/>
          </w:tcPr>
          <w:p>
            <w:r>
              <w:rPr>
                <w:b/>
                <w:color w:val="FFFFFF"/>
                <w:sz w:val="17"/>
              </w:rPr>
              <w:t>Code</w:t>
            </w:r>
          </w:p>
        </w:tc>
        <w:tc>
          <w:tcPr>
            <w:tcW w:type="dxa" w:w="3312"/>
            <w:shd w:fill="12233F"/>
          </w:tcPr>
          <w:p>
            <w:r>
              <w:rPr>
                <w:b/>
                <w:color w:val="FFFFFF"/>
                <w:sz w:val="17"/>
              </w:rPr>
              <w:t>Permanent home</w:t>
            </w:r>
          </w:p>
        </w:tc>
        <w:tc>
          <w:tcPr>
            <w:tcW w:type="dxa" w:w="3312"/>
            <w:shd w:fill="12233F"/>
          </w:tcPr>
          <w:p>
            <w:r>
              <w:rPr>
                <w:b/>
                <w:color w:val="FFFFFF"/>
                <w:sz w:val="17"/>
              </w:rPr>
              <w:t>Mandate</w:t>
            </w:r>
          </w:p>
        </w:tc>
      </w:tr>
      <w:tr>
        <w:tc>
          <w:tcPr>
            <w:tcW w:type="dxa" w:w="3312"/>
          </w:tcPr>
          <w:p>
            <w:r>
              <w:rPr>
                <w:sz w:val="15"/>
              </w:rPr>
              <w:t>00</w:t>
            </w:r>
          </w:p>
        </w:tc>
        <w:tc>
          <w:tcPr>
            <w:tcW w:type="dxa" w:w="3312"/>
          </w:tcPr>
          <w:p>
            <w:r>
              <w:rPr>
                <w:sz w:val="15"/>
              </w:rPr>
              <w:t>Constitution &amp; Governance</w:t>
            </w:r>
          </w:p>
        </w:tc>
        <w:tc>
          <w:tcPr>
            <w:tcW w:type="dxa" w:w="3312"/>
          </w:tcPr>
          <w:p>
            <w:r>
              <w:rPr>
                <w:sz w:val="15"/>
              </w:rPr>
              <w:t>Purpose, manifesto, constitution, values, founder letter, version rules</w:t>
            </w:r>
          </w:p>
        </w:tc>
      </w:tr>
      <w:tr>
        <w:tc>
          <w:tcPr>
            <w:tcW w:type="dxa" w:w="3312"/>
          </w:tcPr>
          <w:p>
            <w:r>
              <w:rPr>
                <w:sz w:val="15"/>
              </w:rPr>
              <w:t>01</w:t>
            </w:r>
          </w:p>
        </w:tc>
        <w:tc>
          <w:tcPr>
            <w:tcW w:type="dxa" w:w="3312"/>
          </w:tcPr>
          <w:p>
            <w:r>
              <w:rPr>
                <w:sz w:val="15"/>
              </w:rPr>
              <w:t>Brand &amp; Identity</w:t>
            </w:r>
          </w:p>
        </w:tc>
        <w:tc>
          <w:tcPr>
            <w:tcW w:type="dxa" w:w="3312"/>
          </w:tcPr>
          <w:p>
            <w:r>
              <w:rPr>
                <w:sz w:val="15"/>
              </w:rPr>
              <w:t>Logo, visual system, voice, editorial standards, photography, applications</w:t>
            </w:r>
          </w:p>
        </w:tc>
      </w:tr>
      <w:tr>
        <w:tc>
          <w:tcPr>
            <w:tcW w:type="dxa" w:w="3312"/>
          </w:tcPr>
          <w:p>
            <w:r>
              <w:rPr>
                <w:sz w:val="15"/>
              </w:rPr>
              <w:t>02</w:t>
            </w:r>
          </w:p>
        </w:tc>
        <w:tc>
          <w:tcPr>
            <w:tcW w:type="dxa" w:w="3312"/>
          </w:tcPr>
          <w:p>
            <w:r>
              <w:rPr>
                <w:sz w:val="15"/>
              </w:rPr>
              <w:t>Strategy &amp; Enterprise</w:t>
            </w:r>
          </w:p>
        </w:tc>
        <w:tc>
          <w:tcPr>
            <w:tcW w:type="dxa" w:w="3312"/>
          </w:tcPr>
          <w:p>
            <w:r>
              <w:rPr>
                <w:sz w:val="15"/>
              </w:rPr>
              <w:t>Business model, positioning, competitive strategy, roadmap, partnerships</w:t>
            </w:r>
          </w:p>
        </w:tc>
      </w:tr>
      <w:tr>
        <w:tc>
          <w:tcPr>
            <w:tcW w:type="dxa" w:w="3312"/>
          </w:tcPr>
          <w:p>
            <w:r>
              <w:rPr>
                <w:sz w:val="15"/>
              </w:rPr>
              <w:t>03</w:t>
            </w:r>
          </w:p>
        </w:tc>
        <w:tc>
          <w:tcPr>
            <w:tcW w:type="dxa" w:w="3312"/>
          </w:tcPr>
          <w:p>
            <w:r>
              <w:rPr>
                <w:sz w:val="15"/>
              </w:rPr>
              <w:t>Advisor Methodology</w:t>
            </w:r>
          </w:p>
        </w:tc>
        <w:tc>
          <w:tcPr>
            <w:tcW w:type="dxa" w:w="3312"/>
          </w:tcPr>
          <w:p>
            <w:r>
              <w:rPr>
                <w:sz w:val="15"/>
              </w:rPr>
              <w:t>VYNE Framework, VYNE's 9, ROOT, BRANCH, GROW, decision standards</w:t>
            </w:r>
          </w:p>
        </w:tc>
      </w:tr>
      <w:tr>
        <w:tc>
          <w:tcPr>
            <w:tcW w:type="dxa" w:w="3312"/>
          </w:tcPr>
          <w:p>
            <w:r>
              <w:rPr>
                <w:sz w:val="15"/>
              </w:rPr>
              <w:t>04</w:t>
            </w:r>
          </w:p>
        </w:tc>
        <w:tc>
          <w:tcPr>
            <w:tcW w:type="dxa" w:w="3312"/>
          </w:tcPr>
          <w:p>
            <w:r>
              <w:rPr>
                <w:sz w:val="15"/>
              </w:rPr>
              <w:t>Client Experience</w:t>
            </w:r>
          </w:p>
        </w:tc>
        <w:tc>
          <w:tcPr>
            <w:tcW w:type="dxa" w:w="3312"/>
          </w:tcPr>
          <w:p>
            <w:r>
              <w:rPr>
                <w:sz w:val="15"/>
              </w:rPr>
              <w:t>Advisor journey, meetings, deliverables, permissions, service boundaries</w:t>
            </w:r>
          </w:p>
        </w:tc>
      </w:tr>
      <w:tr>
        <w:tc>
          <w:tcPr>
            <w:tcW w:type="dxa" w:w="3312"/>
          </w:tcPr>
          <w:p>
            <w:r>
              <w:rPr>
                <w:sz w:val="15"/>
              </w:rPr>
              <w:t>05</w:t>
            </w:r>
          </w:p>
        </w:tc>
        <w:tc>
          <w:tcPr>
            <w:tcW w:type="dxa" w:w="3312"/>
          </w:tcPr>
          <w:p>
            <w:r>
              <w:rPr>
                <w:sz w:val="15"/>
              </w:rPr>
              <w:t>Products &amp; Services</w:t>
            </w:r>
          </w:p>
        </w:tc>
        <w:tc>
          <w:tcPr>
            <w:tcW w:type="dxa" w:w="3312"/>
          </w:tcPr>
          <w:p>
            <w:r>
              <w:rPr>
                <w:sz w:val="15"/>
              </w:rPr>
              <w:t>Assessment, economics, portability, offer review, succession, transition support</w:t>
            </w:r>
          </w:p>
        </w:tc>
      </w:tr>
      <w:tr>
        <w:tc>
          <w:tcPr>
            <w:tcW w:type="dxa" w:w="3312"/>
          </w:tcPr>
          <w:p>
            <w:r>
              <w:rPr>
                <w:sz w:val="15"/>
              </w:rPr>
              <w:t>06</w:t>
            </w:r>
          </w:p>
        </w:tc>
        <w:tc>
          <w:tcPr>
            <w:tcW w:type="dxa" w:w="3312"/>
          </w:tcPr>
          <w:p>
            <w:r>
              <w:rPr>
                <w:sz w:val="15"/>
              </w:rPr>
              <w:t>Digital Authority &amp; Acquisition</w:t>
            </w:r>
          </w:p>
        </w:tc>
        <w:tc>
          <w:tcPr>
            <w:tcW w:type="dxa" w:w="3312"/>
          </w:tcPr>
          <w:p>
            <w:r>
              <w:rPr>
                <w:sz w:val="15"/>
              </w:rPr>
              <w:t>AEO, original research, newsletter, LinkedIn, referrals, conversion</w:t>
            </w:r>
          </w:p>
        </w:tc>
      </w:tr>
      <w:tr>
        <w:tc>
          <w:tcPr>
            <w:tcW w:type="dxa" w:w="3312"/>
          </w:tcPr>
          <w:p>
            <w:r>
              <w:rPr>
                <w:sz w:val="15"/>
              </w:rPr>
              <w:t>07</w:t>
            </w:r>
          </w:p>
        </w:tc>
        <w:tc>
          <w:tcPr>
            <w:tcW w:type="dxa" w:w="3312"/>
          </w:tcPr>
          <w:p>
            <w:r>
              <w:rPr>
                <w:sz w:val="15"/>
              </w:rPr>
              <w:t>Technology &amp; Data</w:t>
            </w:r>
          </w:p>
        </w:tc>
        <w:tc>
          <w:tcPr>
            <w:tcW w:type="dxa" w:w="3312"/>
          </w:tcPr>
          <w:p>
            <w:r>
              <w:rPr>
                <w:sz w:val="15"/>
              </w:rPr>
              <w:t>Website, CRM, schema, agents, analytics, security, release controls</w:t>
            </w:r>
          </w:p>
        </w:tc>
      </w:tr>
      <w:tr>
        <w:tc>
          <w:tcPr>
            <w:tcW w:type="dxa" w:w="3312"/>
          </w:tcPr>
          <w:p>
            <w:r>
              <w:rPr>
                <w:sz w:val="15"/>
              </w:rPr>
              <w:t>08</w:t>
            </w:r>
          </w:p>
        </w:tc>
        <w:tc>
          <w:tcPr>
            <w:tcW w:type="dxa" w:w="3312"/>
          </w:tcPr>
          <w:p>
            <w:r>
              <w:rPr>
                <w:sz w:val="15"/>
              </w:rPr>
              <w:t>People &amp; Operations</w:t>
            </w:r>
          </w:p>
        </w:tc>
        <w:tc>
          <w:tcPr>
            <w:tcW w:type="dxa" w:w="3312"/>
          </w:tcPr>
          <w:p>
            <w:r>
              <w:rPr>
                <w:sz w:val="15"/>
              </w:rPr>
              <w:t>Roles, recruiter operating policies, onboarding, cadence, quality controls</w:t>
            </w:r>
          </w:p>
        </w:tc>
      </w:tr>
      <w:tr>
        <w:tc>
          <w:tcPr>
            <w:tcW w:type="dxa" w:w="3312"/>
          </w:tcPr>
          <w:p>
            <w:r>
              <w:rPr>
                <w:sz w:val="15"/>
              </w:rPr>
              <w:t>09</w:t>
            </w:r>
          </w:p>
        </w:tc>
        <w:tc>
          <w:tcPr>
            <w:tcW w:type="dxa" w:w="3312"/>
          </w:tcPr>
          <w:p>
            <w:r>
              <w:rPr>
                <w:sz w:val="15"/>
              </w:rPr>
              <w:t>Finance &amp; Economics</w:t>
            </w:r>
          </w:p>
        </w:tc>
        <w:tc>
          <w:tcPr>
            <w:tcW w:type="dxa" w:w="3312"/>
          </w:tcPr>
          <w:p>
            <w:r>
              <w:rPr>
                <w:sz w:val="15"/>
              </w:rPr>
              <w:t>Budget, CEO model, pricing, commissions, billing, cash and controls</w:t>
            </w:r>
          </w:p>
        </w:tc>
      </w:tr>
      <w:tr>
        <w:tc>
          <w:tcPr>
            <w:tcW w:type="dxa" w:w="3312"/>
          </w:tcPr>
          <w:p>
            <w:r>
              <w:rPr>
                <w:sz w:val="15"/>
              </w:rPr>
              <w:t>10</w:t>
            </w:r>
          </w:p>
        </w:tc>
        <w:tc>
          <w:tcPr>
            <w:tcW w:type="dxa" w:w="3312"/>
          </w:tcPr>
          <w:p>
            <w:r>
              <w:rPr>
                <w:sz w:val="15"/>
              </w:rPr>
              <w:t>Legal, Risk &amp; Compliance</w:t>
            </w:r>
          </w:p>
        </w:tc>
        <w:tc>
          <w:tcPr>
            <w:tcW w:type="dxa" w:w="3312"/>
          </w:tcPr>
          <w:p>
            <w:r>
              <w:rPr>
                <w:sz w:val="15"/>
              </w:rPr>
              <w:t>Agreements, classification, privacy, covenants, insurance, counsel decisions</w:t>
            </w:r>
          </w:p>
        </w:tc>
      </w:tr>
      <w:tr>
        <w:tc>
          <w:tcPr>
            <w:tcW w:type="dxa" w:w="3312"/>
          </w:tcPr>
          <w:p>
            <w:r>
              <w:rPr>
                <w:sz w:val="15"/>
              </w:rPr>
              <w:t>11</w:t>
            </w:r>
          </w:p>
        </w:tc>
        <w:tc>
          <w:tcPr>
            <w:tcW w:type="dxa" w:w="3312"/>
          </w:tcPr>
          <w:p>
            <w:r>
              <w:rPr>
                <w:sz w:val="15"/>
              </w:rPr>
              <w:t>Forms &amp; Templates</w:t>
            </w:r>
          </w:p>
        </w:tc>
        <w:tc>
          <w:tcPr>
            <w:tcW w:type="dxa" w:w="3312"/>
          </w:tcPr>
          <w:p>
            <w:r>
              <w:rPr>
                <w:sz w:val="15"/>
              </w:rPr>
              <w:t>Approvals, scorecards, meeting tools, advisor deliverables, internal forms</w:t>
            </w:r>
          </w:p>
        </w:tc>
      </w:tr>
      <w:tr>
        <w:tc>
          <w:tcPr>
            <w:tcW w:type="dxa" w:w="3312"/>
          </w:tcPr>
          <w:p>
            <w:r>
              <w:rPr>
                <w:sz w:val="15"/>
              </w:rPr>
              <w:t>12</w:t>
            </w:r>
          </w:p>
        </w:tc>
        <w:tc>
          <w:tcPr>
            <w:tcW w:type="dxa" w:w="3312"/>
          </w:tcPr>
          <w:p>
            <w:r>
              <w:rPr>
                <w:sz w:val="15"/>
              </w:rPr>
              <w:t>Research Library</w:t>
            </w:r>
          </w:p>
        </w:tc>
        <w:tc>
          <w:tcPr>
            <w:tcW w:type="dxa" w:w="3312"/>
          </w:tcPr>
          <w:p>
            <w:r>
              <w:rPr>
                <w:sz w:val="15"/>
              </w:rPr>
              <w:t>Firm intelligence, studies, answer pages, briefs, source archives</w:t>
            </w:r>
          </w:p>
        </w:tc>
      </w:tr>
      <w:tr>
        <w:tc>
          <w:tcPr>
            <w:tcW w:type="dxa" w:w="3312"/>
          </w:tcPr>
          <w:p>
            <w:r>
              <w:rPr>
                <w:sz w:val="15"/>
              </w:rPr>
              <w:t>90</w:t>
            </w:r>
          </w:p>
        </w:tc>
        <w:tc>
          <w:tcPr>
            <w:tcW w:type="dxa" w:w="3312"/>
          </w:tcPr>
          <w:p>
            <w:r>
              <w:rPr>
                <w:sz w:val="15"/>
              </w:rPr>
              <w:t>Incubator</w:t>
            </w:r>
          </w:p>
        </w:tc>
        <w:tc>
          <w:tcPr>
            <w:tcW w:type="dxa" w:w="3312"/>
          </w:tcPr>
          <w:p>
            <w:r>
              <w:rPr>
                <w:sz w:val="15"/>
              </w:rPr>
              <w:t>Promising but unapproved concepts</w:t>
            </w:r>
          </w:p>
        </w:tc>
      </w:tr>
      <w:tr>
        <w:tc>
          <w:tcPr>
            <w:tcW w:type="dxa" w:w="3312"/>
          </w:tcPr>
          <w:p>
            <w:r>
              <w:rPr>
                <w:sz w:val="15"/>
              </w:rPr>
              <w:t>99</w:t>
            </w:r>
          </w:p>
        </w:tc>
        <w:tc>
          <w:tcPr>
            <w:tcW w:type="dxa" w:w="3312"/>
          </w:tcPr>
          <w:p>
            <w:r>
              <w:rPr>
                <w:sz w:val="15"/>
              </w:rPr>
              <w:t>Archive</w:t>
            </w:r>
          </w:p>
        </w:tc>
        <w:tc>
          <w:tcPr>
            <w:tcW w:type="dxa" w:w="3312"/>
          </w:tcPr>
          <w:p>
            <w:r>
              <w:rPr>
                <w:sz w:val="15"/>
              </w:rPr>
              <w:t>Superseded, duplicate and historical material</w:t>
            </w:r>
          </w:p>
        </w:tc>
      </w:tr>
    </w:tbl>
    <w:p/>
    <w:p>
      <w:pPr>
        <w:pStyle w:val="Heading1"/>
        <w:pBdr>
          <w:bottom w:val="single" w:sz="10" w:space="6" w:color="A97C50"/>
        </w:pBdr>
      </w:pPr>
      <w:r>
        <w:rPr>
          <w:rFonts w:ascii="Aptos Display" w:hAnsi="Aptos Display"/>
          <w:color w:val="12233F"/>
        </w:rPr>
        <w:t>9. The VYNE Test</w:t>
      </w:r>
    </w:p>
    <w:p>
      <w:pPr>
        <w:pStyle w:val="BodyText"/>
        <w:spacing w:after="120" w:line="259" w:lineRule="auto"/>
      </w:pPr>
      <w:r>
        <w:rPr>
          <w:b w:val="0"/>
        </w:rPr>
        <w:t>Every future idea must pass the following test before it is approved:</w:t>
      </w:r>
    </w:p>
    <w:p>
      <w:pPr>
        <w:pStyle w:val="ListBullet"/>
        <w:spacing w:after="60"/>
      </w:pPr>
      <w:r>
        <w:t>Does it improve advisor decision quality?</w:t>
      </w:r>
    </w:p>
    <w:p>
      <w:pPr>
        <w:pStyle w:val="ListBullet"/>
        <w:spacing w:after="60"/>
      </w:pPr>
      <w:r>
        <w:t>Does it increase trust?</w:t>
      </w:r>
    </w:p>
    <w:p>
      <w:pPr>
        <w:pStyle w:val="ListBullet"/>
        <w:spacing w:after="60"/>
      </w:pPr>
      <w:r>
        <w:t>Does it simplify complexity for the advisor?</w:t>
      </w:r>
    </w:p>
    <w:p>
      <w:pPr>
        <w:pStyle w:val="ListBullet"/>
        <w:spacing w:after="60"/>
      </w:pPr>
      <w:r>
        <w:t>Does it belong at the correct altitude—brand, methodology, product, operation or technology?</w:t>
      </w:r>
    </w:p>
    <w:p>
      <w:pPr>
        <w:pStyle w:val="ListBullet"/>
        <w:spacing w:after="60"/>
      </w:pPr>
      <w:r>
        <w:t>Would a sophisticated advisor respect it?</w:t>
      </w:r>
    </w:p>
    <w:p>
      <w:pPr>
        <w:pStyle w:val="ListBullet"/>
        <w:spacing w:after="60"/>
      </w:pPr>
      <w:r>
        <w:t>Can the claim be supported?</w:t>
      </w:r>
    </w:p>
    <w:p>
      <w:pPr>
        <w:pStyle w:val="ListBullet"/>
        <w:spacing w:after="60"/>
      </w:pPr>
      <w:r>
        <w:t>Can VYNE deliver it consistently?</w:t>
      </w:r>
    </w:p>
    <w:p>
      <w:pPr>
        <w:pStyle w:val="ListBullet"/>
        <w:spacing w:after="60"/>
      </w:pPr>
      <w:r>
        <w:t>Does it remain right if VYNE grows to 100 employees?</w:t>
      </w:r>
    </w:p>
    <w:p>
      <w:pPr>
        <w:pStyle w:val="ListBullet"/>
        <w:spacing w:after="60"/>
      </w:pPr>
      <w:r>
        <w:t>Does it strengthen the institution rather than create another competing idea?</w:t>
      </w:r>
    </w:p>
    <w:tbl>
      <w:tblPr>
        <w:tblW w:type="auto" w:w="0"/>
        <w:jc w:val="center"/>
        <w:tblLook w:firstColumn="1" w:firstRow="1" w:lastColumn="0" w:lastRow="0" w:noHBand="0" w:noVBand="1" w:val="04A0"/>
      </w:tblPr>
      <w:tblGrid>
        <w:gridCol w:w="9936"/>
      </w:tblGrid>
      <w:tr>
        <w:tc>
          <w:tcPr>
            <w:tcW w:type="dxa" w:w="9936"/>
            <w:shd w:fill="F5F1E8"/>
          </w:tcPr>
          <w:p>
            <w:r/>
          </w:p>
          <w:p>
            <w:r>
              <w:rPr>
                <w:b/>
                <w:color w:val="A97C50"/>
                <w:sz w:val="18"/>
              </w:rPr>
              <w:t>DEFAULT DECISION</w:t>
            </w:r>
          </w:p>
          <w:p>
            <w:r>
              <w:rPr>
                <w:b/>
                <w:color w:val="12233F"/>
                <w:sz w:val="22"/>
              </w:rPr>
              <w:t>When an idea is valuable but not ready, place it in the Incubator. Preservation does not require adoption.</w:t>
            </w:r>
          </w:p>
        </w:tc>
      </w:tr>
    </w:tbl>
    <w:p/>
    <w:p>
      <w:pPr>
        <w:pStyle w:val="Heading1"/>
        <w:pBdr>
          <w:bottom w:val="single" w:sz="10" w:space="6" w:color="A97C50"/>
        </w:pBdr>
      </w:pPr>
      <w:r>
        <w:rPr>
          <w:rFonts w:ascii="Aptos Display" w:hAnsi="Aptos Display"/>
          <w:color w:val="12233F"/>
        </w:rPr>
        <w:t>10. Production Boundaries</w:t>
      </w:r>
    </w:p>
    <w:p>
      <w:pPr>
        <w:pStyle w:val="ListBullet"/>
        <w:spacing w:after="60"/>
      </w:pPr>
      <w:r>
        <w:t>No confidential advisor data in the single-file CRM prototype.</w:t>
      </w:r>
    </w:p>
    <w:p>
      <w:pPr>
        <w:pStyle w:val="ListBullet"/>
        <w:spacing w:after="60"/>
      </w:pPr>
      <w:r>
        <w:t>No public performance, market or platform claim without a source and review standard.</w:t>
      </w:r>
    </w:p>
    <w:p>
      <w:pPr>
        <w:pStyle w:val="ListBullet"/>
        <w:spacing w:after="60"/>
      </w:pPr>
      <w:r>
        <w:t>No automated external communication or consequential recommendation without human approval.</w:t>
      </w:r>
    </w:p>
    <w:p>
      <w:pPr>
        <w:pStyle w:val="ListBullet"/>
        <w:spacing w:after="60"/>
      </w:pPr>
      <w:r>
        <w:t>No recruiter compensation or contractor-control provision treated as final until counsel approves it.</w:t>
      </w:r>
    </w:p>
    <w:p>
      <w:pPr>
        <w:pStyle w:val="ListBullet"/>
        <w:spacing w:after="60"/>
      </w:pPr>
      <w:r>
        <w:t>No assessment scoring presented as objective truth when it is a directional decision aid.</w:t>
      </w:r>
    </w:p>
    <w:p>
      <w:pPr>
        <w:pStyle w:val="ListBullet"/>
        <w:spacing w:after="60"/>
      </w:pPr>
      <w:r>
        <w:t>No post-transition consulting promise without a defined scope, term, owner and economics.</w:t>
      </w:r>
    </w:p>
    <w:p>
      <w:pPr>
        <w:pStyle w:val="Heading1"/>
        <w:pBdr>
          <w:bottom w:val="single" w:sz="10" w:space="6" w:color="A97C50"/>
        </w:pBdr>
      </w:pPr>
      <w:r>
        <w:rPr>
          <w:rFonts w:ascii="Aptos Display" w:hAnsi="Aptos Display"/>
          <w:color w:val="12233F"/>
        </w:rPr>
        <w:t>11. Next Build Gate</w:t>
      </w:r>
    </w:p>
    <w:p>
      <w:pPr>
        <w:pStyle w:val="BodyText"/>
        <w:spacing w:after="120" w:line="259" w:lineRule="auto"/>
      </w:pPr>
      <w:r>
        <w:rPr>
          <w:b w:val="0"/>
        </w:rPr>
        <w:t>The architecture and language controls are now sufficiently defined to begin the next governing volume: the Soul of VYNE.</w:t>
      </w:r>
    </w:p>
    <w:tbl>
      <w:tblPr>
        <w:tblW w:type="auto" w:w="0"/>
        <w:jc w:val="center"/>
        <w:tblLook w:firstColumn="1" w:firstRow="1" w:lastColumn="0" w:lastRow="0" w:noHBand="0" w:noVBand="1" w:val="04A0"/>
      </w:tblPr>
      <w:tblGrid>
        <w:gridCol w:w="9936"/>
      </w:tblGrid>
      <w:tr>
        <w:tc>
          <w:tcPr>
            <w:tcW w:type="dxa" w:w="9936"/>
            <w:shd w:fill="F5F1E8"/>
          </w:tcPr>
          <w:p>
            <w:r/>
          </w:p>
          <w:p>
            <w:r>
              <w:rPr>
                <w:b/>
                <w:color w:val="A97C50"/>
                <w:sz w:val="18"/>
              </w:rPr>
              <w:t>NEXT CANONICAL DELIVERABLE</w:t>
            </w:r>
          </w:p>
          <w:p>
            <w:r>
              <w:rPr>
                <w:b/>
                <w:color w:val="12233F"/>
                <w:sz w:val="22"/>
              </w:rPr>
              <w:t>Volume I — The VYNE Constitution: manifesto, mission, vision, promise, values, decision-quality doctrine, founder letter and institutional standards.</w:t>
            </w:r>
          </w:p>
        </w:tc>
      </w:tr>
    </w:tbl>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D495B"/>
        <w:sz w:val="16"/>
      </w:rPr>
      <w:t xml:space="preserve">VYNE STRATEGIES  |  CANONICAL ARCHITECTURE &amp; LANGUAGE GUIDE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233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233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23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