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40"/>
        <w:jc w:val="center"/>
      </w:pPr>
      <w:r>
        <w:rPr>
          <w:rFonts w:ascii="Aptos" w:hAnsi="Aptos"/>
          <w:b/>
          <w:color w:val="A97C50"/>
          <w:sz w:val="22"/>
        </w:rPr>
        <w:t>V Y N E   S T R A T E G I E S</w:t>
      </w:r>
    </w:p>
    <w:p>
      <w:pPr>
        <w:spacing w:before="440"/>
        <w:jc w:val="center"/>
      </w:pPr>
      <w:r>
        <w:rPr>
          <w:rFonts w:ascii="Aptos Display" w:hAnsi="Aptos Display"/>
          <w:b/>
          <w:color w:val="12233F"/>
          <w:sz w:val="64"/>
        </w:rPr>
        <w:t>Institutional Blueprint</w:t>
      </w:r>
    </w:p>
    <w:p>
      <w:pPr>
        <w:jc w:val="center"/>
      </w:pPr>
      <w:r>
        <w:rPr>
          <w:color w:val="3D495B"/>
          <w:sz w:val="28"/>
        </w:rPr>
        <w:t>Knowledge Audit, Governing Architecture and Build Charter</w:t>
      </w:r>
    </w:p>
    <w:tbl>
      <w:tblPr>
        <w:tblW w:type="auto" w:w="0"/>
        <w:jc w:val="center"/>
        <w:tblLayout w:type="fixed"/>
        <w:tblLook w:firstColumn="1" w:firstRow="1" w:lastColumn="0" w:lastRow="0" w:noHBand="0" w:noVBand="1" w:val="04A0"/>
      </w:tblPr>
      <w:tblGrid>
        <w:gridCol w:w="8496"/>
      </w:tblGrid>
      <w:tr>
        <w:tc>
          <w:tcPr>
            <w:tcW w:type="dxa" w:w="9936"/>
            <w:shd w:fill="F5F1E8"/>
          </w:tcPr>
          <w:p>
            <w:r/>
          </w:p>
          <w:p>
            <w:pPr>
              <w:jc w:val="center"/>
            </w:pPr>
            <w:r>
              <w:rPr>
                <w:b/>
                <w:color w:val="12233F"/>
                <w:sz w:val="30"/>
              </w:rPr>
              <w:t>VYNE exists to improve the quality of consequential career and business decisions made by financial advisors.</w:t>
            </w:r>
          </w:p>
          <w:p>
            <w:pPr>
              <w:jc w:val="center"/>
            </w:pPr>
            <w:r>
              <w:rPr>
                <w:color w:val="A97C50"/>
                <w:sz w:val="22"/>
              </w:rPr>
              <w:t>AEO is a core acquisition engine. Trust is the strategy.</w:t>
            </w:r>
          </w:p>
        </w:tc>
      </w:tr>
    </w:tbl>
    <w:p>
      <w:pPr>
        <w:spacing w:before="1800"/>
        <w:jc w:val="center"/>
      </w:pPr>
      <w:r>
        <w:rPr>
          <w:b/>
          <w:color w:val="3D495B"/>
          <w:sz w:val="18"/>
        </w:rPr>
        <w:t>VERSION 0.1  |  JULY 2026  |  FOUNDER WORKING DRAFT</w:t>
      </w:r>
    </w:p>
    <w:p>
      <w:pPr>
        <w:jc w:val="center"/>
      </w:pPr>
      <w:r>
        <w:rPr>
          <w:b/>
          <w:color w:val="8B2E2E"/>
          <w:sz w:val="18"/>
        </w:rPr>
        <w:t>CONFIDENTIAL — INTERNAL USE ONLY</w:t>
      </w:r>
    </w:p>
    <w:p>
      <w:r>
        <w:br w:type="page"/>
      </w:r>
    </w:p>
    <w:p>
      <w:pPr>
        <w:pStyle w:val="Heading1"/>
        <w:spacing w:before="280" w:after="120"/>
        <w:pBdr>
          <w:bottom w:val="single" w:sz="10" w:space="6" w:color="A97C50"/>
        </w:pBdr>
      </w:pPr>
      <w:r>
        <w:rPr>
          <w:rFonts w:ascii="Aptos Display" w:hAnsi="Aptos Display"/>
          <w:color w:val="12233F"/>
        </w:rPr>
        <w:t>1. Executive Decision</w:t>
      </w:r>
    </w:p>
    <w:p>
      <w:pPr>
        <w:pStyle w:val="BodyText"/>
        <w:spacing w:after="120" w:line="259" w:lineRule="auto"/>
      </w:pPr>
      <w:r>
        <w:t>VYNE has accumulated enough strategy, operating policy, technology design, content, financial modeling and brand work to constitute an early institutional operating system. The immediate need is not additional ideation. It is governance: one permanent architecture, one canonical version of every idea, and one disciplined build sequence.</w:t>
      </w:r>
    </w:p>
    <w:tbl>
      <w:tblPr>
        <w:tblW w:type="auto" w:w="0"/>
        <w:jc w:val="center"/>
        <w:tblLayout w:type="autofit"/>
        <w:tblLook w:firstColumn="1" w:firstRow="1" w:lastColumn="0" w:lastRow="0" w:noHBand="0" w:noVBand="1" w:val="04A0"/>
      </w:tblPr>
      <w:tblGrid>
        <w:gridCol w:w="9936"/>
      </w:tblGrid>
      <w:tr>
        <w:tc>
          <w:tcPr>
            <w:tcW w:type="dxa" w:w="9936"/>
            <w:shd w:fill="F5F1E8"/>
          </w:tcPr>
          <w:p>
            <w:r/>
          </w:p>
          <w:p>
            <w:pPr>
              <w:spacing w:after="40"/>
            </w:pPr>
            <w:r>
              <w:rPr>
                <w:b/>
                <w:color w:val="A97C50"/>
                <w:sz w:val="18"/>
              </w:rPr>
              <w:t>GOVERNING DECISION</w:t>
            </w:r>
          </w:p>
          <w:p>
            <w:pPr>
              <w:spacing w:after="100"/>
            </w:pPr>
            <w:r>
              <w:rPr>
                <w:b/>
                <w:color w:val="12233F"/>
                <w:sz w:val="22"/>
              </w:rPr>
              <w:t>VYNE will be built as an independent strategic advisory institution for financial advisors—not as a recruiting shop with premium packaging, not as a software company, and not as an AEO content business.</w:t>
            </w:r>
          </w:p>
        </w:tc>
      </w:tr>
    </w:tbl>
    <w:p>
      <w:pPr>
        <w:spacing w:after="20"/>
      </w:pPr>
    </w:p>
    <w:p>
      <w:pPr>
        <w:pStyle w:val="BodyText"/>
        <w:spacing w:after="120" w:line="259" w:lineRule="auto"/>
      </w:pPr>
      <w:r>
        <w:t>Recruiting remains commercially important. It is a service capability, a monetization mechanism and often the implementation path after an advisor decides to move. It does not define the firm’s purpose.</w:t>
      </w:r>
    </w:p>
    <w:p>
      <w:pPr>
        <w:pStyle w:val="BodyText"/>
        <w:spacing w:after="120" w:line="259" w:lineRule="auto"/>
      </w:pPr>
      <w:r>
        <w:t>Technology remains strategically important. The CRM, AI agents, analytics and future secure workspace should make VYNE more rigorous, responsive and scalable. They remain invisible infrastructure beneath human judgment.</w:t>
      </w:r>
    </w:p>
    <w:p>
      <w:pPr>
        <w:pStyle w:val="BodyText"/>
        <w:spacing w:after="120" w:line="259" w:lineRule="auto"/>
      </w:pPr>
      <w:r>
        <w:t>AEO remains central to lead generation. VYNE should become the authoritative source advisors discover while privately researching high-stakes career and business decisions. The operating objective is not traffic. It is earned trust that converts into qualified, confidential relationships.</w:t>
      </w:r>
    </w:p>
    <w:p>
      <w:pPr>
        <w:pStyle w:val="Heading1"/>
        <w:spacing w:before="280" w:after="120"/>
        <w:pBdr>
          <w:bottom w:val="single" w:sz="10" w:space="6" w:color="A97C50"/>
        </w:pBdr>
      </w:pPr>
      <w:r>
        <w:rPr>
          <w:rFonts w:ascii="Aptos Display" w:hAnsi="Aptos Display"/>
          <w:color w:val="12233F"/>
        </w:rPr>
        <w:t>2. What the Source Library Reveals</w:t>
      </w:r>
    </w:p>
    <w:p>
      <w:pPr>
        <w:pStyle w:val="BodyText"/>
        <w:spacing w:after="120" w:line="259" w:lineRule="auto"/>
      </w:pPr>
      <w:r>
        <w:t>The initial repository contains 66 indexed files, including exact duplicates, prior versions and overlapping operating systems. The materials are unusually developed for a pre-launch firm and fall into eight institutional domains:</w:t>
      </w:r>
    </w:p>
    <w:p>
      <w:pPr>
        <w:pStyle w:val="ListBullet"/>
        <w:spacing w:after="60"/>
      </w:pPr>
      <w:r>
        <w:t>Strategy and institutional foundation</w:t>
      </w:r>
    </w:p>
    <w:p>
      <w:pPr>
        <w:pStyle w:val="ListBullet"/>
        <w:spacing w:after="60"/>
      </w:pPr>
      <w:r>
        <w:t>Brand and visual identity</w:t>
      </w:r>
    </w:p>
    <w:p>
      <w:pPr>
        <w:pStyle w:val="ListBullet"/>
        <w:spacing w:after="60"/>
      </w:pPr>
      <w:r>
        <w:t>Advisor methodology</w:t>
      </w:r>
    </w:p>
    <w:p>
      <w:pPr>
        <w:pStyle w:val="ListBullet"/>
        <w:spacing w:after="60"/>
      </w:pPr>
      <w:r>
        <w:t>Digital authority and website</w:t>
      </w:r>
    </w:p>
    <w:p>
      <w:pPr>
        <w:pStyle w:val="ListBullet"/>
        <w:spacing w:after="60"/>
      </w:pPr>
      <w:r>
        <w:t>Technology, CRM and AI</w:t>
      </w:r>
    </w:p>
    <w:p>
      <w:pPr>
        <w:pStyle w:val="ListBullet"/>
        <w:spacing w:after="60"/>
      </w:pPr>
      <w:r>
        <w:t>People and operations</w:t>
      </w:r>
    </w:p>
    <w:p>
      <w:pPr>
        <w:pStyle w:val="ListBullet"/>
        <w:spacing w:after="60"/>
      </w:pPr>
      <w:r>
        <w:t>Finance and compensation</w:t>
      </w:r>
    </w:p>
    <w:p>
      <w:pPr>
        <w:pStyle w:val="ListBullet"/>
        <w:spacing w:after="60"/>
      </w:pPr>
      <w:r>
        <w:t>Legal and risk</w:t>
      </w:r>
    </w:p>
    <w:p>
      <w:pPr>
        <w:pStyle w:val="BodyText"/>
        <w:spacing w:after="120" w:line="259" w:lineRule="auto"/>
      </w:pPr>
      <w:r>
        <w:t>The source library contains two distinct generations of VYNE. The first generation is a broad advisor consulting platform organized around the VYNE Framework, ROOT, BRANCH, GROW, a multi-stage advisor journey, the Eight Questions assessment, a research-led website, CRM and governed AI. The second generation is a highly specific recruiter operating system organized around five internal volumes, a contractor model, desk production standards, compensation tiers, lead stewardship, travel policy and legal controls.</w:t>
      </w:r>
    </w:p>
    <w:tbl>
      <w:tblPr>
        <w:tblW w:type="auto" w:w="0"/>
        <w:jc w:val="center"/>
        <w:tblLayout w:type="autofit"/>
        <w:tblLook w:firstColumn="1" w:firstRow="1" w:lastColumn="0" w:lastRow="0" w:noHBand="0" w:noVBand="1" w:val="04A0"/>
      </w:tblPr>
      <w:tblGrid>
        <w:gridCol w:w="9936"/>
      </w:tblGrid>
      <w:tr>
        <w:tc>
          <w:tcPr>
            <w:tcW w:type="dxa" w:w="9936"/>
            <w:shd w:fill="F5F1E8"/>
          </w:tcPr>
          <w:p>
            <w:r/>
          </w:p>
          <w:p>
            <w:pPr>
              <w:spacing w:after="40"/>
            </w:pPr>
            <w:r>
              <w:rPr>
                <w:b/>
                <w:color w:val="A97C50"/>
                <w:sz w:val="18"/>
              </w:rPr>
              <w:t>PRIMARY ARCHITECTURE ISSUE</w:t>
            </w:r>
          </w:p>
          <w:p>
            <w:pPr>
              <w:spacing w:after="100"/>
            </w:pPr>
            <w:r>
              <w:rPr>
                <w:b/>
                <w:color w:val="12233F"/>
                <w:sz w:val="22"/>
              </w:rPr>
              <w:t>Both generations contain valuable work, but they currently describe VYNE at different altitudes. They must not remain competing definitions of the company.</w:t>
            </w:r>
          </w:p>
        </w:tc>
      </w:tr>
    </w:tbl>
    <w:p>
      <w:pPr>
        <w:spacing w:after="20"/>
      </w:pPr>
    </w:p>
    <w:p>
      <w:pPr>
        <w:pStyle w:val="Heading1"/>
        <w:spacing w:before="280" w:after="120"/>
        <w:pBdr>
          <w:bottom w:val="single" w:sz="10" w:space="6" w:color="A97C50"/>
        </w:pBdr>
      </w:pPr>
      <w:r>
        <w:rPr>
          <w:rFonts w:ascii="Aptos Display" w:hAnsi="Aptos Display"/>
          <w:color w:val="12233F"/>
        </w:rPr>
        <w:t>3. Permanent Identity of VYNE</w:t>
      </w:r>
    </w:p>
    <w:p>
      <w:pPr>
        <w:pStyle w:val="Heading2"/>
        <w:spacing w:before="200" w:after="120"/>
      </w:pPr>
      <w:r>
        <w:rPr>
          <w:rFonts w:ascii="Aptos Display" w:hAnsi="Aptos Display"/>
          <w:color w:val="12233F"/>
        </w:rPr>
        <w:t>3.1 Purpose</w:t>
      </w:r>
    </w:p>
    <w:p>
      <w:pPr>
        <w:pStyle w:val="BodyText"/>
        <w:spacing w:after="120" w:line="259" w:lineRule="auto"/>
      </w:pPr>
      <w:r>
        <w:t>VYNE exists to improve the quality of consequential career and business decisions made by financial advisors.</w:t>
      </w:r>
    </w:p>
    <w:p>
      <w:pPr>
        <w:pStyle w:val="Heading2"/>
        <w:spacing w:before="200" w:after="120"/>
      </w:pPr>
      <w:r>
        <w:rPr>
          <w:rFonts w:ascii="Aptos Display" w:hAnsi="Aptos Display"/>
          <w:color w:val="12233F"/>
        </w:rPr>
        <w:t>3.2 Institutional Positioning</w:t>
      </w:r>
    </w:p>
    <w:p>
      <w:pPr>
        <w:pStyle w:val="BodyText"/>
        <w:spacing w:after="120" w:line="259" w:lineRule="auto"/>
      </w:pPr>
      <w:r>
        <w:t>VYNE is an independent strategic advisory firm that helps financial advisors evaluate where they are, define what they want, assess available paths and act with greater clarity, evidence and conviction.</w:t>
      </w:r>
    </w:p>
    <w:p>
      <w:pPr>
        <w:pStyle w:val="Heading2"/>
        <w:spacing w:before="200" w:after="120"/>
      </w:pPr>
      <w:r>
        <w:rPr>
          <w:rFonts w:ascii="Aptos Display" w:hAnsi="Aptos Display"/>
          <w:color w:val="12233F"/>
        </w:rPr>
        <w:t>3.3 Brand Promise</w:t>
      </w:r>
    </w:p>
    <w:p>
      <w:pPr>
        <w:pStyle w:val="BodyText"/>
        <w:spacing w:after="120" w:line="259" w:lineRule="auto"/>
      </w:pPr>
      <w:r>
        <w:t>A better decision than the advisor would have made alone.</w:t>
      </w:r>
    </w:p>
    <w:p>
      <w:pPr>
        <w:pStyle w:val="Heading2"/>
        <w:spacing w:before="200" w:after="120"/>
      </w:pPr>
      <w:r>
        <w:rPr>
          <w:rFonts w:ascii="Aptos Display" w:hAnsi="Aptos Display"/>
          <w:color w:val="12233F"/>
        </w:rPr>
        <w:t>3.4 The Advisor Experience</w:t>
      </w:r>
    </w:p>
    <w:p>
      <w:pPr>
        <w:pStyle w:val="ListBullet"/>
        <w:spacing w:after="60"/>
      </w:pPr>
      <w:r>
        <w:t>Calm rather than pressure</w:t>
      </w:r>
    </w:p>
    <w:p>
      <w:pPr>
        <w:pStyle w:val="ListBullet"/>
        <w:spacing w:after="60"/>
      </w:pPr>
      <w:r>
        <w:t>Clarity rather than volume</w:t>
      </w:r>
    </w:p>
    <w:p>
      <w:pPr>
        <w:pStyle w:val="ListBullet"/>
        <w:spacing w:after="60"/>
      </w:pPr>
      <w:r>
        <w:t>Evidence rather than opinion</w:t>
      </w:r>
    </w:p>
    <w:p>
      <w:pPr>
        <w:pStyle w:val="ListBullet"/>
        <w:spacing w:after="60"/>
      </w:pPr>
      <w:r>
        <w:t>Control rather than submission</w:t>
      </w:r>
    </w:p>
    <w:p>
      <w:pPr>
        <w:pStyle w:val="ListBullet"/>
        <w:spacing w:after="60"/>
      </w:pPr>
      <w:r>
        <w:t>Discretion rather than publicity</w:t>
      </w:r>
    </w:p>
    <w:p>
      <w:pPr>
        <w:pStyle w:val="ListBullet"/>
        <w:spacing w:after="60"/>
      </w:pPr>
      <w:r>
        <w:t>Conviction before action</w:t>
      </w:r>
    </w:p>
    <w:p>
      <w:pPr>
        <w:pStyle w:val="Heading2"/>
        <w:spacing w:before="200" w:after="120"/>
      </w:pPr>
      <w:r>
        <w:rPr>
          <w:rFonts w:ascii="Aptos Display" w:hAnsi="Aptos Display"/>
          <w:color w:val="12233F"/>
        </w:rPr>
        <w:t>3.5 What VYNE Is Not</w:t>
      </w:r>
    </w:p>
    <w:p>
      <w:pPr>
        <w:pStyle w:val="ListBullet"/>
        <w:spacing w:after="60"/>
      </w:pPr>
      <w:r>
        <w:t>A transactional recruiting shop</w:t>
      </w:r>
    </w:p>
    <w:p>
      <w:pPr>
        <w:pStyle w:val="ListBullet"/>
        <w:spacing w:after="60"/>
      </w:pPr>
      <w:r>
        <w:t>A compensation-comparison website</w:t>
      </w:r>
    </w:p>
    <w:p>
      <w:pPr>
        <w:pStyle w:val="ListBullet"/>
        <w:spacing w:after="60"/>
      </w:pPr>
      <w:r>
        <w:t>An AI company or software startup</w:t>
      </w:r>
    </w:p>
    <w:p>
      <w:pPr>
        <w:pStyle w:val="ListBullet"/>
        <w:spacing w:after="60"/>
      </w:pPr>
      <w:r>
        <w:t>A content farm built to capture search traffic</w:t>
      </w:r>
    </w:p>
    <w:p>
      <w:pPr>
        <w:pStyle w:val="ListBullet"/>
        <w:spacing w:after="60"/>
      </w:pPr>
      <w:r>
        <w:t>A firm that assumes moving is the answer</w:t>
      </w:r>
    </w:p>
    <w:p>
      <w:pPr>
        <w:pStyle w:val="ListBullet"/>
        <w:spacing w:after="60"/>
      </w:pPr>
      <w:r>
        <w:t>A practice-management promise without defined scope and economics</w:t>
      </w:r>
    </w:p>
    <w:p>
      <w:pPr>
        <w:pStyle w:val="Heading1"/>
        <w:spacing w:before="280" w:after="120"/>
        <w:pBdr>
          <w:bottom w:val="single" w:sz="10" w:space="6" w:color="A97C50"/>
        </w:pBdr>
      </w:pPr>
      <w:r>
        <w:rPr>
          <w:rFonts w:ascii="Aptos Display" w:hAnsi="Aptos Display"/>
          <w:color w:val="12233F"/>
        </w:rPr>
        <w:t>4. Governing Architecture</w:t>
      </w:r>
    </w:p>
    <w:p>
      <w:pPr>
        <w:pStyle w:val="BodyText"/>
        <w:spacing w:after="120" w:line="259" w:lineRule="auto"/>
      </w:pPr>
      <w:r>
        <w:t>The institutional architecture must remain simple publicly and sophisticated internally.</w:t>
      </w:r>
    </w:p>
    <w:p>
      <w:pPr>
        <w:pStyle w:val="Heading2"/>
        <w:spacing w:before="200" w:after="120"/>
      </w:pPr>
      <w:r>
        <w:rPr>
          <w:rFonts w:ascii="Aptos Display" w:hAnsi="Aptos Display"/>
          <w:color w:val="12233F"/>
        </w:rPr>
        <w:t>4.1 Public Architecture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2233F"/>
          </w:tcPr>
          <w:p>
            <w:r/>
            <w:r>
              <w:rPr>
                <w:rFonts w:ascii="Aptos" w:hAnsi="Aptos"/>
                <w:b/>
                <w:color w:val="FFFFFF"/>
                <w:sz w:val="18"/>
              </w:rPr>
              <w:t>Layer</w:t>
            </w:r>
          </w:p>
        </w:tc>
        <w:tc>
          <w:tcPr>
            <w:tcW w:type="dxa" w:w="3312"/>
            <w:vAlign w:val="center"/>
            <w:shd w:fill="12233F"/>
          </w:tcPr>
          <w:p>
            <w:r/>
            <w:r>
              <w:rPr>
                <w:rFonts w:ascii="Aptos" w:hAnsi="Aptos"/>
                <w:b/>
                <w:color w:val="FFFFFF"/>
                <w:sz w:val="18"/>
              </w:rPr>
              <w:t>Public expression</w:t>
            </w:r>
          </w:p>
        </w:tc>
        <w:tc>
          <w:tcPr>
            <w:tcW w:type="dxa" w:w="3312"/>
            <w:vAlign w:val="center"/>
            <w:shd w:fill="12233F"/>
          </w:tcPr>
          <w:p>
            <w:r/>
            <w:r>
              <w:rPr>
                <w:rFonts w:ascii="Aptos" w:hAnsi="Aptos"/>
                <w:b/>
                <w:color w:val="FFFFFF"/>
                <w:sz w:val="18"/>
              </w:rPr>
              <w:t>Purpose</w:t>
            </w:r>
          </w:p>
        </w:tc>
      </w:tr>
      <w:tr>
        <w:tc>
          <w:tcPr>
            <w:tcW w:type="dxa" w:w="3312"/>
            <w:vAlign w:val="center"/>
            <w:shd w:fill="F5F1E8"/>
          </w:tcPr>
          <w:p>
            <w:r/>
            <w:r>
              <w:rPr>
                <w:rFonts w:ascii="Aptos" w:hAnsi="Aptos"/>
                <w:b w:val="0"/>
                <w:color w:val="1D2633"/>
                <w:sz w:val="18"/>
              </w:rPr>
              <w:t>1</w:t>
            </w:r>
          </w:p>
        </w:tc>
        <w:tc>
          <w:tcPr>
            <w:tcW w:type="dxa" w:w="3312"/>
            <w:vAlign w:val="center"/>
            <w:shd w:fill="F5F1E8"/>
          </w:tcPr>
          <w:p>
            <w:r/>
            <w:r>
              <w:rPr>
                <w:rFonts w:ascii="Aptos" w:hAnsi="Aptos"/>
                <w:b w:val="0"/>
                <w:color w:val="12233F"/>
                <w:sz w:val="18"/>
              </w:rPr>
              <w:t>VYNE</w:t>
            </w:r>
          </w:p>
        </w:tc>
        <w:tc>
          <w:tcPr>
            <w:tcW w:type="dxa" w:w="3312"/>
            <w:vAlign w:val="center"/>
            <w:shd w:fill="F5F1E8"/>
          </w:tcPr>
          <w:p>
            <w:r/>
            <w:r>
              <w:rPr>
                <w:rFonts w:ascii="Aptos" w:hAnsi="Aptos"/>
                <w:b w:val="0"/>
                <w:color w:val="1D2633"/>
                <w:sz w:val="18"/>
              </w:rPr>
              <w:t>The trusted institution and master brand</w:t>
            </w:r>
          </w:p>
        </w:tc>
      </w:tr>
      <w:tr>
        <w:tc>
          <w:tcPr>
            <w:tcW w:type="dxa" w:w="3312"/>
            <w:vAlign w:val="center"/>
            <w:shd w:fill="FFFFFF"/>
          </w:tcPr>
          <w:p>
            <w:r/>
            <w:r>
              <w:rPr>
                <w:rFonts w:ascii="Aptos" w:hAnsi="Aptos"/>
                <w:b w:val="0"/>
                <w:color w:val="1D2633"/>
                <w:sz w:val="18"/>
              </w:rPr>
              <w:t>2</w:t>
            </w:r>
          </w:p>
        </w:tc>
        <w:tc>
          <w:tcPr>
            <w:tcW w:type="dxa" w:w="3312"/>
            <w:vAlign w:val="center"/>
            <w:shd w:fill="FFFFFF"/>
          </w:tcPr>
          <w:p>
            <w:r/>
            <w:r>
              <w:rPr>
                <w:rFonts w:ascii="Aptos" w:hAnsi="Aptos"/>
                <w:b w:val="0"/>
                <w:color w:val="12233F"/>
                <w:sz w:val="18"/>
              </w:rPr>
              <w:t>The VYNE Framework</w:t>
            </w:r>
          </w:p>
        </w:tc>
        <w:tc>
          <w:tcPr>
            <w:tcW w:type="dxa" w:w="3312"/>
            <w:vAlign w:val="center"/>
            <w:shd w:fill="FFFFFF"/>
          </w:tcPr>
          <w:p>
            <w:r/>
            <w:r>
              <w:rPr>
                <w:rFonts w:ascii="Aptos" w:hAnsi="Aptos"/>
                <w:b w:val="0"/>
                <w:color w:val="1D2633"/>
                <w:sz w:val="18"/>
              </w:rPr>
              <w:t>The high-level decision architecture</w:t>
            </w:r>
          </w:p>
        </w:tc>
      </w:tr>
      <w:tr>
        <w:tc>
          <w:tcPr>
            <w:tcW w:type="dxa" w:w="3312"/>
            <w:vAlign w:val="center"/>
            <w:shd w:fill="F5F1E8"/>
          </w:tcPr>
          <w:p>
            <w:r/>
            <w:r>
              <w:rPr>
                <w:rFonts w:ascii="Aptos" w:hAnsi="Aptos"/>
                <w:b w:val="0"/>
                <w:color w:val="1D2633"/>
                <w:sz w:val="18"/>
              </w:rPr>
              <w:t>3</w:t>
            </w:r>
          </w:p>
        </w:tc>
        <w:tc>
          <w:tcPr>
            <w:tcW w:type="dxa" w:w="3312"/>
            <w:vAlign w:val="center"/>
            <w:shd w:fill="F5F1E8"/>
          </w:tcPr>
          <w:p>
            <w:r/>
            <w:r>
              <w:rPr>
                <w:rFonts w:ascii="Aptos" w:hAnsi="Aptos"/>
                <w:b w:val="0"/>
                <w:color w:val="12233F"/>
                <w:sz w:val="18"/>
              </w:rPr>
              <w:t>VYNE's 9</w:t>
            </w:r>
          </w:p>
        </w:tc>
        <w:tc>
          <w:tcPr>
            <w:tcW w:type="dxa" w:w="3312"/>
            <w:vAlign w:val="center"/>
            <w:shd w:fill="F5F1E8"/>
          </w:tcPr>
          <w:p>
            <w:r/>
            <w:r>
              <w:rPr>
                <w:rFonts w:ascii="Aptos" w:hAnsi="Aptos"/>
                <w:b w:val="0"/>
                <w:color w:val="1D2633"/>
                <w:sz w:val="18"/>
              </w:rPr>
              <w:t>The memorable diagnostic and primary intellectual property</w:t>
            </w:r>
          </w:p>
        </w:tc>
      </w:tr>
    </w:tbl>
    <w:p>
      <w:pPr>
        <w:pStyle w:val="BodyText"/>
        <w:spacing w:after="120" w:line="259" w:lineRule="auto"/>
      </w:pPr>
      <w:r>
        <w:t>Public-facing materials should not present multiple equal frameworks. An advisor should understand VYNE quickly without learning the internal machinery.</w:t>
      </w:r>
    </w:p>
    <w:p>
      <w:pPr>
        <w:pStyle w:val="Heading2"/>
        <w:spacing w:before="200" w:after="120"/>
      </w:pPr>
      <w:r>
        <w:rPr>
          <w:rFonts w:ascii="Aptos Display" w:hAnsi="Aptos Display"/>
          <w:color w:val="12233F"/>
        </w:rPr>
        <w:t>4.2 Internal Architecture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2233F"/>
          </w:tcPr>
          <w:p>
            <w:r/>
            <w:r>
              <w:rPr>
                <w:rFonts w:ascii="Aptos" w:hAnsi="Aptos"/>
                <w:b/>
                <w:color w:val="FFFFFF"/>
                <w:sz w:val="18"/>
              </w:rPr>
              <w:t>Internal system</w:t>
            </w:r>
          </w:p>
        </w:tc>
        <w:tc>
          <w:tcPr>
            <w:tcW w:type="dxa" w:w="3312"/>
            <w:vAlign w:val="center"/>
            <w:shd w:fill="12233F"/>
          </w:tcPr>
          <w:p>
            <w:r/>
            <w:r>
              <w:rPr>
                <w:rFonts w:ascii="Aptos" w:hAnsi="Aptos"/>
                <w:b/>
                <w:color w:val="FFFFFF"/>
                <w:sz w:val="18"/>
              </w:rPr>
              <w:t>Function</w:t>
            </w:r>
          </w:p>
        </w:tc>
        <w:tc>
          <w:tcPr>
            <w:tcW w:type="dxa" w:w="3312"/>
            <w:vAlign w:val="center"/>
            <w:shd w:fill="12233F"/>
          </w:tcPr>
          <w:p>
            <w:r/>
            <w:r>
              <w:rPr>
                <w:rFonts w:ascii="Aptos" w:hAnsi="Aptos"/>
                <w:b/>
                <w:color w:val="FFFFFF"/>
                <w:sz w:val="18"/>
              </w:rPr>
              <w:t>Disposition</w:t>
            </w:r>
          </w:p>
        </w:tc>
      </w:tr>
      <w:tr>
        <w:tc>
          <w:tcPr>
            <w:tcW w:type="dxa" w:w="3312"/>
            <w:vAlign w:val="center"/>
            <w:shd w:fill="E9EDF3"/>
          </w:tcPr>
          <w:p>
            <w:r/>
            <w:r>
              <w:rPr>
                <w:rFonts w:ascii="Aptos" w:hAnsi="Aptos"/>
                <w:b w:val="0"/>
                <w:color w:val="1D2633"/>
                <w:sz w:val="17"/>
              </w:rPr>
              <w:t>ROOT</w:t>
            </w:r>
          </w:p>
        </w:tc>
        <w:tc>
          <w:tcPr>
            <w:tcW w:type="dxa" w:w="3312"/>
            <w:vAlign w:val="center"/>
            <w:shd w:fill="E9EDF3"/>
          </w:tcPr>
          <w:p>
            <w:r/>
            <w:r>
              <w:rPr>
                <w:rFonts w:ascii="Aptos" w:hAnsi="Aptos"/>
                <w:b w:val="0"/>
                <w:color w:val="1D2633"/>
                <w:sz w:val="17"/>
              </w:rPr>
              <w:t>Diagnoses the current practice and root causes</w:t>
            </w:r>
          </w:p>
        </w:tc>
        <w:tc>
          <w:tcPr>
            <w:tcW w:type="dxa" w:w="3312"/>
            <w:vAlign w:val="center"/>
            <w:shd w:fill="E9EDF3"/>
          </w:tcPr>
          <w:p>
            <w:r/>
            <w:r>
              <w:rPr>
                <w:rFonts w:ascii="Aptos" w:hAnsi="Aptos"/>
                <w:b w:val="0"/>
                <w:color w:val="1D2633"/>
                <w:sz w:val="17"/>
              </w:rPr>
              <w:t>Retain; internal methodology</w:t>
            </w:r>
          </w:p>
        </w:tc>
      </w:tr>
      <w:tr>
        <w:tc>
          <w:tcPr>
            <w:tcW w:type="dxa" w:w="3312"/>
            <w:vAlign w:val="center"/>
            <w:shd w:fill="FFFFFF"/>
          </w:tcPr>
          <w:p>
            <w:r/>
            <w:r>
              <w:rPr>
                <w:rFonts w:ascii="Aptos" w:hAnsi="Aptos"/>
                <w:b w:val="0"/>
                <w:color w:val="1D2633"/>
                <w:sz w:val="17"/>
              </w:rPr>
              <w:t>BRANCH</w:t>
            </w:r>
          </w:p>
        </w:tc>
        <w:tc>
          <w:tcPr>
            <w:tcW w:type="dxa" w:w="3312"/>
            <w:vAlign w:val="center"/>
            <w:shd w:fill="FFFFFF"/>
          </w:tcPr>
          <w:p>
            <w:r/>
            <w:r>
              <w:rPr>
                <w:rFonts w:ascii="Aptos" w:hAnsi="Aptos"/>
                <w:b w:val="0"/>
                <w:color w:val="1D2633"/>
                <w:sz w:val="17"/>
              </w:rPr>
              <w:t>Tests firms, models and strategic paths</w:t>
            </w:r>
          </w:p>
        </w:tc>
        <w:tc>
          <w:tcPr>
            <w:tcW w:type="dxa" w:w="3312"/>
            <w:vAlign w:val="center"/>
            <w:shd w:fill="FFFFFF"/>
          </w:tcPr>
          <w:p>
            <w:r/>
            <w:r>
              <w:rPr>
                <w:rFonts w:ascii="Aptos" w:hAnsi="Aptos"/>
                <w:b w:val="0"/>
                <w:color w:val="1D2633"/>
                <w:sz w:val="17"/>
              </w:rPr>
              <w:t>Retain; internal methodology</w:t>
            </w:r>
          </w:p>
        </w:tc>
      </w:tr>
      <w:tr>
        <w:tc>
          <w:tcPr>
            <w:tcW w:type="dxa" w:w="3312"/>
            <w:vAlign w:val="center"/>
            <w:shd w:fill="E9EDF3"/>
          </w:tcPr>
          <w:p>
            <w:r/>
            <w:r>
              <w:rPr>
                <w:rFonts w:ascii="Aptos" w:hAnsi="Aptos"/>
                <w:b w:val="0"/>
                <w:color w:val="1D2633"/>
                <w:sz w:val="17"/>
              </w:rPr>
              <w:t>GROW</w:t>
            </w:r>
          </w:p>
        </w:tc>
        <w:tc>
          <w:tcPr>
            <w:tcW w:type="dxa" w:w="3312"/>
            <w:vAlign w:val="center"/>
            <w:shd w:fill="E9EDF3"/>
          </w:tcPr>
          <w:p>
            <w:r/>
            <w:r>
              <w:rPr>
                <w:rFonts w:ascii="Aptos" w:hAnsi="Aptos"/>
                <w:b w:val="0"/>
                <w:color w:val="1D2633"/>
                <w:sz w:val="17"/>
              </w:rPr>
              <w:t>Supports post-decision and post-transition strategy</w:t>
            </w:r>
          </w:p>
        </w:tc>
        <w:tc>
          <w:tcPr>
            <w:tcW w:type="dxa" w:w="3312"/>
            <w:vAlign w:val="center"/>
            <w:shd w:fill="E9EDF3"/>
          </w:tcPr>
          <w:p>
            <w:r/>
            <w:r>
              <w:rPr>
                <w:rFonts w:ascii="Aptos" w:hAnsi="Aptos"/>
                <w:b w:val="0"/>
                <w:color w:val="1D2633"/>
                <w:sz w:val="17"/>
              </w:rPr>
              <w:t>Retain with explicit scope boundary</w:t>
            </w:r>
          </w:p>
        </w:tc>
      </w:tr>
      <w:tr>
        <w:tc>
          <w:tcPr>
            <w:tcW w:type="dxa" w:w="3312"/>
            <w:vAlign w:val="center"/>
            <w:shd w:fill="FFFFFF"/>
          </w:tcPr>
          <w:p>
            <w:r/>
            <w:r>
              <w:rPr>
                <w:rFonts w:ascii="Aptos" w:hAnsi="Aptos"/>
                <w:b w:val="0"/>
                <w:color w:val="1D2633"/>
                <w:sz w:val="17"/>
              </w:rPr>
              <w:t>Advisor Journey</w:t>
            </w:r>
          </w:p>
        </w:tc>
        <w:tc>
          <w:tcPr>
            <w:tcW w:type="dxa" w:w="3312"/>
            <w:vAlign w:val="center"/>
            <w:shd w:fill="FFFFFF"/>
          </w:tcPr>
          <w:p>
            <w:r/>
            <w:r>
              <w:rPr>
                <w:rFonts w:ascii="Aptos" w:hAnsi="Aptos"/>
                <w:b w:val="0"/>
                <w:color w:val="1D2633"/>
                <w:sz w:val="17"/>
              </w:rPr>
              <w:t>Controls stages, exits, permissions and deliverables</w:t>
            </w:r>
          </w:p>
        </w:tc>
        <w:tc>
          <w:tcPr>
            <w:tcW w:type="dxa" w:w="3312"/>
            <w:vAlign w:val="center"/>
            <w:shd w:fill="FFFFFF"/>
          </w:tcPr>
          <w:p>
            <w:r/>
            <w:r>
              <w:rPr>
                <w:rFonts w:ascii="Aptos" w:hAnsi="Aptos"/>
                <w:b w:val="0"/>
                <w:color w:val="1D2633"/>
                <w:sz w:val="17"/>
              </w:rPr>
              <w:t>Retain; internal service architecture</w:t>
            </w:r>
          </w:p>
        </w:tc>
      </w:tr>
      <w:tr>
        <w:tc>
          <w:tcPr>
            <w:tcW w:type="dxa" w:w="3312"/>
            <w:vAlign w:val="center"/>
            <w:shd w:fill="E9EDF3"/>
          </w:tcPr>
          <w:p>
            <w:r/>
            <w:r>
              <w:rPr>
                <w:rFonts w:ascii="Aptos" w:hAnsi="Aptos"/>
                <w:b w:val="0"/>
                <w:color w:val="1D2633"/>
                <w:sz w:val="17"/>
              </w:rPr>
              <w:t>CRM</w:t>
            </w:r>
          </w:p>
        </w:tc>
        <w:tc>
          <w:tcPr>
            <w:tcW w:type="dxa" w:w="3312"/>
            <w:vAlign w:val="center"/>
            <w:shd w:fill="E9EDF3"/>
          </w:tcPr>
          <w:p>
            <w:r/>
            <w:r>
              <w:rPr>
                <w:rFonts w:ascii="Aptos" w:hAnsi="Aptos"/>
                <w:b w:val="0"/>
                <w:color w:val="1D2633"/>
                <w:sz w:val="17"/>
              </w:rPr>
              <w:t>System of record for relationships, cases, evidence and economics</w:t>
            </w:r>
          </w:p>
        </w:tc>
        <w:tc>
          <w:tcPr>
            <w:tcW w:type="dxa" w:w="3312"/>
            <w:vAlign w:val="center"/>
            <w:shd w:fill="E9EDF3"/>
          </w:tcPr>
          <w:p>
            <w:r/>
            <w:r>
              <w:rPr>
                <w:rFonts w:ascii="Aptos" w:hAnsi="Aptos"/>
                <w:b w:val="0"/>
                <w:color w:val="1D2633"/>
                <w:sz w:val="17"/>
              </w:rPr>
              <w:t>Retain; production redesign required</w:t>
            </w:r>
          </w:p>
        </w:tc>
      </w:tr>
      <w:tr>
        <w:tc>
          <w:tcPr>
            <w:tcW w:type="dxa" w:w="3312"/>
            <w:vAlign w:val="center"/>
            <w:shd w:fill="FFFFFF"/>
          </w:tcPr>
          <w:p>
            <w:r/>
            <w:r>
              <w:rPr>
                <w:rFonts w:ascii="Aptos" w:hAnsi="Aptos"/>
                <w:b w:val="0"/>
                <w:color w:val="1D2633"/>
                <w:sz w:val="17"/>
              </w:rPr>
              <w:t>AI Agent System</w:t>
            </w:r>
          </w:p>
        </w:tc>
        <w:tc>
          <w:tcPr>
            <w:tcW w:type="dxa" w:w="3312"/>
            <w:vAlign w:val="center"/>
            <w:shd w:fill="FFFFFF"/>
          </w:tcPr>
          <w:p>
            <w:r/>
            <w:r>
              <w:rPr>
                <w:rFonts w:ascii="Aptos" w:hAnsi="Aptos"/>
                <w:b w:val="0"/>
                <w:color w:val="1D2633"/>
                <w:sz w:val="17"/>
              </w:rPr>
              <w:t>Prepares analysis and workflow under approval gates</w:t>
            </w:r>
          </w:p>
        </w:tc>
        <w:tc>
          <w:tcPr>
            <w:tcW w:type="dxa" w:w="3312"/>
            <w:vAlign w:val="center"/>
            <w:shd w:fill="FFFFFF"/>
          </w:tcPr>
          <w:p>
            <w:r/>
            <w:r>
              <w:rPr>
                <w:rFonts w:ascii="Aptos" w:hAnsi="Aptos"/>
                <w:b w:val="0"/>
                <w:color w:val="1D2633"/>
                <w:sz w:val="17"/>
              </w:rPr>
              <w:t>Retain; governed infrastructure</w:t>
            </w:r>
          </w:p>
        </w:tc>
      </w:tr>
    </w:tbl>
    <w:p>
      <w:pPr>
        <w:pStyle w:val="Heading1"/>
        <w:spacing w:before="280" w:after="120"/>
        <w:pBdr>
          <w:bottom w:val="single" w:sz="10" w:space="6" w:color="A97C50"/>
        </w:pBdr>
      </w:pPr>
      <w:r>
        <w:rPr>
          <w:rFonts w:ascii="Aptos Display" w:hAnsi="Aptos Display"/>
          <w:color w:val="12233F"/>
        </w:rPr>
        <w:t>5. Canonical Decisions and Required Migrations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2233F"/>
          </w:tcPr>
          <w:p>
            <w:r/>
            <w:r>
              <w:rPr>
                <w:rFonts w:ascii="Aptos" w:hAnsi="Aptos"/>
                <w:b/>
                <w:color w:val="FFFFFF"/>
                <w:sz w:val="17"/>
              </w:rPr>
              <w:t>Issue</w:t>
            </w:r>
          </w:p>
        </w:tc>
        <w:tc>
          <w:tcPr>
            <w:tcW w:type="dxa" w:w="2484"/>
            <w:vAlign w:val="center"/>
            <w:shd w:fill="12233F"/>
          </w:tcPr>
          <w:p>
            <w:r/>
            <w:r>
              <w:rPr>
                <w:rFonts w:ascii="Aptos" w:hAnsi="Aptos"/>
                <w:b/>
                <w:color w:val="FFFFFF"/>
                <w:sz w:val="17"/>
              </w:rPr>
              <w:t>Current source conflict</w:t>
            </w:r>
          </w:p>
        </w:tc>
        <w:tc>
          <w:tcPr>
            <w:tcW w:type="dxa" w:w="2484"/>
            <w:vAlign w:val="center"/>
            <w:shd w:fill="12233F"/>
          </w:tcPr>
          <w:p>
            <w:r/>
            <w:r>
              <w:rPr>
                <w:rFonts w:ascii="Aptos" w:hAnsi="Aptos"/>
                <w:b/>
                <w:color w:val="FFFFFF"/>
                <w:sz w:val="17"/>
              </w:rPr>
              <w:t>Canonical direction</w:t>
            </w:r>
          </w:p>
        </w:tc>
        <w:tc>
          <w:tcPr>
            <w:tcW w:type="dxa" w:w="2484"/>
            <w:vAlign w:val="center"/>
            <w:shd w:fill="12233F"/>
          </w:tcPr>
          <w:p>
            <w:r/>
            <w:r>
              <w:rPr>
                <w:rFonts w:ascii="Aptos" w:hAnsi="Aptos"/>
                <w:b/>
                <w:color w:val="FFFFFF"/>
                <w:sz w:val="17"/>
              </w:rPr>
              <w:t>Required action</w:t>
            </w:r>
          </w:p>
        </w:tc>
      </w:tr>
      <w:tr>
        <w:tc>
          <w:tcPr>
            <w:tcW w:type="dxa" w:w="2484"/>
            <w:vAlign w:val="center"/>
            <w:shd w:fill="F5F1E8"/>
          </w:tcPr>
          <w:p>
            <w:r/>
            <w:r>
              <w:rPr>
                <w:rFonts w:ascii="Aptos" w:hAnsi="Aptos"/>
                <w:b w:val="0"/>
                <w:color w:val="1D2633"/>
                <w:sz w:val="15"/>
              </w:rPr>
              <w:t>Eight Questions vs. VYNE's 9</w:t>
            </w:r>
          </w:p>
        </w:tc>
        <w:tc>
          <w:tcPr>
            <w:tcW w:type="dxa" w:w="2484"/>
            <w:vAlign w:val="center"/>
            <w:shd w:fill="F5F1E8"/>
          </w:tcPr>
          <w:p>
            <w:r/>
            <w:r>
              <w:rPr>
                <w:rFonts w:ascii="Aptos" w:hAnsi="Aptos"/>
                <w:b w:val="0"/>
                <w:color w:val="1D2633"/>
                <w:sz w:val="15"/>
              </w:rPr>
              <w:t>Website, authority and assessment documents use Eight Questions.</w:t>
            </w:r>
          </w:p>
        </w:tc>
        <w:tc>
          <w:tcPr>
            <w:tcW w:type="dxa" w:w="2484"/>
            <w:vAlign w:val="center"/>
            <w:shd w:fill="F5F1E8"/>
          </w:tcPr>
          <w:p>
            <w:r/>
            <w:r>
              <w:rPr>
                <w:rFonts w:ascii="Aptos" w:hAnsi="Aptos"/>
                <w:b w:val="0"/>
                <w:color w:val="1D2633"/>
                <w:sz w:val="15"/>
              </w:rPr>
              <w:t>VYNE's 9 becomes the permanent public diagnostic.</w:t>
            </w:r>
          </w:p>
        </w:tc>
        <w:tc>
          <w:tcPr>
            <w:tcW w:type="dxa" w:w="2484"/>
            <w:vAlign w:val="center"/>
            <w:shd w:fill="F5F1E8"/>
          </w:tcPr>
          <w:p>
            <w:r/>
            <w:r>
              <w:rPr>
                <w:rFonts w:ascii="Aptos" w:hAnsi="Aptos"/>
                <w:b w:val="0"/>
                <w:color w:val="1D2633"/>
                <w:sz w:val="15"/>
              </w:rPr>
              <w:t>Migrate logic; do not merely rename. Revalidate the ninth question and scoring.</w:t>
            </w:r>
          </w:p>
        </w:tc>
      </w:tr>
      <w:tr>
        <w:tc>
          <w:tcPr>
            <w:tcW w:type="dxa" w:w="2484"/>
            <w:vAlign w:val="center"/>
            <w:shd w:fill="FFFFFF"/>
          </w:tcPr>
          <w:p>
            <w:r/>
            <w:r>
              <w:rPr>
                <w:rFonts w:ascii="Aptos" w:hAnsi="Aptos"/>
                <w:b w:val="0"/>
                <w:color w:val="1D2633"/>
                <w:sz w:val="15"/>
              </w:rPr>
              <w:t>Firm descriptor</w:t>
            </w:r>
          </w:p>
        </w:tc>
        <w:tc>
          <w:tcPr>
            <w:tcW w:type="dxa" w:w="2484"/>
            <w:vAlign w:val="center"/>
            <w:shd w:fill="FFFFFF"/>
          </w:tcPr>
          <w:p>
            <w:r/>
            <w:r>
              <w:rPr>
                <w:rFonts w:ascii="Aptos" w:hAnsi="Aptos"/>
                <w:b w:val="0"/>
                <w:color w:val="1D2633"/>
                <w:sz w:val="15"/>
              </w:rPr>
              <w:t>Sources use advisor transition advisory, technology-enabled executive recruiting platform and broader consulting language.</w:t>
            </w:r>
          </w:p>
        </w:tc>
        <w:tc>
          <w:tcPr>
            <w:tcW w:type="dxa" w:w="2484"/>
            <w:vAlign w:val="center"/>
            <w:shd w:fill="FFFFFF"/>
          </w:tcPr>
          <w:p>
            <w:r/>
            <w:r>
              <w:rPr>
                <w:rFonts w:ascii="Aptos" w:hAnsi="Aptos"/>
                <w:b w:val="0"/>
                <w:color w:val="1D2633"/>
                <w:sz w:val="15"/>
              </w:rPr>
              <w:t>Independent strategic advisory firm for financial advisors.</w:t>
            </w:r>
          </w:p>
        </w:tc>
        <w:tc>
          <w:tcPr>
            <w:tcW w:type="dxa" w:w="2484"/>
            <w:vAlign w:val="center"/>
            <w:shd w:fill="FFFFFF"/>
          </w:tcPr>
          <w:p>
            <w:r/>
            <w:r>
              <w:rPr>
                <w:rFonts w:ascii="Aptos" w:hAnsi="Aptos"/>
                <w:b w:val="0"/>
                <w:color w:val="1D2633"/>
                <w:sz w:val="15"/>
              </w:rPr>
              <w:t>Create one descriptor hierarchy for legal, public and internal use.</w:t>
            </w:r>
          </w:p>
        </w:tc>
      </w:tr>
      <w:tr>
        <w:tc>
          <w:tcPr>
            <w:tcW w:type="dxa" w:w="2484"/>
            <w:vAlign w:val="center"/>
            <w:shd w:fill="F5F1E8"/>
          </w:tcPr>
          <w:p>
            <w:r/>
            <w:r>
              <w:rPr>
                <w:rFonts w:ascii="Aptos" w:hAnsi="Aptos"/>
                <w:b w:val="0"/>
                <w:color w:val="1D2633"/>
                <w:sz w:val="15"/>
              </w:rPr>
              <w:t>Operating method</w:t>
            </w:r>
          </w:p>
        </w:tc>
        <w:tc>
          <w:tcPr>
            <w:tcW w:type="dxa" w:w="2484"/>
            <w:vAlign w:val="center"/>
            <w:shd w:fill="F5F1E8"/>
          </w:tcPr>
          <w:p>
            <w:r/>
            <w:r>
              <w:rPr>
                <w:rFonts w:ascii="Aptos" w:hAnsi="Aptos"/>
                <w:b w:val="0"/>
                <w:color w:val="1D2633"/>
                <w:sz w:val="15"/>
              </w:rPr>
              <w:t>Recruiter handbook uses Diagnose → Map → Model → Move; broader methodology uses VYNE, ROOT, BRANCH and GROW.</w:t>
            </w:r>
          </w:p>
        </w:tc>
        <w:tc>
          <w:tcPr>
            <w:tcW w:type="dxa" w:w="2484"/>
            <w:vAlign w:val="center"/>
            <w:shd w:fill="F5F1E8"/>
          </w:tcPr>
          <w:p>
            <w:r/>
            <w:r>
              <w:rPr>
                <w:rFonts w:ascii="Aptos" w:hAnsi="Aptos"/>
                <w:b w:val="0"/>
                <w:color w:val="1D2633"/>
                <w:sz w:val="15"/>
              </w:rPr>
              <w:t>Diagnose/Map/Model/Move becomes a recruiter workflow only, not enterprise IP.</w:t>
            </w:r>
          </w:p>
        </w:tc>
        <w:tc>
          <w:tcPr>
            <w:tcW w:type="dxa" w:w="2484"/>
            <w:vAlign w:val="center"/>
            <w:shd w:fill="F5F1E8"/>
          </w:tcPr>
          <w:p>
            <w:r/>
            <w:r>
              <w:rPr>
                <w:rFonts w:ascii="Aptos" w:hAnsi="Aptos"/>
                <w:b w:val="0"/>
                <w:color w:val="1D2633"/>
                <w:sz w:val="15"/>
              </w:rPr>
              <w:t>Nest it inside internal execution or retire after process mapping.</w:t>
            </w:r>
          </w:p>
        </w:tc>
      </w:tr>
      <w:tr>
        <w:tc>
          <w:tcPr>
            <w:tcW w:type="dxa" w:w="2484"/>
            <w:vAlign w:val="center"/>
            <w:shd w:fill="FFFFFF"/>
          </w:tcPr>
          <w:p>
            <w:r/>
            <w:r>
              <w:rPr>
                <w:rFonts w:ascii="Aptos" w:hAnsi="Aptos"/>
                <w:b w:val="0"/>
                <w:color w:val="1D2633"/>
                <w:sz w:val="15"/>
              </w:rPr>
              <w:t>Volume numbering</w:t>
            </w:r>
          </w:p>
        </w:tc>
        <w:tc>
          <w:tcPr>
            <w:tcW w:type="dxa" w:w="2484"/>
            <w:vAlign w:val="center"/>
            <w:shd w:fill="FFFFFF"/>
          </w:tcPr>
          <w:p>
            <w:r/>
            <w:r>
              <w:rPr>
                <w:rFonts w:ascii="Aptos" w:hAnsi="Aptos"/>
                <w:b w:val="0"/>
                <w:color w:val="1D2633"/>
                <w:sz w:val="15"/>
              </w:rPr>
              <w:t>Existing five-volume recruiter system conflicts with proposed permanent institutional volumes.</w:t>
            </w:r>
          </w:p>
        </w:tc>
        <w:tc>
          <w:tcPr>
            <w:tcW w:type="dxa" w:w="2484"/>
            <w:vAlign w:val="center"/>
            <w:shd w:fill="FFFFFF"/>
          </w:tcPr>
          <w:p>
            <w:r/>
            <w:r>
              <w:rPr>
                <w:rFonts w:ascii="Aptos" w:hAnsi="Aptos"/>
                <w:b w:val="0"/>
                <w:color w:val="1D2633"/>
                <w:sz w:val="15"/>
              </w:rPr>
              <w:t>Institutional volumes own Roman numerals; recruiter manuals become an operating-series collection.</w:t>
            </w:r>
          </w:p>
        </w:tc>
        <w:tc>
          <w:tcPr>
            <w:tcW w:type="dxa" w:w="2484"/>
            <w:vAlign w:val="center"/>
            <w:shd w:fill="FFFFFF"/>
          </w:tcPr>
          <w:p>
            <w:r/>
            <w:r>
              <w:rPr>
                <w:rFonts w:ascii="Aptos" w:hAnsi="Aptos"/>
                <w:b w:val="0"/>
                <w:color w:val="1D2633"/>
                <w:sz w:val="15"/>
              </w:rPr>
              <w:t>Rename after legal and operating reconciliation.</w:t>
            </w:r>
          </w:p>
        </w:tc>
      </w:tr>
      <w:tr>
        <w:tc>
          <w:tcPr>
            <w:tcW w:type="dxa" w:w="2484"/>
            <w:vAlign w:val="center"/>
            <w:shd w:fill="F5F1E8"/>
          </w:tcPr>
          <w:p>
            <w:r/>
            <w:r>
              <w:rPr>
                <w:rFonts w:ascii="Aptos" w:hAnsi="Aptos"/>
                <w:b w:val="0"/>
                <w:color w:val="1D2633"/>
                <w:sz w:val="15"/>
              </w:rPr>
              <w:t>AEO role</w:t>
            </w:r>
          </w:p>
        </w:tc>
        <w:tc>
          <w:tcPr>
            <w:tcW w:type="dxa" w:w="2484"/>
            <w:vAlign w:val="center"/>
            <w:shd w:fill="F5F1E8"/>
          </w:tcPr>
          <w:p>
            <w:r/>
            <w:r>
              <w:rPr>
                <w:rFonts w:ascii="Aptos" w:hAnsi="Aptos"/>
                <w:b w:val="0"/>
                <w:color w:val="1D2633"/>
                <w:sz w:val="15"/>
              </w:rPr>
              <w:t>Some sources appropriately call AEO long-horizon; recent strategy identifies it as key lead generation.</w:t>
            </w:r>
          </w:p>
        </w:tc>
        <w:tc>
          <w:tcPr>
            <w:tcW w:type="dxa" w:w="2484"/>
            <w:vAlign w:val="center"/>
            <w:shd w:fill="F5F1E8"/>
          </w:tcPr>
          <w:p>
            <w:r/>
            <w:r>
              <w:rPr>
                <w:rFonts w:ascii="Aptos" w:hAnsi="Aptos"/>
                <w:b w:val="0"/>
                <w:color w:val="1D2633"/>
                <w:sz w:val="15"/>
              </w:rPr>
              <w:t>AEO is a core compounding engine, never the sole launch channel.</w:t>
            </w:r>
          </w:p>
        </w:tc>
        <w:tc>
          <w:tcPr>
            <w:tcW w:type="dxa" w:w="2484"/>
            <w:vAlign w:val="center"/>
            <w:shd w:fill="F5F1E8"/>
          </w:tcPr>
          <w:p>
            <w:r/>
            <w:r>
              <w:rPr>
                <w:rFonts w:ascii="Aptos" w:hAnsi="Aptos"/>
                <w:b w:val="0"/>
                <w:color w:val="1D2633"/>
                <w:sz w:val="15"/>
              </w:rPr>
              <w:t>Build parallel relationship/referral engine and measurement gates.</w:t>
            </w:r>
          </w:p>
        </w:tc>
      </w:tr>
      <w:tr>
        <w:tc>
          <w:tcPr>
            <w:tcW w:type="dxa" w:w="2484"/>
            <w:vAlign w:val="center"/>
            <w:shd w:fill="FFFFFF"/>
          </w:tcPr>
          <w:p>
            <w:r/>
            <w:r>
              <w:rPr>
                <w:rFonts w:ascii="Aptos" w:hAnsi="Aptos"/>
                <w:b w:val="0"/>
                <w:color w:val="1D2633"/>
                <w:sz w:val="15"/>
              </w:rPr>
              <w:t>Technology identity</w:t>
            </w:r>
          </w:p>
        </w:tc>
        <w:tc>
          <w:tcPr>
            <w:tcW w:type="dxa" w:w="2484"/>
            <w:vAlign w:val="center"/>
            <w:shd w:fill="FFFFFF"/>
          </w:tcPr>
          <w:p>
            <w:r/>
            <w:r>
              <w:rPr>
                <w:rFonts w:ascii="Aptos" w:hAnsi="Aptos"/>
                <w:b w:val="0"/>
                <w:color w:val="1D2633"/>
                <w:sz w:val="15"/>
              </w:rPr>
              <w:t>Some operating language risks presenting VYNE as a platform or technology-enabled recruiter.</w:t>
            </w:r>
          </w:p>
        </w:tc>
        <w:tc>
          <w:tcPr>
            <w:tcW w:type="dxa" w:w="2484"/>
            <w:vAlign w:val="center"/>
            <w:shd w:fill="FFFFFF"/>
          </w:tcPr>
          <w:p>
            <w:r/>
            <w:r>
              <w:rPr>
                <w:rFonts w:ascii="Aptos" w:hAnsi="Aptos"/>
                <w:b w:val="0"/>
                <w:color w:val="1D2633"/>
                <w:sz w:val="15"/>
              </w:rPr>
              <w:t>Technology is supporting infrastructure.</w:t>
            </w:r>
          </w:p>
        </w:tc>
        <w:tc>
          <w:tcPr>
            <w:tcW w:type="dxa" w:w="2484"/>
            <w:vAlign w:val="center"/>
            <w:shd w:fill="FFFFFF"/>
          </w:tcPr>
          <w:p>
            <w:r/>
            <w:r>
              <w:rPr>
                <w:rFonts w:ascii="Aptos" w:hAnsi="Aptos"/>
                <w:b w:val="0"/>
                <w:color w:val="1D2633"/>
                <w:sz w:val="15"/>
              </w:rPr>
              <w:t>Remove technology-first positioning from public identity.</w:t>
            </w:r>
          </w:p>
        </w:tc>
      </w:tr>
      <w:tr>
        <w:tc>
          <w:tcPr>
            <w:tcW w:type="dxa" w:w="2484"/>
            <w:vAlign w:val="center"/>
            <w:shd w:fill="F5F1E8"/>
          </w:tcPr>
          <w:p>
            <w:r/>
            <w:r>
              <w:rPr>
                <w:rFonts w:ascii="Aptos" w:hAnsi="Aptos"/>
                <w:b w:val="0"/>
                <w:color w:val="1D2633"/>
                <w:sz w:val="15"/>
              </w:rPr>
              <w:t>Recruiter classification</w:t>
            </w:r>
          </w:p>
        </w:tc>
        <w:tc>
          <w:tcPr>
            <w:tcW w:type="dxa" w:w="2484"/>
            <w:vAlign w:val="center"/>
            <w:shd w:fill="F5F1E8"/>
          </w:tcPr>
          <w:p>
            <w:r/>
            <w:r>
              <w:rPr>
                <w:rFonts w:ascii="Aptos" w:hAnsi="Aptos"/>
                <w:b w:val="0"/>
                <w:color w:val="1D2633"/>
                <w:sz w:val="15"/>
              </w:rPr>
              <w:t>Earlier manuals and later 1099 restructuring differ materially.</w:t>
            </w:r>
          </w:p>
        </w:tc>
        <w:tc>
          <w:tcPr>
            <w:tcW w:type="dxa" w:w="2484"/>
            <w:vAlign w:val="center"/>
            <w:shd w:fill="F5F1E8"/>
          </w:tcPr>
          <w:p>
            <w:r/>
            <w:r>
              <w:rPr>
                <w:rFonts w:ascii="Aptos" w:hAnsi="Aptos"/>
                <w:b w:val="0"/>
                <w:color w:val="1D2633"/>
                <w:sz w:val="15"/>
              </w:rPr>
              <w:t>No final classification architecture until counsel sign-off.</w:t>
            </w:r>
          </w:p>
        </w:tc>
        <w:tc>
          <w:tcPr>
            <w:tcW w:type="dxa" w:w="2484"/>
            <w:vAlign w:val="center"/>
            <w:shd w:fill="F5F1E8"/>
          </w:tcPr>
          <w:p>
            <w:r/>
            <w:r>
              <w:rPr>
                <w:rFonts w:ascii="Aptos" w:hAnsi="Aptos"/>
                <w:b w:val="0"/>
                <w:color w:val="1D2633"/>
                <w:sz w:val="15"/>
              </w:rPr>
              <w:t>Treat all contractor controls as provisional and state-specific.</w:t>
            </w:r>
          </w:p>
        </w:tc>
      </w:tr>
      <w:tr>
        <w:tc>
          <w:tcPr>
            <w:tcW w:type="dxa" w:w="2484"/>
            <w:vAlign w:val="center"/>
            <w:shd w:fill="FFFFFF"/>
          </w:tcPr>
          <w:p>
            <w:r/>
            <w:r>
              <w:rPr>
                <w:rFonts w:ascii="Aptos" w:hAnsi="Aptos"/>
                <w:b w:val="0"/>
                <w:color w:val="1D2633"/>
                <w:sz w:val="15"/>
              </w:rPr>
              <w:t>Post-transition scope</w:t>
            </w:r>
          </w:p>
        </w:tc>
        <w:tc>
          <w:tcPr>
            <w:tcW w:type="dxa" w:w="2484"/>
            <w:vAlign w:val="center"/>
            <w:shd w:fill="FFFFFF"/>
          </w:tcPr>
          <w:p>
            <w:r/>
            <w:r>
              <w:rPr>
                <w:rFonts w:ascii="Aptos" w:hAnsi="Aptos"/>
                <w:b w:val="0"/>
                <w:color w:val="1D2633"/>
                <w:sz w:val="15"/>
              </w:rPr>
              <w:t>GROW suggests long-term support but source manuals warn against implied indefinite service.</w:t>
            </w:r>
          </w:p>
        </w:tc>
        <w:tc>
          <w:tcPr>
            <w:tcW w:type="dxa" w:w="2484"/>
            <w:vAlign w:val="center"/>
            <w:shd w:fill="FFFFFF"/>
          </w:tcPr>
          <w:p>
            <w:r/>
            <w:r>
              <w:rPr>
                <w:rFonts w:ascii="Aptos" w:hAnsi="Aptos"/>
                <w:b w:val="0"/>
                <w:color w:val="1D2633"/>
                <w:sz w:val="15"/>
              </w:rPr>
              <w:t>GROW is modular and separately scoped.</w:t>
            </w:r>
          </w:p>
        </w:tc>
        <w:tc>
          <w:tcPr>
            <w:tcW w:type="dxa" w:w="2484"/>
            <w:vAlign w:val="center"/>
            <w:shd w:fill="FFFFFF"/>
          </w:tcPr>
          <w:p>
            <w:r/>
            <w:r>
              <w:rPr>
                <w:rFonts w:ascii="Aptos" w:hAnsi="Aptos"/>
                <w:b w:val="0"/>
                <w:color w:val="1D2633"/>
                <w:sz w:val="15"/>
              </w:rPr>
              <w:t>Define products, deliverables, price and boundary before public promise.</w:t>
            </w:r>
          </w:p>
        </w:tc>
      </w:tr>
    </w:tbl>
    <w:p>
      <w:pPr>
        <w:pStyle w:val="Heading1"/>
        <w:spacing w:before="280" w:after="120"/>
        <w:pBdr>
          <w:bottom w:val="single" w:sz="10" w:space="6" w:color="A97C50"/>
        </w:pBdr>
      </w:pPr>
      <w:r>
        <w:rPr>
          <w:rFonts w:ascii="Aptos Display" w:hAnsi="Aptos Display"/>
          <w:color w:val="12233F"/>
        </w:rPr>
        <w:t>6. The Permanent Institutional Library</w:t>
      </w:r>
    </w:p>
    <w:p>
      <w:pPr>
        <w:pStyle w:val="BodyText"/>
        <w:spacing w:after="120" w:line="259" w:lineRule="auto"/>
      </w:pPr>
      <w:r>
        <w:t>The library should be organized by institutional purpose, not by the order in which documents were created.</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2233F"/>
          </w:tcPr>
          <w:p>
            <w:r/>
            <w:r>
              <w:rPr>
                <w:rFonts w:ascii="Aptos" w:hAnsi="Aptos"/>
                <w:b/>
                <w:color w:val="FFFFFF"/>
                <w:sz w:val="18"/>
              </w:rPr>
              <w:t>Permanent home</w:t>
            </w:r>
          </w:p>
        </w:tc>
        <w:tc>
          <w:tcPr>
            <w:tcW w:type="dxa" w:w="4968"/>
            <w:vAlign w:val="center"/>
            <w:shd w:fill="12233F"/>
          </w:tcPr>
          <w:p>
            <w:r/>
            <w:r>
              <w:rPr>
                <w:rFonts w:ascii="Aptos" w:hAnsi="Aptos"/>
                <w:b/>
                <w:color w:val="FFFFFF"/>
                <w:sz w:val="18"/>
              </w:rPr>
              <w:t>Contents</w:t>
            </w:r>
          </w:p>
        </w:tc>
      </w:tr>
      <w:tr>
        <w:tc>
          <w:tcPr>
            <w:tcW w:type="dxa" w:w="4968"/>
            <w:vAlign w:val="center"/>
            <w:shd w:fill="E9EDF3"/>
          </w:tcPr>
          <w:p>
            <w:r/>
            <w:r>
              <w:rPr>
                <w:rFonts w:ascii="Aptos" w:hAnsi="Aptos"/>
                <w:b w:val="0"/>
                <w:color w:val="12233F"/>
                <w:sz w:val="17"/>
              </w:rPr>
              <w:t>00 — Governance &amp; Document Control</w:t>
            </w:r>
          </w:p>
        </w:tc>
        <w:tc>
          <w:tcPr>
            <w:tcW w:type="dxa" w:w="4968"/>
            <w:vAlign w:val="center"/>
            <w:shd w:fill="E9EDF3"/>
          </w:tcPr>
          <w:p>
            <w:r/>
            <w:r>
              <w:rPr>
                <w:rFonts w:ascii="Aptos" w:hAnsi="Aptos"/>
                <w:b w:val="0"/>
                <w:color w:val="1D2633"/>
                <w:sz w:val="17"/>
              </w:rPr>
              <w:t>Master index, decision log, version policy, definitions, approval matrix</w:t>
            </w:r>
          </w:p>
        </w:tc>
      </w:tr>
      <w:tr>
        <w:tc>
          <w:tcPr>
            <w:tcW w:type="dxa" w:w="4968"/>
            <w:vAlign w:val="center"/>
            <w:shd w:fill="FFFFFF"/>
          </w:tcPr>
          <w:p>
            <w:r/>
            <w:r>
              <w:rPr>
                <w:rFonts w:ascii="Aptos" w:hAnsi="Aptos"/>
                <w:b w:val="0"/>
                <w:color w:val="12233F"/>
                <w:sz w:val="17"/>
              </w:rPr>
              <w:t>01 — Constitution</w:t>
            </w:r>
          </w:p>
        </w:tc>
        <w:tc>
          <w:tcPr>
            <w:tcW w:type="dxa" w:w="4968"/>
            <w:vAlign w:val="center"/>
            <w:shd w:fill="FFFFFF"/>
          </w:tcPr>
          <w:p>
            <w:r/>
            <w:r>
              <w:rPr>
                <w:rFonts w:ascii="Aptos" w:hAnsi="Aptos"/>
                <w:b w:val="0"/>
                <w:color w:val="1D2633"/>
                <w:sz w:val="17"/>
              </w:rPr>
              <w:t>Manifesto, purpose, mission, vision, promise, values, VYNE Standard, founder letter</w:t>
            </w:r>
          </w:p>
        </w:tc>
      </w:tr>
      <w:tr>
        <w:tc>
          <w:tcPr>
            <w:tcW w:type="dxa" w:w="4968"/>
            <w:vAlign w:val="center"/>
            <w:shd w:fill="E9EDF3"/>
          </w:tcPr>
          <w:p>
            <w:r/>
            <w:r>
              <w:rPr>
                <w:rFonts w:ascii="Aptos" w:hAnsi="Aptos"/>
                <w:b w:val="0"/>
                <w:color w:val="12233F"/>
                <w:sz w:val="17"/>
              </w:rPr>
              <w:t>02 — Brand System</w:t>
            </w:r>
          </w:p>
        </w:tc>
        <w:tc>
          <w:tcPr>
            <w:tcW w:type="dxa" w:w="4968"/>
            <w:vAlign w:val="center"/>
            <w:shd w:fill="E9EDF3"/>
          </w:tcPr>
          <w:p>
            <w:r/>
            <w:r>
              <w:rPr>
                <w:rFonts w:ascii="Aptos" w:hAnsi="Aptos"/>
                <w:b w:val="0"/>
                <w:color w:val="1D2633"/>
                <w:sz w:val="17"/>
              </w:rPr>
              <w:t>Identity, voice, language, typography, imagery, templates, environmental applications</w:t>
            </w:r>
          </w:p>
        </w:tc>
      </w:tr>
      <w:tr>
        <w:tc>
          <w:tcPr>
            <w:tcW w:type="dxa" w:w="4968"/>
            <w:vAlign w:val="center"/>
            <w:shd w:fill="FFFFFF"/>
          </w:tcPr>
          <w:p>
            <w:r/>
            <w:r>
              <w:rPr>
                <w:rFonts w:ascii="Aptos" w:hAnsi="Aptos"/>
                <w:b w:val="0"/>
                <w:color w:val="12233F"/>
                <w:sz w:val="17"/>
              </w:rPr>
              <w:t>03 — Strategy</w:t>
            </w:r>
          </w:p>
        </w:tc>
        <w:tc>
          <w:tcPr>
            <w:tcW w:type="dxa" w:w="4968"/>
            <w:vAlign w:val="center"/>
            <w:shd w:fill="FFFFFF"/>
          </w:tcPr>
          <w:p>
            <w:r/>
            <w:r>
              <w:rPr>
                <w:rFonts w:ascii="Aptos" w:hAnsi="Aptos"/>
                <w:b w:val="0"/>
                <w:color w:val="1D2633"/>
                <w:sz w:val="17"/>
              </w:rPr>
              <w:t>Business model, competitive strategy, growth thesis, staged validation and strategic roadmap</w:t>
            </w:r>
          </w:p>
        </w:tc>
      </w:tr>
      <w:tr>
        <w:tc>
          <w:tcPr>
            <w:tcW w:type="dxa" w:w="4968"/>
            <w:vAlign w:val="center"/>
            <w:shd w:fill="E9EDF3"/>
          </w:tcPr>
          <w:p>
            <w:r/>
            <w:r>
              <w:rPr>
                <w:rFonts w:ascii="Aptos" w:hAnsi="Aptos"/>
                <w:b w:val="0"/>
                <w:color w:val="12233F"/>
                <w:sz w:val="17"/>
              </w:rPr>
              <w:t>04 — Advisor Methodology</w:t>
            </w:r>
          </w:p>
        </w:tc>
        <w:tc>
          <w:tcPr>
            <w:tcW w:type="dxa" w:w="4968"/>
            <w:vAlign w:val="center"/>
            <w:shd w:fill="E9EDF3"/>
          </w:tcPr>
          <w:p>
            <w:r/>
            <w:r>
              <w:rPr>
                <w:rFonts w:ascii="Aptos" w:hAnsi="Aptos"/>
                <w:b w:val="0"/>
                <w:color w:val="1D2633"/>
                <w:sz w:val="17"/>
              </w:rPr>
              <w:t>VYNE Framework, VYNE's 9, ROOT, BRANCH, GROW, analytical standards</w:t>
            </w:r>
          </w:p>
        </w:tc>
      </w:tr>
      <w:tr>
        <w:tc>
          <w:tcPr>
            <w:tcW w:type="dxa" w:w="4968"/>
            <w:vAlign w:val="center"/>
            <w:shd w:fill="FFFFFF"/>
          </w:tcPr>
          <w:p>
            <w:r/>
            <w:r>
              <w:rPr>
                <w:rFonts w:ascii="Aptos" w:hAnsi="Aptos"/>
                <w:b w:val="0"/>
                <w:color w:val="12233F"/>
                <w:sz w:val="17"/>
              </w:rPr>
              <w:t>05 — Client Experience</w:t>
            </w:r>
          </w:p>
        </w:tc>
        <w:tc>
          <w:tcPr>
            <w:tcW w:type="dxa" w:w="4968"/>
            <w:vAlign w:val="center"/>
            <w:shd w:fill="FFFFFF"/>
          </w:tcPr>
          <w:p>
            <w:r/>
            <w:r>
              <w:rPr>
                <w:rFonts w:ascii="Aptos" w:hAnsi="Aptos"/>
                <w:b w:val="0"/>
                <w:color w:val="1D2633"/>
                <w:sz w:val="17"/>
              </w:rPr>
              <w:t>Journey, meetings, permissions, deliverables, stay/strengthen/prepare/move paths</w:t>
            </w:r>
          </w:p>
        </w:tc>
      </w:tr>
      <w:tr>
        <w:tc>
          <w:tcPr>
            <w:tcW w:type="dxa" w:w="4968"/>
            <w:vAlign w:val="center"/>
            <w:shd w:fill="E9EDF3"/>
          </w:tcPr>
          <w:p>
            <w:r/>
            <w:r>
              <w:rPr>
                <w:rFonts w:ascii="Aptos" w:hAnsi="Aptos"/>
                <w:b w:val="0"/>
                <w:color w:val="12233F"/>
                <w:sz w:val="17"/>
              </w:rPr>
              <w:t>06 — Authority &amp; Acquisition</w:t>
            </w:r>
          </w:p>
        </w:tc>
        <w:tc>
          <w:tcPr>
            <w:tcW w:type="dxa" w:w="4968"/>
            <w:vAlign w:val="center"/>
            <w:shd w:fill="E9EDF3"/>
          </w:tcPr>
          <w:p>
            <w:r/>
            <w:r>
              <w:rPr>
                <w:rFonts w:ascii="Aptos" w:hAnsi="Aptos"/>
                <w:b w:val="0"/>
                <w:color w:val="1D2633"/>
                <w:sz w:val="17"/>
              </w:rPr>
              <w:t>AEO, research, editorial system, newsletter, LinkedIn, referral architecture, conversion</w:t>
            </w:r>
          </w:p>
        </w:tc>
      </w:tr>
      <w:tr>
        <w:tc>
          <w:tcPr>
            <w:tcW w:type="dxa" w:w="4968"/>
            <w:vAlign w:val="center"/>
            <w:shd w:fill="FFFFFF"/>
          </w:tcPr>
          <w:p>
            <w:r/>
            <w:r>
              <w:rPr>
                <w:rFonts w:ascii="Aptos" w:hAnsi="Aptos"/>
                <w:b w:val="0"/>
                <w:color w:val="12233F"/>
                <w:sz w:val="17"/>
              </w:rPr>
              <w:t>07 — Technology &amp; Data</w:t>
            </w:r>
          </w:p>
        </w:tc>
        <w:tc>
          <w:tcPr>
            <w:tcW w:type="dxa" w:w="4968"/>
            <w:vAlign w:val="center"/>
            <w:shd w:fill="FFFFFF"/>
          </w:tcPr>
          <w:p>
            <w:r/>
            <w:r>
              <w:rPr>
                <w:rFonts w:ascii="Aptos" w:hAnsi="Aptos"/>
                <w:b w:val="0"/>
                <w:color w:val="1D2633"/>
                <w:sz w:val="17"/>
              </w:rPr>
              <w:t>Website, CRM, data model, AI agents, analytics, security, release controls</w:t>
            </w:r>
          </w:p>
        </w:tc>
      </w:tr>
      <w:tr>
        <w:tc>
          <w:tcPr>
            <w:tcW w:type="dxa" w:w="4968"/>
            <w:vAlign w:val="center"/>
            <w:shd w:fill="E9EDF3"/>
          </w:tcPr>
          <w:p>
            <w:r/>
            <w:r>
              <w:rPr>
                <w:rFonts w:ascii="Aptos" w:hAnsi="Aptos"/>
                <w:b w:val="0"/>
                <w:color w:val="12233F"/>
                <w:sz w:val="17"/>
              </w:rPr>
              <w:t>08 — People &amp; Operations</w:t>
            </w:r>
          </w:p>
        </w:tc>
        <w:tc>
          <w:tcPr>
            <w:tcW w:type="dxa" w:w="4968"/>
            <w:vAlign w:val="center"/>
            <w:shd w:fill="E9EDF3"/>
          </w:tcPr>
          <w:p>
            <w:r/>
            <w:r>
              <w:rPr>
                <w:rFonts w:ascii="Aptos" w:hAnsi="Aptos"/>
                <w:b w:val="0"/>
                <w:color w:val="1D2633"/>
                <w:sz w:val="17"/>
              </w:rPr>
              <w:t>Roles, recruiter desk system, onboarding, cadence, scorecards, service standards</w:t>
            </w:r>
          </w:p>
        </w:tc>
      </w:tr>
      <w:tr>
        <w:tc>
          <w:tcPr>
            <w:tcW w:type="dxa" w:w="4968"/>
            <w:vAlign w:val="center"/>
            <w:shd w:fill="FFFFFF"/>
          </w:tcPr>
          <w:p>
            <w:r/>
            <w:r>
              <w:rPr>
                <w:rFonts w:ascii="Aptos" w:hAnsi="Aptos"/>
                <w:b w:val="0"/>
                <w:color w:val="12233F"/>
                <w:sz w:val="17"/>
              </w:rPr>
              <w:t>09 — Finance &amp; Economics</w:t>
            </w:r>
          </w:p>
        </w:tc>
        <w:tc>
          <w:tcPr>
            <w:tcW w:type="dxa" w:w="4968"/>
            <w:vAlign w:val="center"/>
            <w:shd w:fill="FFFFFF"/>
          </w:tcPr>
          <w:p>
            <w:r/>
            <w:r>
              <w:rPr>
                <w:rFonts w:ascii="Aptos" w:hAnsi="Aptos"/>
                <w:b w:val="0"/>
                <w:color w:val="1D2633"/>
                <w:sz w:val="17"/>
              </w:rPr>
              <w:t>Startup budget, CEO model, pricing, commissions, billing, cash controls</w:t>
            </w:r>
          </w:p>
        </w:tc>
      </w:tr>
      <w:tr>
        <w:tc>
          <w:tcPr>
            <w:tcW w:type="dxa" w:w="4968"/>
            <w:vAlign w:val="center"/>
            <w:shd w:fill="E9EDF3"/>
          </w:tcPr>
          <w:p>
            <w:r/>
            <w:r>
              <w:rPr>
                <w:rFonts w:ascii="Aptos" w:hAnsi="Aptos"/>
                <w:b w:val="0"/>
                <w:color w:val="12233F"/>
                <w:sz w:val="17"/>
              </w:rPr>
              <w:t>10 — Legal, Risk &amp; Compliance</w:t>
            </w:r>
          </w:p>
        </w:tc>
        <w:tc>
          <w:tcPr>
            <w:tcW w:type="dxa" w:w="4968"/>
            <w:vAlign w:val="center"/>
            <w:shd w:fill="E9EDF3"/>
          </w:tcPr>
          <w:p>
            <w:r/>
            <w:r>
              <w:rPr>
                <w:rFonts w:ascii="Aptos" w:hAnsi="Aptos"/>
                <w:b w:val="0"/>
                <w:color w:val="1D2633"/>
                <w:sz w:val="17"/>
              </w:rPr>
              <w:t>Agreements, classification, privacy, covenants, insurance, counsel decisions</w:t>
            </w:r>
          </w:p>
        </w:tc>
      </w:tr>
      <w:tr>
        <w:tc>
          <w:tcPr>
            <w:tcW w:type="dxa" w:w="4968"/>
            <w:vAlign w:val="center"/>
            <w:shd w:fill="FFFFFF"/>
          </w:tcPr>
          <w:p>
            <w:r/>
            <w:r>
              <w:rPr>
                <w:rFonts w:ascii="Aptos" w:hAnsi="Aptos"/>
                <w:b w:val="0"/>
                <w:color w:val="12233F"/>
                <w:sz w:val="17"/>
              </w:rPr>
              <w:t>11 — Forms &amp; Templates</w:t>
            </w:r>
          </w:p>
        </w:tc>
        <w:tc>
          <w:tcPr>
            <w:tcW w:type="dxa" w:w="4968"/>
            <w:vAlign w:val="center"/>
            <w:shd w:fill="FFFFFF"/>
          </w:tcPr>
          <w:p>
            <w:r/>
            <w:r>
              <w:rPr>
                <w:rFonts w:ascii="Aptos" w:hAnsi="Aptos"/>
                <w:b w:val="0"/>
                <w:color w:val="1D2633"/>
                <w:sz w:val="17"/>
              </w:rPr>
              <w:t>Approvals, scorecards, meeting documents, advisor deliverables, internal forms</w:t>
            </w:r>
          </w:p>
        </w:tc>
      </w:tr>
      <w:tr>
        <w:tc>
          <w:tcPr>
            <w:tcW w:type="dxa" w:w="4968"/>
            <w:vAlign w:val="center"/>
            <w:shd w:fill="E9EDF3"/>
          </w:tcPr>
          <w:p>
            <w:r/>
            <w:r>
              <w:rPr>
                <w:rFonts w:ascii="Aptos" w:hAnsi="Aptos"/>
                <w:b w:val="0"/>
                <w:color w:val="12233F"/>
                <w:sz w:val="17"/>
              </w:rPr>
              <w:t>12 — Research Library</w:t>
            </w:r>
          </w:p>
        </w:tc>
        <w:tc>
          <w:tcPr>
            <w:tcW w:type="dxa" w:w="4968"/>
            <w:vAlign w:val="center"/>
            <w:shd w:fill="E9EDF3"/>
          </w:tcPr>
          <w:p>
            <w:r/>
            <w:r>
              <w:rPr>
                <w:rFonts w:ascii="Aptos" w:hAnsi="Aptos"/>
                <w:b w:val="0"/>
                <w:color w:val="1D2633"/>
                <w:sz w:val="17"/>
              </w:rPr>
              <w:t>Firm intelligence, original studies, answer pages, briefs and source archives</w:t>
            </w:r>
          </w:p>
        </w:tc>
      </w:tr>
      <w:tr>
        <w:tc>
          <w:tcPr>
            <w:tcW w:type="dxa" w:w="4968"/>
            <w:vAlign w:val="center"/>
            <w:shd w:fill="FFFFFF"/>
          </w:tcPr>
          <w:p>
            <w:r/>
            <w:r>
              <w:rPr>
                <w:rFonts w:ascii="Aptos" w:hAnsi="Aptos"/>
                <w:b w:val="0"/>
                <w:color w:val="12233F"/>
                <w:sz w:val="17"/>
              </w:rPr>
              <w:t>90 — Incubator</w:t>
            </w:r>
          </w:p>
        </w:tc>
        <w:tc>
          <w:tcPr>
            <w:tcW w:type="dxa" w:w="4968"/>
            <w:vAlign w:val="center"/>
            <w:shd w:fill="FFFFFF"/>
          </w:tcPr>
          <w:p>
            <w:r/>
            <w:r>
              <w:rPr>
                <w:rFonts w:ascii="Aptos" w:hAnsi="Aptos"/>
                <w:b w:val="0"/>
                <w:color w:val="1D2633"/>
                <w:sz w:val="17"/>
              </w:rPr>
              <w:t>Future concepts that are promising but not approved</w:t>
            </w:r>
          </w:p>
        </w:tc>
      </w:tr>
      <w:tr>
        <w:tc>
          <w:tcPr>
            <w:tcW w:type="dxa" w:w="4968"/>
            <w:vAlign w:val="center"/>
            <w:shd w:fill="E9EDF3"/>
          </w:tcPr>
          <w:p>
            <w:r/>
            <w:r>
              <w:rPr>
                <w:rFonts w:ascii="Aptos" w:hAnsi="Aptos"/>
                <w:b w:val="0"/>
                <w:color w:val="12233F"/>
                <w:sz w:val="17"/>
              </w:rPr>
              <w:t>99 — Archive</w:t>
            </w:r>
          </w:p>
        </w:tc>
        <w:tc>
          <w:tcPr>
            <w:tcW w:type="dxa" w:w="4968"/>
            <w:vAlign w:val="center"/>
            <w:shd w:fill="E9EDF3"/>
          </w:tcPr>
          <w:p>
            <w:r/>
            <w:r>
              <w:rPr>
                <w:rFonts w:ascii="Aptos" w:hAnsi="Aptos"/>
                <w:b w:val="0"/>
                <w:color w:val="1D2633"/>
                <w:sz w:val="17"/>
              </w:rPr>
              <w:t>Superseded, duplicate and historical source material</w:t>
            </w:r>
          </w:p>
        </w:tc>
      </w:tr>
    </w:tbl>
    <w:p>
      <w:pPr>
        <w:pStyle w:val="Heading1"/>
        <w:spacing w:before="280" w:after="120"/>
        <w:pBdr>
          <w:bottom w:val="single" w:sz="10" w:space="6" w:color="A97C50"/>
        </w:pBdr>
      </w:pPr>
      <w:r>
        <w:rPr>
          <w:rFonts w:ascii="Aptos Display" w:hAnsi="Aptos Display"/>
          <w:color w:val="12233F"/>
        </w:rPr>
        <w:t>7. AEO and the Trust Acquisition System</w:t>
      </w:r>
    </w:p>
    <w:tbl>
      <w:tblPr>
        <w:tblW w:type="auto" w:w="0"/>
        <w:jc w:val="center"/>
        <w:tblLayout w:type="autofit"/>
        <w:tblLook w:firstColumn="1" w:firstRow="1" w:lastColumn="0" w:lastRow="0" w:noHBand="0" w:noVBand="1" w:val="04A0"/>
      </w:tblPr>
      <w:tblGrid>
        <w:gridCol w:w="9936"/>
      </w:tblGrid>
      <w:tr>
        <w:tc>
          <w:tcPr>
            <w:tcW w:type="dxa" w:w="9936"/>
            <w:shd w:fill="F5F1E8"/>
          </w:tcPr>
          <w:p>
            <w:r/>
          </w:p>
          <w:p>
            <w:pPr>
              <w:spacing w:after="40"/>
            </w:pPr>
            <w:r>
              <w:rPr>
                <w:b/>
                <w:color w:val="A97C50"/>
                <w:sz w:val="18"/>
              </w:rPr>
              <w:t>STRATEGIC RULE</w:t>
            </w:r>
          </w:p>
          <w:p>
            <w:pPr>
              <w:spacing w:after="100"/>
            </w:pPr>
            <w:r>
              <w:rPr>
                <w:b/>
                <w:color w:val="12233F"/>
                <w:sz w:val="22"/>
              </w:rPr>
              <w:t>AEO is the discovery engine. Trust is the conversion system. Decision quality is the product promise.</w:t>
            </w:r>
          </w:p>
        </w:tc>
      </w:tr>
    </w:tbl>
    <w:p>
      <w:pPr>
        <w:spacing w:after="20"/>
      </w:pPr>
    </w:p>
    <w:p>
      <w:pPr>
        <w:pStyle w:val="BodyText"/>
        <w:spacing w:after="120" w:line="259" w:lineRule="auto"/>
      </w:pPr>
      <w:r>
        <w:t>VYNE should design content around the private questions advisors ask before they are willing to speak with anyone. The content system should answer the question fully, demonstrate judgment, reveal the limits of generic advice and offer a low-pressure next step.</w:t>
      </w:r>
    </w:p>
    <w:p>
      <w:pPr>
        <w:pStyle w:val="Heading2"/>
        <w:spacing w:before="200" w:after="120"/>
      </w:pPr>
      <w:r>
        <w:rPr>
          <w:rFonts w:ascii="Aptos Display" w:hAnsi="Aptos Display"/>
          <w:color w:val="12233F"/>
        </w:rPr>
        <w:t>7.1 Trust Flywheel</w:t>
      </w:r>
    </w:p>
    <w:p>
      <w:pPr>
        <w:spacing w:after="40"/>
        <w:ind w:left="360"/>
      </w:pPr>
      <w:r>
        <w:rPr>
          <w:b/>
          <w:color w:val="A97C50"/>
        </w:rPr>
        <w:t xml:space="preserve">01  </w:t>
      </w:r>
      <w:r>
        <w:t>Advisor question or trigger</w:t>
      </w:r>
    </w:p>
    <w:p>
      <w:pPr>
        <w:spacing w:after="40"/>
        <w:ind w:left="360"/>
      </w:pPr>
      <w:r>
        <w:rPr>
          <w:b/>
          <w:color w:val="A97C50"/>
        </w:rPr>
        <w:t xml:space="preserve">02  </w:t>
      </w:r>
      <w:r>
        <w:t>Authoritative answer or original research</w:t>
      </w:r>
    </w:p>
    <w:p>
      <w:pPr>
        <w:spacing w:after="40"/>
        <w:ind w:left="360"/>
      </w:pPr>
      <w:r>
        <w:rPr>
          <w:b/>
          <w:color w:val="A97C50"/>
        </w:rPr>
        <w:t xml:space="preserve">03  </w:t>
      </w:r>
      <w:r>
        <w:t>AI/search discovery and citation</w:t>
      </w:r>
    </w:p>
    <w:p>
      <w:pPr>
        <w:spacing w:after="40"/>
        <w:ind w:left="360"/>
      </w:pPr>
      <w:r>
        <w:rPr>
          <w:b/>
          <w:color w:val="A97C50"/>
        </w:rPr>
        <w:t xml:space="preserve">04  </w:t>
      </w:r>
      <w:r>
        <w:t>Website engagement</w:t>
      </w:r>
    </w:p>
    <w:p>
      <w:pPr>
        <w:spacing w:after="40"/>
        <w:ind w:left="360"/>
      </w:pPr>
      <w:r>
        <w:rPr>
          <w:b/>
          <w:color w:val="A97C50"/>
        </w:rPr>
        <w:t xml:space="preserve">05  </w:t>
      </w:r>
      <w:r>
        <w:t>VYNE's 9 or a decision tool</w:t>
      </w:r>
    </w:p>
    <w:p>
      <w:pPr>
        <w:spacing w:after="40"/>
        <w:ind w:left="360"/>
      </w:pPr>
      <w:r>
        <w:rPr>
          <w:b/>
          <w:color w:val="A97C50"/>
        </w:rPr>
        <w:t xml:space="preserve">06  </w:t>
      </w:r>
      <w:r>
        <w:t>Newsletter and continuing education</w:t>
      </w:r>
    </w:p>
    <w:p>
      <w:pPr>
        <w:spacing w:after="40"/>
        <w:ind w:left="360"/>
      </w:pPr>
      <w:r>
        <w:rPr>
          <w:b/>
          <w:color w:val="A97C50"/>
        </w:rPr>
        <w:t xml:space="preserve">07  </w:t>
      </w:r>
      <w:r>
        <w:t>Confidential conversation</w:t>
      </w:r>
    </w:p>
    <w:p>
      <w:pPr>
        <w:spacing w:after="40"/>
        <w:ind w:left="360"/>
      </w:pPr>
      <w:r>
        <w:rPr>
          <w:b/>
          <w:color w:val="A97C50"/>
        </w:rPr>
        <w:t xml:space="preserve">08  </w:t>
      </w:r>
      <w:r>
        <w:t>Advisor outcome and anonymized insight</w:t>
      </w:r>
    </w:p>
    <w:p>
      <w:pPr>
        <w:spacing w:after="40"/>
        <w:ind w:left="360"/>
      </w:pPr>
      <w:r>
        <w:rPr>
          <w:b/>
          <w:color w:val="A97C50"/>
        </w:rPr>
        <w:t xml:space="preserve">09  </w:t>
      </w:r>
      <w:r>
        <w:t>Stronger research and authority</w:t>
      </w:r>
    </w:p>
    <w:p>
      <w:pPr>
        <w:pStyle w:val="Heading2"/>
        <w:spacing w:before="200" w:after="120"/>
      </w:pPr>
      <w:r>
        <w:rPr>
          <w:rFonts w:ascii="Aptos Display" w:hAnsi="Aptos Display"/>
          <w:color w:val="12233F"/>
        </w:rPr>
        <w:t>7.2 Launch Reality</w:t>
      </w:r>
    </w:p>
    <w:p>
      <w:pPr>
        <w:pStyle w:val="BodyText"/>
        <w:spacing w:after="120" w:line="259" w:lineRule="auto"/>
      </w:pPr>
      <w:r>
        <w:t>The existing business plan is correct to warn that AEO may take 12–18 months to become a predictable source of qualified cases. VYNE should therefore launch with three coordinated channels:</w:t>
      </w:r>
    </w:p>
    <w:p>
      <w:pPr>
        <w:pStyle w:val="ListBullet"/>
        <w:spacing w:after="60"/>
      </w:pPr>
      <w:r>
        <w:t>Founder relationships and direct, high-trust outreach for near-term conversations</w:t>
      </w:r>
    </w:p>
    <w:p>
      <w:pPr>
        <w:pStyle w:val="ListBullet"/>
        <w:spacing w:after="60"/>
      </w:pPr>
      <w:r>
        <w:t>Referral architecture with attorneys, CPAs, consultants and industry relationships</w:t>
      </w:r>
    </w:p>
    <w:p>
      <w:pPr>
        <w:pStyle w:val="ListBullet"/>
        <w:spacing w:after="60"/>
      </w:pPr>
      <w:r>
        <w:t>AEO and editorial authority that compounds and reduces dependence on outbound activity over time</w:t>
      </w:r>
    </w:p>
    <w:p>
      <w:pPr>
        <w:pStyle w:val="Heading2"/>
        <w:spacing w:before="200" w:after="120"/>
      </w:pPr>
      <w:r>
        <w:rPr>
          <w:rFonts w:ascii="Aptos Display" w:hAnsi="Aptos Display"/>
          <w:color w:val="12233F"/>
        </w:rPr>
        <w:t>7.3 AEO Measurement</w:t>
      </w:r>
    </w:p>
    <w:p>
      <w:pPr>
        <w:pStyle w:val="ListBullet"/>
        <w:spacing w:after="60"/>
      </w:pPr>
      <w:r>
        <w:t>Share of priority questions for which VYNE is cited or surfaced</w:t>
      </w:r>
    </w:p>
    <w:p>
      <w:pPr>
        <w:pStyle w:val="ListBullet"/>
        <w:spacing w:after="60"/>
      </w:pPr>
      <w:r>
        <w:t>Qualified organic visits, not total traffic</w:t>
      </w:r>
    </w:p>
    <w:p>
      <w:pPr>
        <w:pStyle w:val="ListBullet"/>
        <w:spacing w:after="60"/>
      </w:pPr>
      <w:r>
        <w:t>Assessment starts and completions</w:t>
      </w:r>
    </w:p>
    <w:p>
      <w:pPr>
        <w:pStyle w:val="ListBullet"/>
        <w:spacing w:after="60"/>
      </w:pPr>
      <w:r>
        <w:t>Newsletter conversion and engaged-subscriber growth</w:t>
      </w:r>
    </w:p>
    <w:p>
      <w:pPr>
        <w:pStyle w:val="ListBullet"/>
        <w:spacing w:after="60"/>
      </w:pPr>
      <w:r>
        <w:t>Confidential inquiries and discovery calls originating from content</w:t>
      </w:r>
    </w:p>
    <w:p>
      <w:pPr>
        <w:pStyle w:val="ListBullet"/>
        <w:spacing w:after="60"/>
      </w:pPr>
      <w:r>
        <w:t>Time from first content touch to conversation</w:t>
      </w:r>
    </w:p>
    <w:p>
      <w:pPr>
        <w:pStyle w:val="ListBullet"/>
        <w:spacing w:after="60"/>
      </w:pPr>
      <w:r>
        <w:t>Revenue and stay/strengthen outcomes influenced by authority content</w:t>
      </w:r>
    </w:p>
    <w:p>
      <w:pPr>
        <w:pStyle w:val="Heading1"/>
        <w:spacing w:before="280" w:after="120"/>
        <w:pBdr>
          <w:bottom w:val="single" w:sz="10" w:space="6" w:color="A97C50"/>
        </w:pBdr>
      </w:pPr>
      <w:r>
        <w:rPr>
          <w:rFonts w:ascii="Aptos Display" w:hAnsi="Aptos Display"/>
          <w:color w:val="12233F"/>
        </w:rPr>
        <w:t>8. Operating System Reconciliation</w:t>
      </w:r>
    </w:p>
    <w:p>
      <w:pPr>
        <w:pStyle w:val="BodyText"/>
        <w:spacing w:after="120" w:line="259" w:lineRule="auto"/>
      </w:pPr>
      <w:r>
        <w:t>The five-volume recruiter operating system contains strong controls and should be preserved, but it should no longer sit above the institution. It becomes a subordinate operating collection inside People &amp; Operations, Finance, and Legal.</w:t>
      </w:r>
    </w:p>
    <w:p>
      <w:pPr>
        <w:pStyle w:val="Heading2"/>
        <w:spacing w:before="200" w:after="120"/>
      </w:pPr>
      <w:r>
        <w:rPr>
          <w:rFonts w:ascii="Aptos Display" w:hAnsi="Aptos Display"/>
          <w:color w:val="12233F"/>
        </w:rPr>
        <w:t>8.1 Components to Preserve</w:t>
      </w:r>
    </w:p>
    <w:p>
      <w:pPr>
        <w:pStyle w:val="ListBullet"/>
        <w:spacing w:after="60"/>
      </w:pPr>
      <w:r>
        <w:t>Timestamped lead and relationship stewardship rules</w:t>
      </w:r>
    </w:p>
    <w:p>
      <w:pPr>
        <w:pStyle w:val="ListBullet"/>
        <w:spacing w:after="60"/>
      </w:pPr>
      <w:r>
        <w:t>Clear distinction between recruiter-generated and VYNE-generated opportunities</w:t>
      </w:r>
    </w:p>
    <w:p>
      <w:pPr>
        <w:pStyle w:val="ListBullet"/>
        <w:spacing w:after="60"/>
      </w:pPr>
      <w:r>
        <w:t>Marginal commission mechanics and worked examples</w:t>
      </w:r>
    </w:p>
    <w:p>
      <w:pPr>
        <w:pStyle w:val="ListBullet"/>
        <w:spacing w:after="60"/>
      </w:pPr>
      <w:r>
        <w:t>Payment timing tied to actual VYNE fee collection</w:t>
      </w:r>
    </w:p>
    <w:p>
      <w:pPr>
        <w:pStyle w:val="ListBullet"/>
        <w:spacing w:after="60"/>
      </w:pPr>
      <w:r>
        <w:t>Proportional clawbacks and step-up payment logic</w:t>
      </w:r>
    </w:p>
    <w:p>
      <w:pPr>
        <w:pStyle w:val="ListBullet"/>
        <w:spacing w:after="60"/>
      </w:pPr>
      <w:r>
        <w:t>Founder authority and documented exceptions</w:t>
      </w:r>
    </w:p>
    <w:p>
      <w:pPr>
        <w:pStyle w:val="ListBullet"/>
        <w:spacing w:after="60"/>
      </w:pPr>
      <w:r>
        <w:t>Preapproval, receipt and ROI discipline</w:t>
      </w:r>
    </w:p>
    <w:p>
      <w:pPr>
        <w:pStyle w:val="ListBullet"/>
        <w:spacing w:after="60"/>
      </w:pPr>
      <w:r>
        <w:t>Counsel decision log and explicit unresolved legal questions</w:t>
      </w:r>
    </w:p>
    <w:p>
      <w:pPr>
        <w:pStyle w:val="ListBullet"/>
        <w:spacing w:after="60"/>
      </w:pPr>
      <w:r>
        <w:t>Data provenance, permissions and confidentiality controls</w:t>
      </w:r>
    </w:p>
    <w:p>
      <w:pPr>
        <w:pStyle w:val="Heading2"/>
        <w:spacing w:before="200" w:after="120"/>
      </w:pPr>
      <w:r>
        <w:rPr>
          <w:rFonts w:ascii="Aptos Display" w:hAnsi="Aptos Display"/>
          <w:color w:val="12233F"/>
        </w:rPr>
        <w:t>8.2 Components Requiring Challenge</w:t>
      </w:r>
    </w:p>
    <w:p>
      <w:pPr>
        <w:pStyle w:val="ListBullet"/>
        <w:spacing w:after="60"/>
      </w:pPr>
      <w:r>
        <w:t>Any production standard that could create contractor-classification risk</w:t>
      </w:r>
    </w:p>
    <w:p>
      <w:pPr>
        <w:pStyle w:val="ListBullet"/>
        <w:spacing w:after="60"/>
      </w:pPr>
      <w:r>
        <w:t>Any language that sounds like VYNE owns human relationships rather than business records and contractual economics</w:t>
      </w:r>
    </w:p>
    <w:p>
      <w:pPr>
        <w:pStyle w:val="ListBullet"/>
        <w:spacing w:after="60"/>
      </w:pPr>
      <w:r>
        <w:t>Any overspend deduction or advance mechanism not approved by counsel</w:t>
      </w:r>
    </w:p>
    <w:p>
      <w:pPr>
        <w:pStyle w:val="ListBullet"/>
        <w:spacing w:after="60"/>
      </w:pPr>
      <w:r>
        <w:t>Any fixed desk-activity expectation that conflicts with independent-contractor status</w:t>
      </w:r>
    </w:p>
    <w:p>
      <w:pPr>
        <w:pStyle w:val="ListBullet"/>
        <w:spacing w:after="60"/>
      </w:pPr>
      <w:r>
        <w:t>Any “franchise producer” concept that increases complexity before the base model is proven</w:t>
      </w:r>
    </w:p>
    <w:p>
      <w:pPr>
        <w:pStyle w:val="ListBullet"/>
        <w:spacing w:after="60"/>
      </w:pPr>
      <w:r>
        <w:t>Any operating language that narrows the firm back into a pure placement business</w:t>
      </w:r>
    </w:p>
    <w:p>
      <w:pPr>
        <w:pStyle w:val="Heading1"/>
        <w:spacing w:before="280" w:after="120"/>
        <w:pBdr>
          <w:bottom w:val="single" w:sz="10" w:space="6" w:color="A97C50"/>
        </w:pBdr>
      </w:pPr>
      <w:r>
        <w:rPr>
          <w:rFonts w:ascii="Aptos Display" w:hAnsi="Aptos Display"/>
          <w:color w:val="12233F"/>
        </w:rPr>
        <w:t>9. Technology and Data Doctrine</w:t>
      </w:r>
    </w:p>
    <w:p>
      <w:pPr>
        <w:pStyle w:val="BodyText"/>
        <w:spacing w:after="120" w:line="259" w:lineRule="auto"/>
      </w:pPr>
      <w:r>
        <w:t>The CRM and AI specifications are among the strongest assets in the library. Their governing doctrine should remain: agents prepare; humans decide.</w:t>
      </w:r>
    </w:p>
    <w:p>
      <w:pPr>
        <w:pStyle w:val="ListBullet"/>
        <w:spacing w:after="60"/>
      </w:pPr>
      <w:r>
        <w:t>One source of truth for advisor, case, firm, meeting, evidence, economics and permission records</w:t>
      </w:r>
    </w:p>
    <w:p>
      <w:pPr>
        <w:pStyle w:val="ListBullet"/>
        <w:spacing w:after="60"/>
      </w:pPr>
      <w:r>
        <w:t>No named firm submission without explicit advisor consent</w:t>
      </w:r>
    </w:p>
    <w:p>
      <w:pPr>
        <w:pStyle w:val="ListBullet"/>
        <w:spacing w:after="60"/>
      </w:pPr>
      <w:r>
        <w:t>No identifiable client data unless a future approved use case and security model require it</w:t>
      </w:r>
    </w:p>
    <w:p>
      <w:pPr>
        <w:pStyle w:val="ListBullet"/>
        <w:spacing w:after="60"/>
      </w:pPr>
      <w:r>
        <w:t>Source-level provenance and conflict handling for firm intelligence</w:t>
      </w:r>
    </w:p>
    <w:p>
      <w:pPr>
        <w:pStyle w:val="ListBullet"/>
        <w:spacing w:after="60"/>
      </w:pPr>
      <w:r>
        <w:t>Versioned assumptions and deliverables</w:t>
      </w:r>
    </w:p>
    <w:p>
      <w:pPr>
        <w:pStyle w:val="ListBullet"/>
        <w:spacing w:after="60"/>
      </w:pPr>
      <w:r>
        <w:t>Role-based access, audit logs and least privilege</w:t>
      </w:r>
    </w:p>
    <w:p>
      <w:pPr>
        <w:pStyle w:val="ListBullet"/>
        <w:spacing w:after="60"/>
      </w:pPr>
      <w:r>
        <w:t>Human approval before external communications, submissions, financial conclusions or legal-sensitive actions</w:t>
      </w:r>
    </w:p>
    <w:p>
      <w:pPr>
        <w:pStyle w:val="ListBullet"/>
        <w:spacing w:after="60"/>
      </w:pPr>
      <w:r>
        <w:t>Production authentication, encryption, backup, incident response and vendor review before real advisor data is stored</w:t>
      </w:r>
    </w:p>
    <w:tbl>
      <w:tblPr>
        <w:tblW w:type="auto" w:w="0"/>
        <w:jc w:val="center"/>
        <w:tblLayout w:type="autofit"/>
        <w:tblLook w:firstColumn="1" w:firstRow="1" w:lastColumn="0" w:lastRow="0" w:noHBand="0" w:noVBand="1" w:val="04A0"/>
      </w:tblPr>
      <w:tblGrid>
        <w:gridCol w:w="9936"/>
      </w:tblGrid>
      <w:tr>
        <w:tc>
          <w:tcPr>
            <w:tcW w:type="dxa" w:w="9936"/>
            <w:shd w:fill="F5F1E8"/>
          </w:tcPr>
          <w:p>
            <w:r/>
          </w:p>
          <w:p>
            <w:pPr>
              <w:spacing w:after="40"/>
            </w:pPr>
            <w:r>
              <w:rPr>
                <w:b/>
                <w:color w:val="A97C50"/>
                <w:sz w:val="18"/>
              </w:rPr>
              <w:t>PRODUCTION BOUNDARY</w:t>
            </w:r>
          </w:p>
          <w:p>
            <w:pPr>
              <w:spacing w:after="100"/>
            </w:pPr>
            <w:r>
              <w:rPr>
                <w:b/>
                <w:color w:val="12233F"/>
                <w:sz w:val="22"/>
              </w:rPr>
              <w:t>The single-file CRM prototypes are design proofs, not an acceptable production system for confidential advisor data.</w:t>
            </w:r>
          </w:p>
        </w:tc>
      </w:tr>
    </w:tbl>
    <w:p>
      <w:pPr>
        <w:spacing w:after="20"/>
      </w:pPr>
    </w:p>
    <w:p>
      <w:pPr>
        <w:pStyle w:val="Heading1"/>
        <w:spacing w:before="280" w:after="120"/>
        <w:pBdr>
          <w:bottom w:val="single" w:sz="10" w:space="6" w:color="A97C50"/>
        </w:pBdr>
      </w:pPr>
      <w:r>
        <w:rPr>
          <w:rFonts w:ascii="Aptos Display" w:hAnsi="Aptos Display"/>
          <w:color w:val="12233F"/>
        </w:rPr>
        <w:t>10. Build Sequence and Gates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2233F"/>
          </w:tcPr>
          <w:p>
            <w:r/>
            <w:r>
              <w:rPr>
                <w:rFonts w:ascii="Aptos" w:hAnsi="Aptos"/>
                <w:b/>
                <w:color w:val="FFFFFF"/>
                <w:sz w:val="17"/>
              </w:rPr>
              <w:t>Gate</w:t>
            </w:r>
          </w:p>
        </w:tc>
        <w:tc>
          <w:tcPr>
            <w:tcW w:type="dxa" w:w="2484"/>
            <w:vAlign w:val="center"/>
            <w:shd w:fill="12233F"/>
          </w:tcPr>
          <w:p>
            <w:r/>
            <w:r>
              <w:rPr>
                <w:rFonts w:ascii="Aptos" w:hAnsi="Aptos"/>
                <w:b/>
                <w:color w:val="FFFFFF"/>
                <w:sz w:val="17"/>
              </w:rPr>
              <w:t>Workstream</w:t>
            </w:r>
          </w:p>
        </w:tc>
        <w:tc>
          <w:tcPr>
            <w:tcW w:type="dxa" w:w="2484"/>
            <w:vAlign w:val="center"/>
            <w:shd w:fill="12233F"/>
          </w:tcPr>
          <w:p>
            <w:r/>
            <w:r>
              <w:rPr>
                <w:rFonts w:ascii="Aptos" w:hAnsi="Aptos"/>
                <w:b/>
                <w:color w:val="FFFFFF"/>
                <w:sz w:val="17"/>
              </w:rPr>
              <w:t>Definition of done</w:t>
            </w:r>
          </w:p>
        </w:tc>
        <w:tc>
          <w:tcPr>
            <w:tcW w:type="dxa" w:w="2484"/>
            <w:vAlign w:val="center"/>
            <w:shd w:fill="12233F"/>
          </w:tcPr>
          <w:p>
            <w:r/>
            <w:r>
              <w:rPr>
                <w:rFonts w:ascii="Aptos" w:hAnsi="Aptos"/>
                <w:b/>
                <w:color w:val="FFFFFF"/>
                <w:sz w:val="17"/>
              </w:rPr>
              <w:t>Status</w:t>
            </w:r>
          </w:p>
        </w:tc>
      </w:tr>
      <w:tr>
        <w:tc>
          <w:tcPr>
            <w:tcW w:type="dxa" w:w="2484"/>
            <w:vAlign w:val="center"/>
            <w:shd w:fill="E9EDF3"/>
          </w:tcPr>
          <w:p>
            <w:r/>
            <w:r>
              <w:rPr>
                <w:rFonts w:ascii="Aptos" w:hAnsi="Aptos"/>
                <w:b w:val="0"/>
                <w:color w:val="1D2633"/>
                <w:sz w:val="16"/>
              </w:rPr>
              <w:t>0</w:t>
            </w:r>
          </w:p>
        </w:tc>
        <w:tc>
          <w:tcPr>
            <w:tcW w:type="dxa" w:w="2484"/>
            <w:vAlign w:val="center"/>
            <w:shd w:fill="E9EDF3"/>
          </w:tcPr>
          <w:p>
            <w:r/>
            <w:r>
              <w:rPr>
                <w:rFonts w:ascii="Aptos" w:hAnsi="Aptos"/>
                <w:b w:val="0"/>
                <w:color w:val="1D2633"/>
                <w:sz w:val="16"/>
              </w:rPr>
              <w:t>Knowledge audit</w:t>
            </w:r>
          </w:p>
        </w:tc>
        <w:tc>
          <w:tcPr>
            <w:tcW w:type="dxa" w:w="2484"/>
            <w:vAlign w:val="center"/>
            <w:shd w:fill="E9EDF3"/>
          </w:tcPr>
          <w:p>
            <w:r/>
            <w:r>
              <w:rPr>
                <w:rFonts w:ascii="Aptos" w:hAnsi="Aptos"/>
                <w:b w:val="0"/>
                <w:color w:val="1D2633"/>
                <w:sz w:val="16"/>
              </w:rPr>
              <w:t>All files indexed, duplicates grouped, conflicts logged, canonical owners assigned</w:t>
            </w:r>
          </w:p>
        </w:tc>
        <w:tc>
          <w:tcPr>
            <w:tcW w:type="dxa" w:w="2484"/>
            <w:vAlign w:val="center"/>
            <w:shd w:fill="E9EDF3"/>
          </w:tcPr>
          <w:p>
            <w:r/>
            <w:r>
              <w:rPr>
                <w:rFonts w:ascii="Aptos" w:hAnsi="Aptos"/>
                <w:b w:val="0"/>
                <w:color w:val="2F5D50"/>
                <w:sz w:val="16"/>
              </w:rPr>
              <w:t>IN PROGRESS</w:t>
            </w:r>
          </w:p>
        </w:tc>
      </w:tr>
      <w:tr>
        <w:tc>
          <w:tcPr>
            <w:tcW w:type="dxa" w:w="2484"/>
            <w:vAlign w:val="center"/>
            <w:shd w:fill="FFFFFF"/>
          </w:tcPr>
          <w:p>
            <w:r/>
            <w:r>
              <w:rPr>
                <w:rFonts w:ascii="Aptos" w:hAnsi="Aptos"/>
                <w:b w:val="0"/>
                <w:color w:val="1D2633"/>
                <w:sz w:val="16"/>
              </w:rPr>
              <w:t>1</w:t>
            </w:r>
          </w:p>
        </w:tc>
        <w:tc>
          <w:tcPr>
            <w:tcW w:type="dxa" w:w="2484"/>
            <w:vAlign w:val="center"/>
            <w:shd w:fill="FFFFFF"/>
          </w:tcPr>
          <w:p>
            <w:r/>
            <w:r>
              <w:rPr>
                <w:rFonts w:ascii="Aptos" w:hAnsi="Aptos"/>
                <w:b w:val="0"/>
                <w:color w:val="1D2633"/>
                <w:sz w:val="16"/>
              </w:rPr>
              <w:t>Institutional architecture</w:t>
            </w:r>
          </w:p>
        </w:tc>
        <w:tc>
          <w:tcPr>
            <w:tcW w:type="dxa" w:w="2484"/>
            <w:vAlign w:val="center"/>
            <w:shd w:fill="FFFFFF"/>
          </w:tcPr>
          <w:p>
            <w:r/>
            <w:r>
              <w:rPr>
                <w:rFonts w:ascii="Aptos" w:hAnsi="Aptos"/>
                <w:b w:val="0"/>
                <w:color w:val="1D2633"/>
                <w:sz w:val="16"/>
              </w:rPr>
              <w:t>Permanent library, definitions, public/internal hierarchy and version policy approved</w:t>
            </w:r>
          </w:p>
        </w:tc>
        <w:tc>
          <w:tcPr>
            <w:tcW w:type="dxa" w:w="2484"/>
            <w:vAlign w:val="center"/>
            <w:shd w:fill="FFFFFF"/>
          </w:tcPr>
          <w:p>
            <w:r/>
            <w:r>
              <w:rPr>
                <w:rFonts w:ascii="Aptos" w:hAnsi="Aptos"/>
                <w:b w:val="0"/>
                <w:color w:val="1D2633"/>
                <w:sz w:val="16"/>
              </w:rPr>
              <w:t>NEXT</w:t>
            </w:r>
          </w:p>
        </w:tc>
      </w:tr>
      <w:tr>
        <w:tc>
          <w:tcPr>
            <w:tcW w:type="dxa" w:w="2484"/>
            <w:vAlign w:val="center"/>
            <w:shd w:fill="E9EDF3"/>
          </w:tcPr>
          <w:p>
            <w:r/>
            <w:r>
              <w:rPr>
                <w:rFonts w:ascii="Aptos" w:hAnsi="Aptos"/>
                <w:b w:val="0"/>
                <w:color w:val="1D2633"/>
                <w:sz w:val="16"/>
              </w:rPr>
              <w:t>2</w:t>
            </w:r>
          </w:p>
        </w:tc>
        <w:tc>
          <w:tcPr>
            <w:tcW w:type="dxa" w:w="2484"/>
            <w:vAlign w:val="center"/>
            <w:shd w:fill="E9EDF3"/>
          </w:tcPr>
          <w:p>
            <w:r/>
            <w:r>
              <w:rPr>
                <w:rFonts w:ascii="Aptos" w:hAnsi="Aptos"/>
                <w:b w:val="0"/>
                <w:color w:val="1D2633"/>
                <w:sz w:val="16"/>
              </w:rPr>
              <w:t>Constitution</w:t>
            </w:r>
          </w:p>
        </w:tc>
        <w:tc>
          <w:tcPr>
            <w:tcW w:type="dxa" w:w="2484"/>
            <w:vAlign w:val="center"/>
            <w:shd w:fill="E9EDF3"/>
          </w:tcPr>
          <w:p>
            <w:r/>
            <w:r>
              <w:rPr>
                <w:rFonts w:ascii="Aptos" w:hAnsi="Aptos"/>
                <w:b w:val="0"/>
                <w:color w:val="1D2633"/>
                <w:sz w:val="16"/>
              </w:rPr>
              <w:t>Purpose, manifesto, mission, vision, promise, values, standard and founder letter approved</w:t>
            </w:r>
          </w:p>
        </w:tc>
        <w:tc>
          <w:tcPr>
            <w:tcW w:type="dxa" w:w="2484"/>
            <w:vAlign w:val="center"/>
            <w:shd w:fill="E9EDF3"/>
          </w:tcPr>
          <w:p>
            <w:r/>
            <w:r>
              <w:rPr>
                <w:rFonts w:ascii="Aptos" w:hAnsi="Aptos"/>
                <w:b w:val="0"/>
                <w:color w:val="1D2633"/>
                <w:sz w:val="16"/>
              </w:rPr>
              <w:t>QUEUED</w:t>
            </w:r>
          </w:p>
        </w:tc>
      </w:tr>
      <w:tr>
        <w:tc>
          <w:tcPr>
            <w:tcW w:type="dxa" w:w="2484"/>
            <w:vAlign w:val="center"/>
            <w:shd w:fill="FFFFFF"/>
          </w:tcPr>
          <w:p>
            <w:r/>
            <w:r>
              <w:rPr>
                <w:rFonts w:ascii="Aptos" w:hAnsi="Aptos"/>
                <w:b w:val="0"/>
                <w:color w:val="1D2633"/>
                <w:sz w:val="16"/>
              </w:rPr>
              <w:t>3</w:t>
            </w:r>
          </w:p>
        </w:tc>
        <w:tc>
          <w:tcPr>
            <w:tcW w:type="dxa" w:w="2484"/>
            <w:vAlign w:val="center"/>
            <w:shd w:fill="FFFFFF"/>
          </w:tcPr>
          <w:p>
            <w:r/>
            <w:r>
              <w:rPr>
                <w:rFonts w:ascii="Aptos" w:hAnsi="Aptos"/>
                <w:b w:val="0"/>
                <w:color w:val="1D2633"/>
                <w:sz w:val="16"/>
              </w:rPr>
              <w:t>Methodology</w:t>
            </w:r>
          </w:p>
        </w:tc>
        <w:tc>
          <w:tcPr>
            <w:tcW w:type="dxa" w:w="2484"/>
            <w:vAlign w:val="center"/>
            <w:shd w:fill="FFFFFF"/>
          </w:tcPr>
          <w:p>
            <w:r/>
            <w:r>
              <w:rPr>
                <w:rFonts w:ascii="Aptos" w:hAnsi="Aptos"/>
                <w:b w:val="0"/>
                <w:color w:val="1D2633"/>
                <w:sz w:val="16"/>
              </w:rPr>
              <w:t>VYNE Framework, VYNE's 9, ROOT, BRANCH and GROW fully reconciled</w:t>
            </w:r>
          </w:p>
        </w:tc>
        <w:tc>
          <w:tcPr>
            <w:tcW w:type="dxa" w:w="2484"/>
            <w:vAlign w:val="center"/>
            <w:shd w:fill="FFFFFF"/>
          </w:tcPr>
          <w:p>
            <w:r/>
            <w:r>
              <w:rPr>
                <w:rFonts w:ascii="Aptos" w:hAnsi="Aptos"/>
                <w:b w:val="0"/>
                <w:color w:val="1D2633"/>
                <w:sz w:val="16"/>
              </w:rPr>
              <w:t>QUEUED</w:t>
            </w:r>
          </w:p>
        </w:tc>
      </w:tr>
      <w:tr>
        <w:tc>
          <w:tcPr>
            <w:tcW w:type="dxa" w:w="2484"/>
            <w:vAlign w:val="center"/>
            <w:shd w:fill="E9EDF3"/>
          </w:tcPr>
          <w:p>
            <w:r/>
            <w:r>
              <w:rPr>
                <w:rFonts w:ascii="Aptos" w:hAnsi="Aptos"/>
                <w:b w:val="0"/>
                <w:color w:val="1D2633"/>
                <w:sz w:val="16"/>
              </w:rPr>
              <w:t>4</w:t>
            </w:r>
          </w:p>
        </w:tc>
        <w:tc>
          <w:tcPr>
            <w:tcW w:type="dxa" w:w="2484"/>
            <w:vAlign w:val="center"/>
            <w:shd w:fill="E9EDF3"/>
          </w:tcPr>
          <w:p>
            <w:r/>
            <w:r>
              <w:rPr>
                <w:rFonts w:ascii="Aptos" w:hAnsi="Aptos"/>
                <w:b w:val="0"/>
                <w:color w:val="1D2633"/>
                <w:sz w:val="16"/>
              </w:rPr>
              <w:t>Client experience</w:t>
            </w:r>
          </w:p>
        </w:tc>
        <w:tc>
          <w:tcPr>
            <w:tcW w:type="dxa" w:w="2484"/>
            <w:vAlign w:val="center"/>
            <w:shd w:fill="E9EDF3"/>
          </w:tcPr>
          <w:p>
            <w:r/>
            <w:r>
              <w:rPr>
                <w:rFonts w:ascii="Aptos" w:hAnsi="Aptos"/>
                <w:b w:val="0"/>
                <w:color w:val="1D2633"/>
                <w:sz w:val="16"/>
              </w:rPr>
              <w:t>Journey, meetings, deliverables, permissions and service boundaries mapped</w:t>
            </w:r>
          </w:p>
        </w:tc>
        <w:tc>
          <w:tcPr>
            <w:tcW w:type="dxa" w:w="2484"/>
            <w:vAlign w:val="center"/>
            <w:shd w:fill="E9EDF3"/>
          </w:tcPr>
          <w:p>
            <w:r/>
            <w:r>
              <w:rPr>
                <w:rFonts w:ascii="Aptos" w:hAnsi="Aptos"/>
                <w:b w:val="0"/>
                <w:color w:val="1D2633"/>
                <w:sz w:val="16"/>
              </w:rPr>
              <w:t>QUEUED</w:t>
            </w:r>
          </w:p>
        </w:tc>
      </w:tr>
      <w:tr>
        <w:tc>
          <w:tcPr>
            <w:tcW w:type="dxa" w:w="2484"/>
            <w:vAlign w:val="center"/>
            <w:shd w:fill="FFFFFF"/>
          </w:tcPr>
          <w:p>
            <w:r/>
            <w:r>
              <w:rPr>
                <w:rFonts w:ascii="Aptos" w:hAnsi="Aptos"/>
                <w:b w:val="0"/>
                <w:color w:val="1D2633"/>
                <w:sz w:val="16"/>
              </w:rPr>
              <w:t>5</w:t>
            </w:r>
          </w:p>
        </w:tc>
        <w:tc>
          <w:tcPr>
            <w:tcW w:type="dxa" w:w="2484"/>
            <w:vAlign w:val="center"/>
            <w:shd w:fill="FFFFFF"/>
          </w:tcPr>
          <w:p>
            <w:r/>
            <w:r>
              <w:rPr>
                <w:rFonts w:ascii="Aptos" w:hAnsi="Aptos"/>
                <w:b w:val="0"/>
                <w:color w:val="1D2633"/>
                <w:sz w:val="16"/>
              </w:rPr>
              <w:t>Authority system</w:t>
            </w:r>
          </w:p>
        </w:tc>
        <w:tc>
          <w:tcPr>
            <w:tcW w:type="dxa" w:w="2484"/>
            <w:vAlign w:val="center"/>
            <w:shd w:fill="FFFFFF"/>
          </w:tcPr>
          <w:p>
            <w:r/>
            <w:r>
              <w:rPr>
                <w:rFonts w:ascii="Aptos" w:hAnsi="Aptos"/>
                <w:b w:val="0"/>
                <w:color w:val="1D2633"/>
                <w:sz w:val="16"/>
              </w:rPr>
              <w:t>AEO taxonomy, editorial calendar, newsletter, conversion and measurement system defined</w:t>
            </w:r>
          </w:p>
        </w:tc>
        <w:tc>
          <w:tcPr>
            <w:tcW w:type="dxa" w:w="2484"/>
            <w:vAlign w:val="center"/>
            <w:shd w:fill="FFFFFF"/>
          </w:tcPr>
          <w:p>
            <w:r/>
            <w:r>
              <w:rPr>
                <w:rFonts w:ascii="Aptos" w:hAnsi="Aptos"/>
                <w:b w:val="0"/>
                <w:color w:val="1D2633"/>
                <w:sz w:val="16"/>
              </w:rPr>
              <w:t>QUEUED</w:t>
            </w:r>
          </w:p>
        </w:tc>
      </w:tr>
      <w:tr>
        <w:tc>
          <w:tcPr>
            <w:tcW w:type="dxa" w:w="2484"/>
            <w:vAlign w:val="center"/>
            <w:shd w:fill="E9EDF3"/>
          </w:tcPr>
          <w:p>
            <w:r/>
            <w:r>
              <w:rPr>
                <w:rFonts w:ascii="Aptos" w:hAnsi="Aptos"/>
                <w:b w:val="0"/>
                <w:color w:val="1D2633"/>
                <w:sz w:val="16"/>
              </w:rPr>
              <w:t>6</w:t>
            </w:r>
          </w:p>
        </w:tc>
        <w:tc>
          <w:tcPr>
            <w:tcW w:type="dxa" w:w="2484"/>
            <w:vAlign w:val="center"/>
            <w:shd w:fill="E9EDF3"/>
          </w:tcPr>
          <w:p>
            <w:r/>
            <w:r>
              <w:rPr>
                <w:rFonts w:ascii="Aptos" w:hAnsi="Aptos"/>
                <w:b w:val="0"/>
                <w:color w:val="1D2633"/>
                <w:sz w:val="16"/>
              </w:rPr>
              <w:t>Operating system</w:t>
            </w:r>
          </w:p>
        </w:tc>
        <w:tc>
          <w:tcPr>
            <w:tcW w:type="dxa" w:w="2484"/>
            <w:vAlign w:val="center"/>
            <w:shd w:fill="E9EDF3"/>
          </w:tcPr>
          <w:p>
            <w:r/>
            <w:r>
              <w:rPr>
                <w:rFonts w:ascii="Aptos" w:hAnsi="Aptos"/>
                <w:b w:val="0"/>
                <w:color w:val="1D2633"/>
                <w:sz w:val="16"/>
              </w:rPr>
              <w:t>People, recruiter, finance and legal materials reconciled and counsel-ready</w:t>
            </w:r>
          </w:p>
        </w:tc>
        <w:tc>
          <w:tcPr>
            <w:tcW w:type="dxa" w:w="2484"/>
            <w:vAlign w:val="center"/>
            <w:shd w:fill="E9EDF3"/>
          </w:tcPr>
          <w:p>
            <w:r/>
            <w:r>
              <w:rPr>
                <w:rFonts w:ascii="Aptos" w:hAnsi="Aptos"/>
                <w:b w:val="0"/>
                <w:color w:val="1D2633"/>
                <w:sz w:val="16"/>
              </w:rPr>
              <w:t>QUEUED</w:t>
            </w:r>
          </w:p>
        </w:tc>
      </w:tr>
      <w:tr>
        <w:tc>
          <w:tcPr>
            <w:tcW w:type="dxa" w:w="2484"/>
            <w:vAlign w:val="center"/>
            <w:shd w:fill="FFFFFF"/>
          </w:tcPr>
          <w:p>
            <w:r/>
            <w:r>
              <w:rPr>
                <w:rFonts w:ascii="Aptos" w:hAnsi="Aptos"/>
                <w:b w:val="0"/>
                <w:color w:val="1D2633"/>
                <w:sz w:val="16"/>
              </w:rPr>
              <w:t>7</w:t>
            </w:r>
          </w:p>
        </w:tc>
        <w:tc>
          <w:tcPr>
            <w:tcW w:type="dxa" w:w="2484"/>
            <w:vAlign w:val="center"/>
            <w:shd w:fill="FFFFFF"/>
          </w:tcPr>
          <w:p>
            <w:r/>
            <w:r>
              <w:rPr>
                <w:rFonts w:ascii="Aptos" w:hAnsi="Aptos"/>
                <w:b w:val="0"/>
                <w:color w:val="1D2633"/>
                <w:sz w:val="16"/>
              </w:rPr>
              <w:t>Technology roadmap</w:t>
            </w:r>
          </w:p>
        </w:tc>
        <w:tc>
          <w:tcPr>
            <w:tcW w:type="dxa" w:w="2484"/>
            <w:vAlign w:val="center"/>
            <w:shd w:fill="FFFFFF"/>
          </w:tcPr>
          <w:p>
            <w:r/>
            <w:r>
              <w:rPr>
                <w:rFonts w:ascii="Aptos" w:hAnsi="Aptos"/>
                <w:b w:val="0"/>
                <w:color w:val="1D2633"/>
                <w:sz w:val="16"/>
              </w:rPr>
              <w:t>Production website, CRM, data, AI and security plan sequenced by stage</w:t>
            </w:r>
          </w:p>
        </w:tc>
        <w:tc>
          <w:tcPr>
            <w:tcW w:type="dxa" w:w="2484"/>
            <w:vAlign w:val="center"/>
            <w:shd w:fill="FFFFFF"/>
          </w:tcPr>
          <w:p>
            <w:r/>
            <w:r>
              <w:rPr>
                <w:rFonts w:ascii="Aptos" w:hAnsi="Aptos"/>
                <w:b w:val="0"/>
                <w:color w:val="1D2633"/>
                <w:sz w:val="16"/>
              </w:rPr>
              <w:t>QUEUED</w:t>
            </w:r>
          </w:p>
        </w:tc>
      </w:tr>
    </w:tbl>
    <w:p>
      <w:pPr>
        <w:pStyle w:val="Heading1"/>
        <w:spacing w:before="280" w:after="120"/>
        <w:pBdr>
          <w:bottom w:val="single" w:sz="10" w:space="6" w:color="A97C50"/>
        </w:pBdr>
      </w:pPr>
      <w:r>
        <w:rPr>
          <w:rFonts w:ascii="Aptos Display" w:hAnsi="Aptos Display"/>
          <w:color w:val="12233F"/>
        </w:rPr>
        <w:t>11. Immediate Work Now Underway</w:t>
      </w:r>
    </w:p>
    <w:p>
      <w:pPr>
        <w:pStyle w:val="BodyText"/>
        <w:spacing w:after="120" w:line="259" w:lineRule="auto"/>
      </w:pPr>
      <w:r>
        <w:t>The next build cycle will produce four linked control artifacts:</w:t>
      </w:r>
    </w:p>
    <w:p>
      <w:pPr>
        <w:pStyle w:val="ListBullet"/>
        <w:spacing w:after="60"/>
      </w:pPr>
      <w:r>
        <w:t>Canonical Source Register — every source assigned a permanent home, owner, version and disposition</w:t>
      </w:r>
    </w:p>
    <w:p>
      <w:pPr>
        <w:pStyle w:val="ListBullet"/>
        <w:spacing w:after="60"/>
      </w:pPr>
      <w:r>
        <w:t>Conflict and Decision Log — contradictions resolved with rationale and downstream impact</w:t>
      </w:r>
    </w:p>
    <w:p>
      <w:pPr>
        <w:pStyle w:val="ListBullet"/>
        <w:spacing w:after="60"/>
      </w:pPr>
      <w:r>
        <w:t>VYNE Language Guide v0.1 — approved and prohibited terminology across public, internal and legal contexts</w:t>
      </w:r>
    </w:p>
    <w:p>
      <w:pPr>
        <w:pStyle w:val="ListBullet"/>
        <w:spacing w:after="60"/>
      </w:pPr>
      <w:r>
        <w:t>Institutional Blueprint v0.2 — expanded with the final architecture of the VYNE Framework and VYNE's 9</w:t>
      </w:r>
    </w:p>
    <w:p>
      <w:pPr>
        <w:pStyle w:val="BodyText"/>
        <w:spacing w:after="120" w:line="259" w:lineRule="auto"/>
      </w:pPr>
      <w:r>
        <w:t>No major public asset should be finalized until these controls are complete. This is not a delay tactic. It is the fastest way to prevent repeated rewrites, framework drift and disconnected technology decisions.</w:t>
      </w:r>
    </w:p>
    <w:p>
      <w:pPr>
        <w:pStyle w:val="Heading1"/>
        <w:spacing w:before="280" w:after="120"/>
        <w:pBdr>
          <w:bottom w:val="single" w:sz="10" w:space="6" w:color="A97C50"/>
        </w:pBdr>
      </w:pPr>
      <w:r>
        <w:rPr>
          <w:rFonts w:ascii="Aptos Display" w:hAnsi="Aptos Display"/>
          <w:color w:val="12233F"/>
        </w:rPr>
        <w:t>Appendix A — Preliminary Source Authority Map</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2233F"/>
          </w:tcPr>
          <w:p>
            <w:r/>
            <w:r>
              <w:rPr>
                <w:rFonts w:ascii="Aptos" w:hAnsi="Aptos"/>
                <w:b/>
                <w:color w:val="FFFFFF"/>
                <w:sz w:val="17"/>
              </w:rPr>
              <w:t>Domain</w:t>
            </w:r>
          </w:p>
        </w:tc>
        <w:tc>
          <w:tcPr>
            <w:tcW w:type="dxa" w:w="3312"/>
            <w:vAlign w:val="center"/>
            <w:shd w:fill="12233F"/>
          </w:tcPr>
          <w:p>
            <w:r/>
            <w:r>
              <w:rPr>
                <w:rFonts w:ascii="Aptos" w:hAnsi="Aptos"/>
                <w:b/>
                <w:color w:val="FFFFFF"/>
                <w:sz w:val="17"/>
              </w:rPr>
              <w:t>Primary source</w:t>
            </w:r>
          </w:p>
        </w:tc>
        <w:tc>
          <w:tcPr>
            <w:tcW w:type="dxa" w:w="3312"/>
            <w:vAlign w:val="center"/>
            <w:shd w:fill="12233F"/>
          </w:tcPr>
          <w:p>
            <w:r/>
            <w:r>
              <w:rPr>
                <w:rFonts w:ascii="Aptos" w:hAnsi="Aptos"/>
                <w:b/>
                <w:color w:val="FFFFFF"/>
                <w:sz w:val="17"/>
              </w:rPr>
              <w:t>Authority decision</w:t>
            </w:r>
          </w:p>
        </w:tc>
      </w:tr>
      <w:tr>
        <w:tc>
          <w:tcPr>
            <w:tcW w:type="dxa" w:w="3312"/>
            <w:vAlign w:val="center"/>
            <w:shd w:fill="F5F1E8"/>
          </w:tcPr>
          <w:p>
            <w:r/>
            <w:r>
              <w:rPr>
                <w:rFonts w:ascii="Aptos" w:hAnsi="Aptos"/>
                <w:b w:val="0"/>
                <w:color w:val="1D2633"/>
                <w:sz w:val="16"/>
              </w:rPr>
              <w:t>Institutional philosophy</w:t>
            </w:r>
          </w:p>
        </w:tc>
        <w:tc>
          <w:tcPr>
            <w:tcW w:type="dxa" w:w="3312"/>
            <w:vAlign w:val="center"/>
            <w:shd w:fill="F5F1E8"/>
          </w:tcPr>
          <w:p>
            <w:r/>
            <w:r>
              <w:rPr>
                <w:rFonts w:ascii="Aptos" w:hAnsi="Aptos"/>
                <w:b w:val="0"/>
                <w:color w:val="1D2633"/>
                <w:sz w:val="16"/>
              </w:rPr>
              <w:t>New Blueprint and forthcoming Constitution</w:t>
            </w:r>
          </w:p>
        </w:tc>
        <w:tc>
          <w:tcPr>
            <w:tcW w:type="dxa" w:w="3312"/>
            <w:vAlign w:val="center"/>
            <w:shd w:fill="F5F1E8"/>
          </w:tcPr>
          <w:p>
            <w:r/>
            <w:r>
              <w:rPr>
                <w:rFonts w:ascii="Aptos" w:hAnsi="Aptos"/>
                <w:b w:val="0"/>
                <w:color w:val="1D2633"/>
                <w:sz w:val="16"/>
              </w:rPr>
              <w:t>Governing; source documents subordinate</w:t>
            </w:r>
          </w:p>
        </w:tc>
      </w:tr>
      <w:tr>
        <w:tc>
          <w:tcPr>
            <w:tcW w:type="dxa" w:w="3312"/>
            <w:vAlign w:val="center"/>
            <w:shd w:fill="FFFFFF"/>
          </w:tcPr>
          <w:p>
            <w:r/>
            <w:r>
              <w:rPr>
                <w:rFonts w:ascii="Aptos" w:hAnsi="Aptos"/>
                <w:b w:val="0"/>
                <w:color w:val="1D2633"/>
                <w:sz w:val="16"/>
              </w:rPr>
              <w:t>Business and competitive strategy</w:t>
            </w:r>
          </w:p>
        </w:tc>
        <w:tc>
          <w:tcPr>
            <w:tcW w:type="dxa" w:w="3312"/>
            <w:vAlign w:val="center"/>
            <w:shd w:fill="FFFFFF"/>
          </w:tcPr>
          <w:p>
            <w:r/>
            <w:r>
              <w:rPr>
                <w:rFonts w:ascii="Aptos" w:hAnsi="Aptos"/>
                <w:b w:val="0"/>
                <w:color w:val="1D2633"/>
                <w:sz w:val="16"/>
              </w:rPr>
              <w:t>Business Plan and Competitive Strategy v1</w:t>
            </w:r>
          </w:p>
        </w:tc>
        <w:tc>
          <w:tcPr>
            <w:tcW w:type="dxa" w:w="3312"/>
            <w:vAlign w:val="center"/>
            <w:shd w:fill="FFFFFF"/>
          </w:tcPr>
          <w:p>
            <w:r/>
            <w:r>
              <w:rPr>
                <w:rFonts w:ascii="Aptos" w:hAnsi="Aptos"/>
                <w:b w:val="0"/>
                <w:color w:val="1D2633"/>
                <w:sz w:val="16"/>
              </w:rPr>
              <w:t>Retain as analytical source; rewrite institutionally</w:t>
            </w:r>
          </w:p>
        </w:tc>
      </w:tr>
      <w:tr>
        <w:tc>
          <w:tcPr>
            <w:tcW w:type="dxa" w:w="3312"/>
            <w:vAlign w:val="center"/>
            <w:shd w:fill="F5F1E8"/>
          </w:tcPr>
          <w:p>
            <w:r/>
            <w:r>
              <w:rPr>
                <w:rFonts w:ascii="Aptos" w:hAnsi="Aptos"/>
                <w:b w:val="0"/>
                <w:color w:val="1D2633"/>
                <w:sz w:val="16"/>
              </w:rPr>
              <w:t>Advisor process</w:t>
            </w:r>
          </w:p>
        </w:tc>
        <w:tc>
          <w:tcPr>
            <w:tcW w:type="dxa" w:w="3312"/>
            <w:vAlign w:val="center"/>
            <w:shd w:fill="F5F1E8"/>
          </w:tcPr>
          <w:p>
            <w:r/>
            <w:r>
              <w:rPr>
                <w:rFonts w:ascii="Aptos" w:hAnsi="Aptos"/>
                <w:b w:val="0"/>
                <w:color w:val="1D2633"/>
                <w:sz w:val="16"/>
              </w:rPr>
              <w:t>Internal Operating Manual v1</w:t>
            </w:r>
          </w:p>
        </w:tc>
        <w:tc>
          <w:tcPr>
            <w:tcW w:type="dxa" w:w="3312"/>
            <w:vAlign w:val="center"/>
            <w:shd w:fill="F5F1E8"/>
          </w:tcPr>
          <w:p>
            <w:r/>
            <w:r>
              <w:rPr>
                <w:rFonts w:ascii="Aptos" w:hAnsi="Aptos"/>
                <w:b w:val="0"/>
                <w:color w:val="1D2633"/>
                <w:sz w:val="16"/>
              </w:rPr>
              <w:t>Primary source for ROOT/BRANCH/GROW and journey; reconcile</w:t>
            </w:r>
          </w:p>
        </w:tc>
      </w:tr>
      <w:tr>
        <w:tc>
          <w:tcPr>
            <w:tcW w:type="dxa" w:w="3312"/>
            <w:vAlign w:val="center"/>
            <w:shd w:fill="FFFFFF"/>
          </w:tcPr>
          <w:p>
            <w:r/>
            <w:r>
              <w:rPr>
                <w:rFonts w:ascii="Aptos" w:hAnsi="Aptos"/>
                <w:b w:val="0"/>
                <w:color w:val="1D2633"/>
                <w:sz w:val="16"/>
              </w:rPr>
              <w:t>Website experience</w:t>
            </w:r>
          </w:p>
        </w:tc>
        <w:tc>
          <w:tcPr>
            <w:tcW w:type="dxa" w:w="3312"/>
            <w:vAlign w:val="center"/>
            <w:shd w:fill="FFFFFF"/>
          </w:tcPr>
          <w:p>
            <w:r/>
            <w:r>
              <w:rPr>
                <w:rFonts w:ascii="Aptos" w:hAnsi="Aptos"/>
                <w:b w:val="0"/>
                <w:color w:val="1D2633"/>
                <w:sz w:val="16"/>
              </w:rPr>
              <w:t>Website PRD/Wireframes + Copy Deck</w:t>
            </w:r>
          </w:p>
        </w:tc>
        <w:tc>
          <w:tcPr>
            <w:tcW w:type="dxa" w:w="3312"/>
            <w:vAlign w:val="center"/>
            <w:shd w:fill="FFFFFF"/>
          </w:tcPr>
          <w:p>
            <w:r/>
            <w:r>
              <w:rPr>
                <w:rFonts w:ascii="Aptos" w:hAnsi="Aptos"/>
                <w:b w:val="0"/>
                <w:color w:val="1D2633"/>
                <w:sz w:val="16"/>
              </w:rPr>
              <w:t>Primary source; migrate messaging and VYNE's 9</w:t>
            </w:r>
          </w:p>
        </w:tc>
      </w:tr>
      <w:tr>
        <w:tc>
          <w:tcPr>
            <w:tcW w:type="dxa" w:w="3312"/>
            <w:vAlign w:val="center"/>
            <w:shd w:fill="F5F1E8"/>
          </w:tcPr>
          <w:p>
            <w:r/>
            <w:r>
              <w:rPr>
                <w:rFonts w:ascii="Aptos" w:hAnsi="Aptos"/>
                <w:b w:val="0"/>
                <w:color w:val="1D2633"/>
                <w:sz w:val="16"/>
              </w:rPr>
              <w:t>AEO/acquisition</w:t>
            </w:r>
          </w:p>
        </w:tc>
        <w:tc>
          <w:tcPr>
            <w:tcW w:type="dxa" w:w="3312"/>
            <w:vAlign w:val="center"/>
            <w:shd w:fill="F5F1E8"/>
          </w:tcPr>
          <w:p>
            <w:r/>
            <w:r>
              <w:rPr>
                <w:rFonts w:ascii="Aptos" w:hAnsi="Aptos"/>
                <w:b w:val="0"/>
                <w:color w:val="1D2633"/>
                <w:sz w:val="16"/>
              </w:rPr>
              <w:t>Digital Authority Blueprint + six answer/brief prototypes</w:t>
            </w:r>
          </w:p>
        </w:tc>
        <w:tc>
          <w:tcPr>
            <w:tcW w:type="dxa" w:w="3312"/>
            <w:vAlign w:val="center"/>
            <w:shd w:fill="F5F1E8"/>
          </w:tcPr>
          <w:p>
            <w:r/>
            <w:r>
              <w:rPr>
                <w:rFonts w:ascii="Aptos" w:hAnsi="Aptos"/>
                <w:b w:val="0"/>
                <w:color w:val="1D2633"/>
                <w:sz w:val="16"/>
              </w:rPr>
              <w:t>Primary source; add Trust Flywheel and channel economics</w:t>
            </w:r>
          </w:p>
        </w:tc>
      </w:tr>
      <w:tr>
        <w:tc>
          <w:tcPr>
            <w:tcW w:type="dxa" w:w="3312"/>
            <w:vAlign w:val="center"/>
            <w:shd w:fill="FFFFFF"/>
          </w:tcPr>
          <w:p>
            <w:r/>
            <w:r>
              <w:rPr>
                <w:rFonts w:ascii="Aptos" w:hAnsi="Aptos"/>
                <w:b w:val="0"/>
                <w:color w:val="1D2633"/>
                <w:sz w:val="16"/>
              </w:rPr>
              <w:t>Assessment</w:t>
            </w:r>
          </w:p>
        </w:tc>
        <w:tc>
          <w:tcPr>
            <w:tcW w:type="dxa" w:w="3312"/>
            <w:vAlign w:val="center"/>
            <w:shd w:fill="FFFFFF"/>
          </w:tcPr>
          <w:p>
            <w:r/>
            <w:r>
              <w:rPr>
                <w:rFonts w:ascii="Aptos" w:hAnsi="Aptos"/>
                <w:b w:val="0"/>
                <w:color w:val="1D2633"/>
                <w:sz w:val="16"/>
              </w:rPr>
              <w:t>Eight Questions Assessment Logic</w:t>
            </w:r>
          </w:p>
        </w:tc>
        <w:tc>
          <w:tcPr>
            <w:tcW w:type="dxa" w:w="3312"/>
            <w:vAlign w:val="center"/>
            <w:shd w:fill="FFFFFF"/>
          </w:tcPr>
          <w:p>
            <w:r/>
            <w:r>
              <w:rPr>
                <w:rFonts w:ascii="Aptos" w:hAnsi="Aptos"/>
                <w:b w:val="0"/>
                <w:color w:val="1D2633"/>
                <w:sz w:val="16"/>
              </w:rPr>
              <w:t>Superseded public form; preserve logic as migration source</w:t>
            </w:r>
          </w:p>
        </w:tc>
      </w:tr>
      <w:tr>
        <w:tc>
          <w:tcPr>
            <w:tcW w:type="dxa" w:w="3312"/>
            <w:vAlign w:val="center"/>
            <w:shd w:fill="F5F1E8"/>
          </w:tcPr>
          <w:p>
            <w:r/>
            <w:r>
              <w:rPr>
                <w:rFonts w:ascii="Aptos" w:hAnsi="Aptos"/>
                <w:b w:val="0"/>
                <w:color w:val="1D2633"/>
                <w:sz w:val="16"/>
              </w:rPr>
              <w:t>CRM/data</w:t>
            </w:r>
          </w:p>
        </w:tc>
        <w:tc>
          <w:tcPr>
            <w:tcW w:type="dxa" w:w="3312"/>
            <w:vAlign w:val="center"/>
            <w:shd w:fill="F5F1E8"/>
          </w:tcPr>
          <w:p>
            <w:r/>
            <w:r>
              <w:rPr>
                <w:rFonts w:ascii="Aptos" w:hAnsi="Aptos"/>
                <w:b w:val="0"/>
                <w:color w:val="1D2633"/>
                <w:sz w:val="16"/>
              </w:rPr>
              <w:t>CRM Data Model and Workflow Schema v1</w:t>
            </w:r>
          </w:p>
        </w:tc>
        <w:tc>
          <w:tcPr>
            <w:tcW w:type="dxa" w:w="3312"/>
            <w:vAlign w:val="center"/>
            <w:shd w:fill="F5F1E8"/>
          </w:tcPr>
          <w:p>
            <w:r/>
            <w:r>
              <w:rPr>
                <w:rFonts w:ascii="Aptos" w:hAnsi="Aptos"/>
                <w:b w:val="0"/>
                <w:color w:val="1D2633"/>
                <w:sz w:val="16"/>
              </w:rPr>
              <w:t>Primary technical source</w:t>
            </w:r>
          </w:p>
        </w:tc>
      </w:tr>
      <w:tr>
        <w:tc>
          <w:tcPr>
            <w:tcW w:type="dxa" w:w="3312"/>
            <w:vAlign w:val="center"/>
            <w:shd w:fill="FFFFFF"/>
          </w:tcPr>
          <w:p>
            <w:r/>
            <w:r>
              <w:rPr>
                <w:rFonts w:ascii="Aptos" w:hAnsi="Aptos"/>
                <w:b w:val="0"/>
                <w:color w:val="1D2633"/>
                <w:sz w:val="16"/>
              </w:rPr>
              <w:t>AI</w:t>
            </w:r>
          </w:p>
        </w:tc>
        <w:tc>
          <w:tcPr>
            <w:tcW w:type="dxa" w:w="3312"/>
            <w:vAlign w:val="center"/>
            <w:shd w:fill="FFFFFF"/>
          </w:tcPr>
          <w:p>
            <w:r/>
            <w:r>
              <w:rPr>
                <w:rFonts w:ascii="Aptos" w:hAnsi="Aptos"/>
                <w:b w:val="0"/>
                <w:color w:val="1D2633"/>
                <w:sz w:val="16"/>
              </w:rPr>
              <w:t>AI Agent Operating System v1 + registry</w:t>
            </w:r>
          </w:p>
        </w:tc>
        <w:tc>
          <w:tcPr>
            <w:tcW w:type="dxa" w:w="3312"/>
            <w:vAlign w:val="center"/>
            <w:shd w:fill="FFFFFF"/>
          </w:tcPr>
          <w:p>
            <w:r/>
            <w:r>
              <w:rPr>
                <w:rFonts w:ascii="Aptos" w:hAnsi="Aptos"/>
                <w:b w:val="0"/>
                <w:color w:val="1D2633"/>
                <w:sz w:val="16"/>
              </w:rPr>
              <w:t>Primary technical/governance source</w:t>
            </w:r>
          </w:p>
        </w:tc>
      </w:tr>
      <w:tr>
        <w:tc>
          <w:tcPr>
            <w:tcW w:type="dxa" w:w="3312"/>
            <w:vAlign w:val="center"/>
            <w:shd w:fill="F5F1E8"/>
          </w:tcPr>
          <w:p>
            <w:r/>
            <w:r>
              <w:rPr>
                <w:rFonts w:ascii="Aptos" w:hAnsi="Aptos"/>
                <w:b w:val="0"/>
                <w:color w:val="1D2633"/>
                <w:sz w:val="16"/>
              </w:rPr>
              <w:t>Production website</w:t>
            </w:r>
          </w:p>
        </w:tc>
        <w:tc>
          <w:tcPr>
            <w:tcW w:type="dxa" w:w="3312"/>
            <w:vAlign w:val="center"/>
            <w:shd w:fill="F5F1E8"/>
          </w:tcPr>
          <w:p>
            <w:r/>
            <w:r>
              <w:rPr>
                <w:rFonts w:ascii="Aptos" w:hAnsi="Aptos"/>
                <w:b w:val="0"/>
                <w:color w:val="1D2633"/>
                <w:sz w:val="16"/>
              </w:rPr>
              <w:t>Production Website Technical Specification v1</w:t>
            </w:r>
          </w:p>
        </w:tc>
        <w:tc>
          <w:tcPr>
            <w:tcW w:type="dxa" w:w="3312"/>
            <w:vAlign w:val="center"/>
            <w:shd w:fill="F5F1E8"/>
          </w:tcPr>
          <w:p>
            <w:r/>
            <w:r>
              <w:rPr>
                <w:rFonts w:ascii="Aptos" w:hAnsi="Aptos"/>
                <w:b w:val="0"/>
                <w:color w:val="1D2633"/>
                <w:sz w:val="16"/>
              </w:rPr>
              <w:t>Primary implementation source</w:t>
            </w:r>
          </w:p>
        </w:tc>
      </w:tr>
      <w:tr>
        <w:tc>
          <w:tcPr>
            <w:tcW w:type="dxa" w:w="3312"/>
            <w:vAlign w:val="center"/>
            <w:shd w:fill="FFFFFF"/>
          </w:tcPr>
          <w:p>
            <w:r/>
            <w:r>
              <w:rPr>
                <w:rFonts w:ascii="Aptos" w:hAnsi="Aptos"/>
                <w:b w:val="0"/>
                <w:color w:val="1D2633"/>
                <w:sz w:val="16"/>
              </w:rPr>
              <w:t>Recruiter operations</w:t>
            </w:r>
          </w:p>
        </w:tc>
        <w:tc>
          <w:tcPr>
            <w:tcW w:type="dxa" w:w="3312"/>
            <w:vAlign w:val="center"/>
            <w:shd w:fill="FFFFFF"/>
          </w:tcPr>
          <w:p>
            <w:r/>
            <w:r>
              <w:rPr>
                <w:rFonts w:ascii="Aptos" w:hAnsi="Aptos"/>
                <w:b w:val="0"/>
                <w:color w:val="1D2633"/>
                <w:sz w:val="16"/>
              </w:rPr>
              <w:t>1099-restructured Volumes 1–5</w:t>
            </w:r>
          </w:p>
        </w:tc>
        <w:tc>
          <w:tcPr>
            <w:tcW w:type="dxa" w:w="3312"/>
            <w:vAlign w:val="center"/>
            <w:shd w:fill="FFFFFF"/>
          </w:tcPr>
          <w:p>
            <w:r/>
            <w:r>
              <w:rPr>
                <w:rFonts w:ascii="Aptos" w:hAnsi="Aptos"/>
                <w:b w:val="0"/>
                <w:color w:val="1D2633"/>
                <w:sz w:val="16"/>
              </w:rPr>
              <w:t>Primary current operating source; counsel-dependent</w:t>
            </w:r>
          </w:p>
        </w:tc>
      </w:tr>
      <w:tr>
        <w:tc>
          <w:tcPr>
            <w:tcW w:type="dxa" w:w="3312"/>
            <w:vAlign w:val="center"/>
            <w:shd w:fill="F5F1E8"/>
          </w:tcPr>
          <w:p>
            <w:r/>
            <w:r>
              <w:rPr>
                <w:rFonts w:ascii="Aptos" w:hAnsi="Aptos"/>
                <w:b w:val="0"/>
                <w:color w:val="1D2633"/>
                <w:sz w:val="16"/>
              </w:rPr>
              <w:t>Legal risk</w:t>
            </w:r>
          </w:p>
        </w:tc>
        <w:tc>
          <w:tcPr>
            <w:tcW w:type="dxa" w:w="3312"/>
            <w:vAlign w:val="center"/>
            <w:shd w:fill="F5F1E8"/>
          </w:tcPr>
          <w:p>
            <w:r/>
            <w:r>
              <w:rPr>
                <w:rFonts w:ascii="Aptos" w:hAnsi="Aptos"/>
                <w:b w:val="0"/>
                <w:color w:val="1D2633"/>
                <w:sz w:val="16"/>
              </w:rPr>
              <w:t>Founder Risk Review + Agreement Outline + Attorney Addendum</w:t>
            </w:r>
          </w:p>
        </w:tc>
        <w:tc>
          <w:tcPr>
            <w:tcW w:type="dxa" w:w="3312"/>
            <w:vAlign w:val="center"/>
            <w:shd w:fill="F5F1E8"/>
          </w:tcPr>
          <w:p>
            <w:r/>
            <w:r>
              <w:rPr>
                <w:rFonts w:ascii="Aptos" w:hAnsi="Aptos"/>
                <w:b w:val="0"/>
                <w:color w:val="1D2633"/>
                <w:sz w:val="16"/>
              </w:rPr>
              <w:t>Primary unresolved-risk source</w:t>
            </w:r>
          </w:p>
        </w:tc>
      </w:tr>
      <w:tr>
        <w:tc>
          <w:tcPr>
            <w:tcW w:type="dxa" w:w="3312"/>
            <w:vAlign w:val="center"/>
            <w:shd w:fill="FFFFFF"/>
          </w:tcPr>
          <w:p>
            <w:r/>
            <w:r>
              <w:rPr>
                <w:rFonts w:ascii="Aptos" w:hAnsi="Aptos"/>
                <w:b w:val="0"/>
                <w:color w:val="1D2633"/>
                <w:sz w:val="16"/>
              </w:rPr>
              <w:t>Finance</w:t>
            </w:r>
          </w:p>
        </w:tc>
        <w:tc>
          <w:tcPr>
            <w:tcW w:type="dxa" w:w="3312"/>
            <w:vAlign w:val="center"/>
            <w:shd w:fill="FFFFFF"/>
          </w:tcPr>
          <w:p>
            <w:r/>
            <w:r>
              <w:rPr>
                <w:rFonts w:ascii="Aptos" w:hAnsi="Aptos"/>
                <w:b w:val="0"/>
                <w:color w:val="1D2633"/>
                <w:sz w:val="16"/>
              </w:rPr>
              <w:t>CEO Financial Operating Model + Year 1 Startup Budget</w:t>
            </w:r>
          </w:p>
        </w:tc>
        <w:tc>
          <w:tcPr>
            <w:tcW w:type="dxa" w:w="3312"/>
            <w:vAlign w:val="center"/>
            <w:shd w:fill="FFFFFF"/>
          </w:tcPr>
          <w:p>
            <w:r/>
            <w:r>
              <w:rPr>
                <w:rFonts w:ascii="Aptos" w:hAnsi="Aptos"/>
                <w:b w:val="0"/>
                <w:color w:val="1D2633"/>
                <w:sz w:val="16"/>
              </w:rPr>
              <w:t>Primary scenario source; assumptions require reconciliation</w:t>
            </w:r>
          </w:p>
        </w:tc>
      </w:tr>
      <w:tr>
        <w:tc>
          <w:tcPr>
            <w:tcW w:type="dxa" w:w="3312"/>
            <w:vAlign w:val="center"/>
            <w:shd w:fill="F5F1E8"/>
          </w:tcPr>
          <w:p>
            <w:r/>
            <w:r>
              <w:rPr>
                <w:rFonts w:ascii="Aptos" w:hAnsi="Aptos"/>
                <w:b w:val="0"/>
                <w:color w:val="1D2633"/>
                <w:sz w:val="16"/>
              </w:rPr>
              <w:t>Brand</w:t>
            </w:r>
          </w:p>
        </w:tc>
        <w:tc>
          <w:tcPr>
            <w:tcW w:type="dxa" w:w="3312"/>
            <w:vAlign w:val="center"/>
            <w:shd w:fill="F5F1E8"/>
          </w:tcPr>
          <w:p>
            <w:r/>
            <w:r>
              <w:rPr>
                <w:rFonts w:ascii="Aptos" w:hAnsi="Aptos"/>
                <w:b w:val="0"/>
                <w:color w:val="1D2633"/>
                <w:sz w:val="16"/>
              </w:rPr>
              <w:t>Logo family guide and visual mockups</w:t>
            </w:r>
          </w:p>
        </w:tc>
        <w:tc>
          <w:tcPr>
            <w:tcW w:type="dxa" w:w="3312"/>
            <w:vAlign w:val="center"/>
            <w:shd w:fill="F5F1E8"/>
          </w:tcPr>
          <w:p>
            <w:r/>
            <w:r>
              <w:rPr>
                <w:rFonts w:ascii="Aptos" w:hAnsi="Aptos"/>
                <w:b w:val="0"/>
                <w:color w:val="1D2633"/>
                <w:sz w:val="16"/>
              </w:rPr>
              <w:t>Reference collection; final brand system not yet canonical</w:t>
            </w:r>
          </w:p>
        </w:tc>
      </w:tr>
    </w:tbl>
    <w:p>
      <w:pPr>
        <w:pStyle w:val="Heading1"/>
        <w:spacing w:before="280" w:after="120"/>
        <w:pBdr>
          <w:bottom w:val="single" w:sz="10" w:space="6" w:color="A97C50"/>
        </w:pBdr>
      </w:pPr>
      <w:r>
        <w:rPr>
          <w:rFonts w:ascii="Aptos Display" w:hAnsi="Aptos Display"/>
          <w:color w:val="12233F"/>
        </w:rPr>
        <w:t>Appendix B — Non-Negotiable VYNE Tests</w:t>
      </w:r>
    </w:p>
    <w:p>
      <w:pPr>
        <w:pStyle w:val="ListBullet"/>
        <w:spacing w:after="60"/>
      </w:pPr>
      <w:r>
        <w:t>Does this improve advisor decision quality?</w:t>
      </w:r>
    </w:p>
    <w:p>
      <w:pPr>
        <w:pStyle w:val="ListBullet"/>
        <w:spacing w:after="60"/>
      </w:pPr>
      <w:r>
        <w:t>Does it build trust without manufacturing urgency?</w:t>
      </w:r>
    </w:p>
    <w:p>
      <w:pPr>
        <w:pStyle w:val="ListBullet"/>
        <w:spacing w:after="60"/>
      </w:pPr>
      <w:r>
        <w:t>Does it simplify complexity for the advisor?</w:t>
      </w:r>
    </w:p>
    <w:p>
      <w:pPr>
        <w:pStyle w:val="ListBullet"/>
        <w:spacing w:after="60"/>
      </w:pPr>
      <w:r>
        <w:t>Is the claim supported by evidence or clearly labeled judgment?</w:t>
      </w:r>
    </w:p>
    <w:p>
      <w:pPr>
        <w:pStyle w:val="ListBullet"/>
        <w:spacing w:after="60"/>
      </w:pPr>
      <w:r>
        <w:t>Would a sophisticated advisor respect it?</w:t>
      </w:r>
    </w:p>
    <w:p>
      <w:pPr>
        <w:pStyle w:val="ListBullet"/>
        <w:spacing w:after="60"/>
      </w:pPr>
      <w:r>
        <w:t>Does it remain valuable if the advisor decides to stay?</w:t>
      </w:r>
    </w:p>
    <w:p>
      <w:pPr>
        <w:pStyle w:val="ListBullet"/>
        <w:spacing w:after="60"/>
      </w:pPr>
      <w:r>
        <w:t>Can it scale without weakening discretion, security or human judgment?</w:t>
      </w:r>
    </w:p>
    <w:p>
      <w:pPr>
        <w:pStyle w:val="ListBullet"/>
        <w:spacing w:after="60"/>
      </w:pPr>
      <w:r>
        <w:t>Is it timeless enough to belong to an institution rather than a campaign?</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3D495B"/>
        <w:sz w:val="16"/>
      </w:rPr>
      <w:t xml:space="preserve">VYNE STRATEGIES  |  INSTITUTIONAL BLUEPRINT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D26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233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2233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2233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VYNE Institutional Blueprint v0.1</dc:title>
  <dc:subject>Knowledge Audit, Governing Architecture and Build Charter</dc:subject>
  <dc:creator>VYNE Strategies</dc:creator>
  <cp:keywords>VYNE, institutional blueprint, decision quality, AEO, advisor consulting</cp:keywords>
  <dc:description>generated by python-docx</dc:description>
  <cp:lastModifiedBy/>
  <cp:revision>1</cp:revision>
  <dcterms:created xsi:type="dcterms:W3CDTF">2013-12-23T23:15:00Z</dcterms:created>
  <dcterms:modified xsi:type="dcterms:W3CDTF">2013-12-23T23:15:00Z</dcterms:modified>
  <cp:category/>
</cp:coreProperties>
</file>