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i w:val="0"/>
          <w:color w:val="12263F"/>
          <w:sz w:val="24"/>
        </w:rPr>
        <w:t>VYNE STRATEGIES</w:t>
      </w:r>
    </w:p>
    <w:p>
      <w:pPr>
        <w:spacing w:before="560"/>
        <w:jc w:val="center"/>
      </w:pPr>
      <w:r>
        <w:rPr>
          <w:rFonts w:ascii="Aptos Display" w:hAnsi="Aptos Display"/>
          <w:b/>
          <w:i w:val="0"/>
          <w:color w:val="12263F"/>
          <w:sz w:val="56"/>
        </w:rPr>
        <w:t>AI Agent Operating System</w:t>
      </w:r>
    </w:p>
    <w:p>
      <w:pPr>
        <w:spacing w:before="240"/>
        <w:jc w:val="center"/>
      </w:pPr>
      <w:r>
        <w:rPr>
          <w:b w:val="0"/>
          <w:i w:val="0"/>
          <w:color w:val="5C6570"/>
          <w:sz w:val="26"/>
        </w:rPr>
        <w:t>Governed agent roles, permissions, workflows, approval gates and phased implementation for a lean VYNE organization</w:t>
      </w:r>
    </w:p>
    <w:p>
      <w:pPr>
        <w:spacing w:before="560"/>
        <w:jc w:val="center"/>
      </w:pPr>
      <w:r>
        <w:rPr>
          <w:b w:val="0"/>
          <w:i w:val="0"/>
          <w:color w:val="2C5282"/>
          <w:sz w:val="20"/>
        </w:rPr>
        <w:t>━━━━━━━━━━━━━━━━━━━━━━━━━━━━━━━━━━</w:t>
      </w:r>
    </w:p>
    <w:p>
      <w:pPr>
        <w:spacing w:before="400"/>
        <w:jc w:val="center"/>
      </w:pPr>
      <w:r>
        <w:rPr>
          <w:b w:val="0"/>
          <w:i w:val="0"/>
          <w:color w:val="5C6570"/>
          <w:sz w:val="20"/>
        </w:rPr>
        <w:t>Version 1.0  |  July 2026</w:t>
      </w:r>
    </w:p>
    <w:p>
      <w:pPr>
        <w:jc w:val="center"/>
      </w:pPr>
      <w:r>
        <w:rPr>
          <w:b w:val="0"/>
          <w:i w:val="0"/>
          <w:color w:val="5C6570"/>
          <w:sz w:val="18"/>
        </w:rPr>
        <w:t>Companion to the CRM Schema, Website Technical Specification and Internal Operating Manual</w:t>
      </w:r>
    </w:p>
    <w:p>
      <w:pPr>
        <w:spacing w:before="1000"/>
        <w:jc w:val="center"/>
      </w:pPr>
      <w:r>
        <w:rPr>
          <w:b w:val="0"/>
          <w:i/>
          <w:color w:val="5C6570"/>
          <w:sz w:val="18"/>
        </w:rPr>
        <w:t>Working technical specification. Architecture, privacy, cybersecurity, legal and regulatory decisions require qualified review before production use.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01  </w:t>
      </w:r>
      <w:r>
        <w:rPr>
          <w:b w:val="0"/>
          <w:i w:val="0"/>
          <w:color w:val="1F252B"/>
          <w:sz w:val="19"/>
        </w:rPr>
        <w:t>Executive operating decision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02  </w:t>
      </w:r>
      <w:r>
        <w:rPr>
          <w:b w:val="0"/>
          <w:i w:val="0"/>
          <w:color w:val="1F252B"/>
          <w:sz w:val="19"/>
        </w:rPr>
        <w:t>Agent principles and governance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03  </w:t>
      </w:r>
      <w:r>
        <w:rPr>
          <w:b w:val="0"/>
          <w:i w:val="0"/>
          <w:color w:val="1F252B"/>
          <w:sz w:val="19"/>
        </w:rPr>
        <w:t>Shared architecture and case memory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04  </w:t>
      </w:r>
      <w:r>
        <w:rPr>
          <w:b w:val="0"/>
          <w:i w:val="0"/>
          <w:color w:val="1F252B"/>
          <w:sz w:val="19"/>
        </w:rPr>
        <w:t>Human approval matrix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05  </w:t>
      </w:r>
      <w:r>
        <w:rPr>
          <w:b w:val="0"/>
          <w:i w:val="0"/>
          <w:color w:val="1F252B"/>
          <w:sz w:val="19"/>
        </w:rPr>
        <w:t>Agent registry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06  </w:t>
      </w:r>
      <w:r>
        <w:rPr>
          <w:b w:val="0"/>
          <w:i w:val="0"/>
          <w:color w:val="1F252B"/>
          <w:sz w:val="19"/>
        </w:rPr>
        <w:t>Chief of Staff Agent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07  </w:t>
      </w:r>
      <w:r>
        <w:rPr>
          <w:b w:val="0"/>
          <w:i w:val="0"/>
          <w:color w:val="1F252B"/>
          <w:sz w:val="19"/>
        </w:rPr>
        <w:t>Pipeline and CRM Agent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08  </w:t>
      </w:r>
      <w:r>
        <w:rPr>
          <w:b w:val="0"/>
          <w:i w:val="0"/>
          <w:color w:val="1F252B"/>
          <w:sz w:val="19"/>
        </w:rPr>
        <w:t>Meeting Intelligence Agent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09  </w:t>
      </w:r>
      <w:r>
        <w:rPr>
          <w:b w:val="0"/>
          <w:i w:val="0"/>
          <w:color w:val="1F252B"/>
          <w:sz w:val="19"/>
        </w:rPr>
        <w:t>Firm Intelligence Agent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10  </w:t>
      </w:r>
      <w:r>
        <w:rPr>
          <w:b w:val="0"/>
          <w:i w:val="0"/>
          <w:color w:val="1F252B"/>
          <w:sz w:val="19"/>
        </w:rPr>
        <w:t>Content and AEO Agent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11  </w:t>
      </w:r>
      <w:r>
        <w:rPr>
          <w:b w:val="0"/>
          <w:i w:val="0"/>
          <w:color w:val="1F252B"/>
          <w:sz w:val="19"/>
        </w:rPr>
        <w:t>Newsletter and Nurture Agent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12  </w:t>
      </w:r>
      <w:r>
        <w:rPr>
          <w:b w:val="0"/>
          <w:i w:val="0"/>
          <w:color w:val="1F252B"/>
          <w:sz w:val="19"/>
        </w:rPr>
        <w:t>Enterprise Economics Agent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13  </w:t>
      </w:r>
      <w:r>
        <w:rPr>
          <w:b w:val="0"/>
          <w:i w:val="0"/>
          <w:color w:val="1F252B"/>
          <w:sz w:val="19"/>
        </w:rPr>
        <w:t>Portability Analysis Agent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14  </w:t>
      </w:r>
      <w:r>
        <w:rPr>
          <w:b w:val="0"/>
          <w:i w:val="0"/>
          <w:color w:val="1F252B"/>
          <w:sz w:val="19"/>
        </w:rPr>
        <w:t>Continuity Matching Agent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15  </w:t>
      </w:r>
      <w:r>
        <w:rPr>
          <w:b w:val="0"/>
          <w:i w:val="0"/>
          <w:color w:val="1F252B"/>
          <w:sz w:val="19"/>
        </w:rPr>
        <w:t>Placement, Finance and Governance Agents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16  </w:t>
      </w:r>
      <w:r>
        <w:rPr>
          <w:b w:val="0"/>
          <w:i w:val="0"/>
          <w:color w:val="1F252B"/>
          <w:sz w:val="19"/>
        </w:rPr>
        <w:t>Cross-agent workflows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17  </w:t>
      </w:r>
      <w:r>
        <w:rPr>
          <w:b w:val="0"/>
          <w:i w:val="0"/>
          <w:color w:val="1F252B"/>
          <w:sz w:val="19"/>
        </w:rPr>
        <w:t>Evaluation, monitoring and incident response</w:t>
      </w:r>
    </w:p>
    <w:p>
      <w:pPr>
        <w:spacing w:after="40"/>
      </w:pPr>
      <w:r>
        <w:rPr>
          <w:b/>
          <w:i w:val="0"/>
          <w:color w:val="2C5282"/>
          <w:sz w:val="19"/>
        </w:rPr>
        <w:t xml:space="preserve">18  </w:t>
      </w:r>
      <w:r>
        <w:rPr>
          <w:b w:val="0"/>
          <w:i w:val="0"/>
          <w:color w:val="1F252B"/>
          <w:sz w:val="19"/>
        </w:rPr>
        <w:t>Implementation roadmap and acceptance</w:t>
      </w:r>
    </w:p>
    <w:p>
      <w:r>
        <w:br w:type="page"/>
      </w:r>
    </w:p>
    <w:p>
      <w:pPr>
        <w:pStyle w:val="Heading1"/>
      </w:pPr>
      <w:r>
        <w:t>01  Executive Operating Decision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EAF0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8" w:color="12263F"/>
              <w:bottom w:val="single" w:sz="8" w:color="12263F"/>
              <w:left w:val="single" w:sz="8" w:color="12263F"/>
              <w:right w:val="single" w:sz="8" w:color="12263F"/>
            </w:tcBorders>
          </w:tcPr>
          <w:p>
            <w:r>
              <w:rPr>
                <w:b/>
                <w:i w:val="0"/>
                <w:color w:val="12263F"/>
                <w:sz w:val="20"/>
              </w:rPr>
              <w:t>Recommended operating model</w:t>
            </w:r>
          </w:p>
          <w:p>
            <w:r>
              <w:rPr>
                <w:b w:val="0"/>
                <w:i w:val="0"/>
                <w:color w:val="1F252B"/>
                <w:sz w:val="19"/>
              </w:rPr>
              <w:t>Build VYNE agents as permissioned copilots that prepare, extract, organize and recommend. Do not create autonomous agents that can expose an advisor identity, submit a lead, send deal requests, publish a placement, delete records or move money without explicit human approval.</w:t>
            </w:r>
          </w:p>
        </w:tc>
      </w:tr>
    </w:tbl>
    <w:p>
      <w:pPr>
        <w:spacing w:after="0"/>
      </w:pPr>
    </w:p>
    <w:p>
      <w:pPr>
        <w:pStyle w:val="BodyText"/>
      </w:pPr>
      <w:r>
        <w:t>The purpose of the agent system is to let one founder operate with the discipline of a larger organization. The purpose is not to imitate judgment, outsource accountability or create the appearance of a staff that does not exist.</w:t>
      </w:r>
    </w:p>
    <w:p>
      <w:pPr>
        <w:pStyle w:val="Heading2"/>
      </w:pPr>
      <w:r>
        <w:t>Expected benefit</w:t>
      </w:r>
    </w:p>
    <w:p>
      <w:pPr>
        <w:pStyle w:val="ListBullet"/>
      </w:pPr>
      <w:r>
        <w:t>Reduce administrative follow-up and incomplete CRM records.</w:t>
      </w:r>
    </w:p>
    <w:p>
      <w:pPr>
        <w:pStyle w:val="ListBullet"/>
      </w:pPr>
      <w:r>
        <w:t>Prepare higher-quality meetings and advisor communications.</w:t>
      </w:r>
    </w:p>
    <w:p>
      <w:pPr>
        <w:pStyle w:val="ListBullet"/>
      </w:pPr>
      <w:r>
        <w:t>Turn firm and proposal information into structured, source-dated intelligence.</w:t>
      </w:r>
    </w:p>
    <w:p>
      <w:pPr>
        <w:pStyle w:val="ListBullet"/>
      </w:pPr>
      <w:r>
        <w:t>Maintain a consistent content and newsletter operating rhythm.</w:t>
      </w:r>
    </w:p>
    <w:p>
      <w:pPr>
        <w:pStyle w:val="ListBullet"/>
      </w:pPr>
      <w:r>
        <w:t>Surface risks, deadlines and stalled cases each morning.</w:t>
      </w:r>
    </w:p>
    <w:p>
      <w:pPr>
        <w:pStyle w:val="ListBullet"/>
      </w:pPr>
      <w:r>
        <w:t>Delay hiring until real demand exceeds a governed automation system.</w:t>
      </w:r>
    </w:p>
    <w:p>
      <w:pPr>
        <w:pStyle w:val="Heading2"/>
      </w:pPr>
      <w:r>
        <w:t>Honest limitation</w:t>
      </w:r>
    </w:p>
    <w:p>
      <w:pPr>
        <w:pStyle w:val="BodyText"/>
      </w:pPr>
      <w:r>
        <w:t>Agents will not create trust by themselves. They can improve speed and consistency, but poor source data, weak advisor relationships, unclear firm agreements and limited distribution remain business constraints.</w:t>
      </w:r>
    </w:p>
    <w:p>
      <w:pPr>
        <w:pStyle w:val="Heading1"/>
      </w:pPr>
      <w:r>
        <w:t>02  Agent Principles and Governance</w:t>
      </w:r>
    </w:p>
    <w:p>
      <w:pPr>
        <w:pStyle w:val="ListBullet"/>
      </w:pPr>
      <w:r>
        <w:t>Human accountable owner for every agent and every external action.</w:t>
      </w:r>
    </w:p>
    <w:p>
      <w:pPr>
        <w:pStyle w:val="ListBullet"/>
      </w:pPr>
      <w:r>
        <w:t>Least privilege: agents read and write only the records needed for the approved task.</w:t>
      </w:r>
    </w:p>
    <w:p>
      <w:pPr>
        <w:pStyle w:val="ListBullet"/>
      </w:pPr>
      <w:r>
        <w:t>Source-grounded outputs: cite record IDs, documents, dates and confidence.</w:t>
      </w:r>
    </w:p>
    <w:p>
      <w:pPr>
        <w:pStyle w:val="ListBullet"/>
      </w:pPr>
      <w:r>
        <w:t>Draft by default: generated material is unapproved until a person accepts it.</w:t>
      </w:r>
    </w:p>
    <w:p>
      <w:pPr>
        <w:pStyle w:val="ListBullet"/>
      </w:pPr>
      <w:r>
        <w:t>No silent memory: material facts enter the CRM only through visible proposed updates.</w:t>
      </w:r>
    </w:p>
    <w:p>
      <w:pPr>
        <w:pStyle w:val="ListBullet"/>
      </w:pPr>
      <w:r>
        <w:t>Case isolation: one advisor case cannot leak into another output.</w:t>
      </w:r>
    </w:p>
    <w:p>
      <w:pPr>
        <w:pStyle w:val="ListBullet"/>
      </w:pPr>
      <w:r>
        <w:t>Data minimization: prompts exclude unnecessary names, CRDs and holdings.</w:t>
      </w:r>
    </w:p>
    <w:p>
      <w:pPr>
        <w:pStyle w:val="ListBullet"/>
      </w:pPr>
      <w:r>
        <w:t>Model portability: workflows do not depend on one LLM vendor where avoidable.</w:t>
      </w:r>
    </w:p>
    <w:p>
      <w:pPr>
        <w:pStyle w:val="ListBullet"/>
      </w:pPr>
      <w:r>
        <w:t>Auditability: log prompt template version, inputs, tools, model, output and approval.</w:t>
      </w:r>
    </w:p>
    <w:p>
      <w:pPr>
        <w:pStyle w:val="ListBullet"/>
      </w:pPr>
      <w:r>
        <w:t>Fail closed: if identity, permission or data classification is unclear, do not act.</w:t>
      </w:r>
    </w:p>
    <w:p>
      <w:pPr>
        <w:pStyle w:val="Heading2"/>
      </w:pPr>
      <w:r>
        <w:t>Risk framework</w:t>
      </w:r>
    </w:p>
    <w:p>
      <w:pPr>
        <w:pStyle w:val="BodyText"/>
      </w:pPr>
      <w:r>
        <w:t>Use NIST AI RMF concepts to govern, map, measure and manage the system. Use OWASP GenAI guidance to address prompt injection, sensitive-information disclosure, insecure tool use and excessive agency. These are operating references, not certification claims.</w:t>
      </w:r>
    </w:p>
    <w:p>
      <w:pPr>
        <w:pStyle w:val="Heading1"/>
      </w:pPr>
      <w:r>
        <w:t>03  Shared Architecture and Case Memory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i w:val="0"/>
                <w:color w:val="FFFFFF"/>
                <w:sz w:val="15"/>
              </w:rPr>
              <w:t>Component</w:t>
            </w:r>
          </w:p>
        </w:tc>
        <w:tc>
          <w:tcPr>
            <w:tcW w:type="dxa" w:w="7704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i w:val="0"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Agent orchestrator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Receives approved trigger, selects agent, enforces permissions and routes output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CRM source of truth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Advisor, case, opportunity, task and intelligence records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Document service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Secure retrieval of approved files with content scanning and access logging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Knowledge index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Searchable chunks with record-level permissions and source metadata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Tool gateway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Approved actions such as create draft task, not unrestricted database access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Approval queue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Human review for proposed CRM changes and all external actions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Evaluation store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Test cases, expected outputs, scores and incident records</w:t>
            </w:r>
          </w:p>
        </w:tc>
      </w:tr>
      <w:tr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Audit log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Agent, template version, model, inputs, sources, tool calls and final disposition</w:t>
            </w:r>
          </w:p>
        </w:tc>
      </w:tr>
    </w:tbl>
    <w:p>
      <w:pPr>
        <w:pStyle w:val="Heading2"/>
      </w:pPr>
      <w:r>
        <w:t>Memory rules</w:t>
      </w:r>
    </w:p>
    <w:p>
      <w:pPr>
        <w:pStyle w:val="ListBullet"/>
      </w:pPr>
      <w:r>
        <w:t>The CRM remains the source of truth; chat history is not the permanent case record.</w:t>
      </w:r>
    </w:p>
    <w:p>
      <w:pPr>
        <w:pStyle w:val="ListBullet"/>
      </w:pPr>
      <w:r>
        <w:t>Agents retrieve only authorized case data using scoped IDs.</w:t>
      </w:r>
    </w:p>
    <w:p>
      <w:pPr>
        <w:pStyle w:val="ListBullet"/>
      </w:pPr>
      <w:r>
        <w:t>Firm-wide intelligence and case-specific confidential representations are stored separately.</w:t>
      </w:r>
    </w:p>
    <w:p>
      <w:pPr>
        <w:pStyle w:val="ListBullet"/>
      </w:pPr>
      <w:r>
        <w:t>Approved summaries may be written back; raw model reasoning is not required as a record.</w:t>
      </w:r>
    </w:p>
    <w:p>
      <w:pPr>
        <w:pStyle w:val="ListBullet"/>
      </w:pPr>
      <w:r>
        <w:t>Sensitive prompt and output retention follows the underlying case retention policy.</w:t>
      </w:r>
    </w:p>
    <w:p>
      <w:pPr>
        <w:pStyle w:val="Heading1"/>
      </w:pPr>
      <w:r>
        <w:t>04  Human Approval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016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i w:val="0"/>
                <w:color w:val="FFFFFF"/>
                <w:sz w:val="14"/>
              </w:rPr>
              <w:t>Action</w:t>
            </w:r>
          </w:p>
        </w:tc>
        <w:tc>
          <w:tcPr>
            <w:tcW w:type="dxa" w:w="208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i w:val="0"/>
                <w:color w:val="FFFFFF"/>
                <w:sz w:val="14"/>
              </w:rPr>
              <w:t>Agent may prepare</w:t>
            </w:r>
          </w:p>
        </w:tc>
        <w:tc>
          <w:tcPr>
            <w:tcW w:type="dxa" w:w="324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i w:val="0"/>
                <w:color w:val="FFFFFF"/>
                <w:sz w:val="14"/>
              </w:rPr>
              <w:t>Human approval required</w:t>
            </w:r>
          </w:p>
        </w:tc>
        <w:tc>
          <w:tcPr>
            <w:tcW w:type="dxa" w:w="259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i w:val="0"/>
                <w:color w:val="FFFFFF"/>
                <w:sz w:val="14"/>
              </w:rPr>
              <w:t>Agent prohibited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Internal morning brief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Yes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Review optional before personal use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Send externally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Create/update task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Propose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Yes for material deadline changes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Close case autonomously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Advisor follow-up email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Draft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Yes before send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Send sensitive message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Firm submission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Prepare packet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Advisor authorization plus VYNE approval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Reveal identity or submit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Proposal review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Extract and model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Human validates terms and conclusions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Negotiate or accept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Article / LinkedIn post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Draft and source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Editorial/compliance approval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Auto-publish regulated claim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Placement announcement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Draft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Advisor and firm approval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Publish before effective join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Portability analysis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Classify and aggregate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Analyst reviews unknowns and assumptions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Guarantee transfer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Fee tracking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Calculate expected amount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Finance confirms invoice/payment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Send invoice or transfer funds without approval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Record deletion</w:t>
            </w:r>
          </w:p>
        </w:tc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Identify eligible records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Authorized privacy/admin approval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4"/>
              </w:rPr>
              <w:t>Delete autonomously</w:t>
            </w:r>
          </w:p>
        </w:tc>
      </w:tr>
    </w:tbl>
    <w:p>
      <w:pPr>
        <w:pStyle w:val="Heading1"/>
      </w:pPr>
      <w:r>
        <w:t>05  Agent Registry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i w:val="0"/>
                <w:color w:val="FFFFFF"/>
                <w:sz w:val="15"/>
              </w:rPr>
              <w:t>Agent</w:t>
            </w:r>
          </w:p>
        </w:tc>
        <w:tc>
          <w:tcPr>
            <w:tcW w:type="dxa" w:w="5976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i w:val="0"/>
                <w:color w:val="FFFFFF"/>
                <w:sz w:val="15"/>
              </w:rPr>
              <w:t>Primary job</w:t>
            </w:r>
          </w:p>
        </w:tc>
        <w:tc>
          <w:tcPr>
            <w:tcW w:type="dxa" w:w="1512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i w:val="0"/>
                <w:color w:val="FFFFFF"/>
                <w:sz w:val="15"/>
              </w:rPr>
              <w:t>Launch phase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Chief of Staff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Daily priorities, risks and cross-workflow orchestration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1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Pipeline and CRM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Data quality, stage aging, next actions and workflow hygiene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1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Meeting Intelligence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Preparation, transcript/note summary and follow-up drafts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1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Firm Intelligence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Source-dated firm profiles and conflict/staleness alerts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1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Content and AEO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Editorial planning, research briefs, drafts and performance learning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1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Newsletter and Nurture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Monthly report assembly and permissioned segmentation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2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Enterprise Economics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Proposal extraction, scenario models and advisor question briefs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2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Portability Analysis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De-identified classification and firm compatibility analysis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3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Continuity Matching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Private buyer/seller/successor/talent match recommendations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4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Placement and Press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Approval-controlled announcements and placement page updates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2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Finance and Fee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Agreement-based fee forecasts, invoices, payments and clawbacks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2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Data Governance</w:t>
            </w:r>
          </w:p>
        </w:tc>
        <w:tc>
          <w:tcPr>
            <w:tcW w:type="dxa" w:w="597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Consent, access, retention and sensitive-output monitoring</w:t>
            </w:r>
          </w:p>
        </w:tc>
        <w:tc>
          <w:tcPr>
            <w:tcW w:type="dxa" w:w="1512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1</w:t>
            </w:r>
          </w:p>
        </w:tc>
      </w:tr>
    </w:tbl>
    <w:p>
      <w:pPr>
        <w:pStyle w:val="Heading1"/>
      </w:pPr>
      <w:r>
        <w:t>06  Chief of Staff Agent</w:t>
      </w:r>
    </w:p>
    <w:p>
      <w:pPr>
        <w:pStyle w:val="Heading2"/>
      </w:pPr>
      <w:r>
        <w:t>Mission</w:t>
      </w:r>
    </w:p>
    <w:p>
      <w:pPr>
        <w:pStyle w:val="BodyText"/>
      </w:pPr>
      <w:r>
        <w:t>Produce a concise daily operating brief and coordinate suggested work across agents without taking external action.</w:t>
      </w:r>
    </w:p>
    <w:p>
      <w:pPr>
        <w:pStyle w:val="Heading2"/>
      </w:pPr>
      <w:r>
        <w:t>Inputs</w:t>
      </w:r>
    </w:p>
    <w:p>
      <w:pPr>
        <w:pStyle w:val="ListBullet"/>
      </w:pPr>
      <w:r>
        <w:t>Today and next-seven-day meetings.</w:t>
      </w:r>
    </w:p>
    <w:p>
      <w:pPr>
        <w:pStyle w:val="ListBullet"/>
      </w:pPr>
      <w:r>
        <w:t>Overdue and high-priority tasks.</w:t>
      </w:r>
    </w:p>
    <w:p>
      <w:pPr>
        <w:pStyle w:val="ListBullet"/>
      </w:pPr>
      <w:r>
        <w:t>Active cases with missing next actions or stage aging.</w:t>
      </w:r>
    </w:p>
    <w:p>
      <w:pPr>
        <w:pStyle w:val="ListBullet"/>
      </w:pPr>
      <w:r>
        <w:t>Firm responses and proposal deadlines.</w:t>
      </w:r>
    </w:p>
    <w:p>
      <w:pPr>
        <w:pStyle w:val="ListBullet"/>
      </w:pPr>
      <w:r>
        <w:t>Expected fee events and approval queues.</w:t>
      </w:r>
    </w:p>
    <w:p>
      <w:pPr>
        <w:pStyle w:val="ListBullet"/>
      </w:pPr>
      <w:r>
        <w:t>Content deadlines and website alerts.</w:t>
      </w:r>
    </w:p>
    <w:p>
      <w:pPr>
        <w:pStyle w:val="Heading2"/>
      </w:pPr>
      <w:r>
        <w:t>Output sections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i w:val="0"/>
                <w:color w:val="FFFFFF"/>
                <w:sz w:val="15"/>
              </w:rPr>
              <w:t>Section</w:t>
            </w:r>
          </w:p>
        </w:tc>
        <w:tc>
          <w:tcPr>
            <w:tcW w:type="dxa" w:w="784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i w:val="0"/>
                <w:color w:val="FFFFFF"/>
                <w:sz w:val="15"/>
              </w:rPr>
              <w:t>Example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Decisions needed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Approve Firm B submission packet; choose whether to travel for finalist meeting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Advisor priorities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UBS case proposal review; nurture call tied to deferred-comp vesting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Firm follow-up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Two submissions unacknowledged beyond service target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Revenue and risk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Step-up verification due; one clawback window remains open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Authority engine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Newsletter draft due; article has outdated source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Suggested time blocks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90 minutes economics review; 45 minutes advisor follow-up</w:t>
            </w:r>
          </w:p>
        </w:tc>
      </w:tr>
    </w:tbl>
    <w:p>
      <w:pPr>
        <w:pStyle w:val="Heading2"/>
      </w:pPr>
      <w:r>
        <w:t>Controls</w:t>
      </w:r>
    </w:p>
    <w:p>
      <w:pPr>
        <w:pStyle w:val="ListBullet"/>
      </w:pPr>
      <w:r>
        <w:t>Never expose confidential advisor details in notifications outside the approved channel.</w:t>
      </w:r>
    </w:p>
    <w:p>
      <w:pPr>
        <w:pStyle w:val="ListBullet"/>
      </w:pPr>
      <w:r>
        <w:t>Distinguish facts, agent suggestions and items awaiting verification.</w:t>
      </w:r>
    </w:p>
    <w:p>
      <w:pPr>
        <w:pStyle w:val="ListBullet"/>
      </w:pPr>
      <w:r>
        <w:t>Link every brief item to the CRM task or record.</w:t>
      </w:r>
    </w:p>
    <w:p>
      <w:pPr>
        <w:pStyle w:val="Heading1"/>
      </w:pPr>
      <w:r>
        <w:t>07  Pipeline and CRM Agent</w:t>
      </w:r>
    </w:p>
    <w:p>
      <w:pPr>
        <w:pStyle w:val="Heading2"/>
      </w:pPr>
      <w:r>
        <w:t>Core workflows</w:t>
      </w:r>
    </w:p>
    <w:p>
      <w:pPr>
        <w:pStyle w:val="ListBullet"/>
      </w:pPr>
      <w:r>
        <w:t>Identify active records without a next action, owner or due date.</w:t>
      </w:r>
    </w:p>
    <w:p>
      <w:pPr>
        <w:pStyle w:val="ListBullet"/>
      </w:pPr>
      <w:r>
        <w:t>Propose stage updates based on completed evidence but never advance automatically when authorization is involved.</w:t>
      </w:r>
    </w:p>
    <w:p>
      <w:pPr>
        <w:pStyle w:val="ListBullet"/>
      </w:pPr>
      <w:r>
        <w:t>Detect duplicate people and organizations for human merge review.</w:t>
      </w:r>
    </w:p>
    <w:p>
      <w:pPr>
        <w:pStyle w:val="ListBullet"/>
      </w:pPr>
      <w:r>
        <w:t>Generate weekly pipeline aging, source and conversion summaries.</w:t>
      </w:r>
    </w:p>
    <w:p>
      <w:pPr>
        <w:pStyle w:val="ListBullet"/>
      </w:pPr>
      <w:r>
        <w:t>Create nurture-task suggestions based on milestones and interests.</w:t>
      </w:r>
    </w:p>
    <w:p>
      <w:pPr>
        <w:pStyle w:val="ListBullet"/>
      </w:pPr>
      <w:r>
        <w:t>Flag missing submission consent, stale advisor figures and unresolved firm responses.</w:t>
      </w:r>
    </w:p>
    <w:p>
      <w:pPr>
        <w:pStyle w:val="Heading2"/>
      </w:pPr>
      <w:r>
        <w:t>Output quality rules</w:t>
      </w:r>
    </w:p>
    <w:p>
      <w:pPr>
        <w:pStyle w:val="ListBullet"/>
      </w:pPr>
      <w:r>
        <w:t>Use case-specific stage definitions from the status configuration.</w:t>
      </w:r>
    </w:p>
    <w:p>
      <w:pPr>
        <w:pStyle w:val="ListBullet"/>
      </w:pPr>
      <w:r>
        <w:t>Do not infer T12, AUM or timing from unrelated records.</w:t>
      </w:r>
    </w:p>
    <w:p>
      <w:pPr>
        <w:pStyle w:val="ListBullet"/>
      </w:pPr>
      <w:r>
        <w:t>Explain the evidence supporting any proposed stage change.</w:t>
      </w:r>
    </w:p>
    <w:p>
      <w:pPr>
        <w:pStyle w:val="ListBullet"/>
      </w:pPr>
      <w:r>
        <w:t>Never convert a marketing subscriber into a prospect solely from page views.</w:t>
      </w:r>
    </w:p>
    <w:p>
      <w:pPr>
        <w:pStyle w:val="Heading1"/>
      </w:pPr>
      <w:r>
        <w:t>08  Meeting Intelligence Agent</w:t>
      </w:r>
    </w:p>
    <w:p>
      <w:pPr>
        <w:pStyle w:val="Heading2"/>
      </w:pPr>
      <w:r>
        <w:t>Pre-meeting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i w:val="0"/>
                <w:color w:val="FFFFFF"/>
                <w:sz w:val="15"/>
              </w:rPr>
              <w:t>Block</w:t>
            </w:r>
          </w:p>
        </w:tc>
        <w:tc>
          <w:tcPr>
            <w:tcW w:type="dxa" w:w="7776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i w:val="0"/>
                <w:color w:val="FFFFFF"/>
                <w:sz w:val="15"/>
              </w:rPr>
              <w:t>Required content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Purpose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The decision or information the meeting must advance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Advisor context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Vision, objectives, current stage and latest changes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Open questions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Missing facts and unresolved representations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Suggested questions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Prioritized, concise and tied to framework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Do not overcover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Items that belong in later meetings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Next-step target</w:t>
            </w:r>
          </w:p>
        </w:tc>
        <w:tc>
          <w:tcPr>
            <w:tcW w:type="dxa" w:w="777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Expected decision, data request or meeting</w:t>
            </w:r>
          </w:p>
        </w:tc>
      </w:tr>
    </w:tbl>
    <w:p>
      <w:pPr>
        <w:pStyle w:val="Heading2"/>
      </w:pPr>
      <w:r>
        <w:t>Post-meeting workflow</w:t>
      </w:r>
    </w:p>
    <w:p>
      <w:pPr>
        <w:pStyle w:val="ListNumber"/>
      </w:pPr>
      <w:r>
        <w:t>Ingest approved notes or transcript.</w:t>
      </w:r>
    </w:p>
    <w:p>
      <w:pPr>
        <w:pStyle w:val="ListNumber"/>
      </w:pPr>
      <w:r>
        <w:t>Separate advisor statements, firm representations, decisions and VYNE analysis.</w:t>
      </w:r>
    </w:p>
    <w:p>
      <w:pPr>
        <w:pStyle w:val="ListNumber"/>
      </w:pPr>
      <w:r>
        <w:t>Draft a summary and proposed CRM updates.</w:t>
      </w:r>
    </w:p>
    <w:p>
      <w:pPr>
        <w:pStyle w:val="ListNumber"/>
      </w:pPr>
      <w:r>
        <w:t>Extract commitments, owners and due dates.</w:t>
      </w:r>
    </w:p>
    <w:p>
      <w:pPr>
        <w:pStyle w:val="ListNumber"/>
      </w:pPr>
      <w:r>
        <w:t>Identify conflicts with prior intelligence.</w:t>
      </w:r>
    </w:p>
    <w:p>
      <w:pPr>
        <w:pStyle w:val="ListNumber"/>
      </w:pPr>
      <w:r>
        <w:t>Draft the advisor follow-up for human approval.</w:t>
      </w:r>
    </w:p>
    <w:p>
      <w:pPr>
        <w:pStyle w:val="Heading2"/>
      </w:pPr>
      <w:r>
        <w:t>Failure controls</w:t>
      </w:r>
    </w:p>
    <w:p>
      <w:pPr>
        <w:pStyle w:val="ListBullet"/>
      </w:pPr>
      <w:r>
        <w:t>Never treat a transcript transcription error as fact.</w:t>
      </w:r>
    </w:p>
    <w:p>
      <w:pPr>
        <w:pStyle w:val="ListBullet"/>
      </w:pPr>
      <w:r>
        <w:t>Do not create legal, tax or contractual conclusions.</w:t>
      </w:r>
    </w:p>
    <w:p>
      <w:pPr>
        <w:pStyle w:val="ListBullet"/>
      </w:pPr>
      <w:r>
        <w:t>Mark uncertainty when participants or speakers cannot be resolved.</w:t>
      </w:r>
    </w:p>
    <w:p>
      <w:pPr>
        <w:pStyle w:val="Heading1"/>
      </w:pPr>
      <w:r>
        <w:t>09  Firm Intelligence Agent</w:t>
      </w:r>
    </w:p>
    <w:p>
      <w:pPr>
        <w:pStyle w:val="Heading2"/>
      </w:pPr>
      <w:r>
        <w:t>Mission</w:t>
      </w:r>
    </w:p>
    <w:p>
      <w:pPr>
        <w:pStyle w:val="BodyText"/>
      </w:pPr>
      <w:r>
        <w:t>Convert approved public sources, firm materials, advisor experience and VYNE meetings into atomic intelligence items with source, scope, date and confidence.</w:t>
      </w:r>
    </w:p>
    <w:p>
      <w:pPr>
        <w:pStyle w:val="Heading2"/>
      </w:pPr>
      <w:r>
        <w:t>Workflows</w:t>
      </w:r>
    </w:p>
    <w:p>
      <w:pPr>
        <w:pStyle w:val="ListBullet"/>
      </w:pPr>
      <w:r>
        <w:t>Monitor firm public pages, filings and approved industry sources for changes.</w:t>
      </w:r>
    </w:p>
    <w:p>
      <w:pPr>
        <w:pStyle w:val="ListBullet"/>
      </w:pPr>
      <w:r>
        <w:t>Extract potential updates and compare them to current firm records.</w:t>
      </w:r>
    </w:p>
    <w:p>
      <w:pPr>
        <w:pStyle w:val="ListBullet"/>
      </w:pPr>
      <w:r>
        <w:t>Flag stale economics, leadership and platform information.</w:t>
      </w:r>
    </w:p>
    <w:p>
      <w:pPr>
        <w:pStyle w:val="ListBullet"/>
      </w:pPr>
      <w:r>
        <w:t>Identify conflicting statements rather than selecting the most attractive one.</w:t>
      </w:r>
    </w:p>
    <w:p>
      <w:pPr>
        <w:pStyle w:val="ListBullet"/>
      </w:pPr>
      <w:r>
        <w:t>Prepare firm briefing books for active advisors using only authorized data.</w:t>
      </w:r>
    </w:p>
    <w:p>
      <w:pPr>
        <w:pStyle w:val="ListBullet"/>
      </w:pPr>
      <w:r>
        <w:t>Suggest questions that test uncertain or case-specific claims.</w:t>
      </w:r>
    </w:p>
    <w:p>
      <w:pPr>
        <w:pStyle w:val="Heading2"/>
      </w:pPr>
      <w:r>
        <w:t>Prohibited behavior</w:t>
      </w:r>
    </w:p>
    <w:p>
      <w:pPr>
        <w:pStyle w:val="ListBullet"/>
      </w:pPr>
      <w:r>
        <w:t>Publishing unverified deal terms.</w:t>
      </w:r>
    </w:p>
    <w:p>
      <w:pPr>
        <w:pStyle w:val="ListBullet"/>
      </w:pPr>
      <w:r>
        <w:t>Generalizing one advisor exception into a firm standard.</w:t>
      </w:r>
    </w:p>
    <w:p>
      <w:pPr>
        <w:pStyle w:val="ListBullet"/>
      </w:pPr>
      <w:r>
        <w:t>Combining confidential advisor identities into public research.</w:t>
      </w:r>
    </w:p>
    <w:p>
      <w:pPr>
        <w:pStyle w:val="ListBullet"/>
      </w:pPr>
      <w:r>
        <w:t>Scraping or using sources in violation of access terms.</w:t>
      </w:r>
    </w:p>
    <w:p>
      <w:pPr>
        <w:pStyle w:val="Heading1"/>
      </w:pPr>
      <w:r>
        <w:t>10  Content and AEO Agent</w:t>
      </w:r>
    </w:p>
    <w:p>
      <w:pPr>
        <w:pStyle w:val="Heading2"/>
      </w:pPr>
      <w:r>
        <w:t>Mission</w:t>
      </w:r>
    </w:p>
    <w:p>
      <w:pPr>
        <w:pStyle w:val="BodyText"/>
      </w:pPr>
      <w:r>
        <w:t>Create research briefs and human-reviewable drafts that answer real advisor questions and strengthen VYNE authority. It is not a bulk content generator.</w:t>
      </w:r>
    </w:p>
    <w:p>
      <w:pPr>
        <w:pStyle w:val="Heading2"/>
      </w:pPr>
      <w:r>
        <w:t>Monthly operating loop</w:t>
      </w:r>
    </w:p>
    <w:p>
      <w:pPr>
        <w:pStyle w:val="ListNumber"/>
      </w:pPr>
      <w:r>
        <w:t>Analyze advisor questions, search/AI citation reports, newsletter engagement and pipeline themes.</w:t>
      </w:r>
    </w:p>
    <w:p>
      <w:pPr>
        <w:pStyle w:val="ListNumber"/>
      </w:pPr>
      <w:r>
        <w:t>Propose a small editorial plan tied to VYNE pillars and commercial intent.</w:t>
      </w:r>
    </w:p>
    <w:p>
      <w:pPr>
        <w:pStyle w:val="ListNumber"/>
      </w:pPr>
      <w:r>
        <w:t>Create a research brief using current authoritative and primary sources where possible.</w:t>
      </w:r>
    </w:p>
    <w:p>
      <w:pPr>
        <w:pStyle w:val="ListNumber"/>
      </w:pPr>
      <w:r>
        <w:t>Draft article, direct-answer summary, tables, FAQs and LinkedIn adaptations.</w:t>
      </w:r>
    </w:p>
    <w:p>
      <w:pPr>
        <w:pStyle w:val="ListNumber"/>
      </w:pPr>
      <w:r>
        <w:t>Run source and claim checks; flag unsupported or time-sensitive language.</w:t>
      </w:r>
    </w:p>
    <w:p>
      <w:pPr>
        <w:pStyle w:val="ListNumber"/>
      </w:pPr>
      <w:r>
        <w:t>Submit for founder/editorial approval and schedule a review date.</w:t>
      </w:r>
    </w:p>
    <w:p>
      <w:pPr>
        <w:pStyle w:val="ListNumber"/>
      </w:pPr>
      <w:r>
        <w:t>Measure citations, qualified visits and relationship outcomes - not volume alone.</w:t>
      </w:r>
    </w:p>
    <w:p>
      <w:pPr>
        <w:pStyle w:val="Heading2"/>
      </w:pPr>
      <w:r>
        <w:t>Content controls</w:t>
      </w:r>
    </w:p>
    <w:p>
      <w:pPr>
        <w:pStyle w:val="ListBullet"/>
      </w:pPr>
      <w:r>
        <w:t>No fabricated advisor examples presented as real.</w:t>
      </w:r>
    </w:p>
    <w:p>
      <w:pPr>
        <w:pStyle w:val="ListBullet"/>
      </w:pPr>
      <w:r>
        <w:t>No claim that VYNE is leading, unbiased or trusted without support and appropriate disclosure.</w:t>
      </w:r>
    </w:p>
    <w:p>
      <w:pPr>
        <w:pStyle w:val="ListBullet"/>
      </w:pPr>
      <w:r>
        <w:t>No mass production of near-duplicate pages.</w:t>
      </w:r>
    </w:p>
    <w:p>
      <w:pPr>
        <w:pStyle w:val="ListBullet"/>
      </w:pPr>
      <w:r>
        <w:t>Public firm content differentiates sourced facts from VYNE analysis.</w:t>
      </w:r>
    </w:p>
    <w:p>
      <w:pPr>
        <w:pStyle w:val="Heading1"/>
      </w:pPr>
      <w:r>
        <w:t>11  Newsletter and Nurture Agent</w:t>
      </w:r>
    </w:p>
    <w:p>
      <w:pPr>
        <w:pStyle w:val="Heading2"/>
      </w:pPr>
      <w:r>
        <w:t>Mission</w:t>
      </w:r>
    </w:p>
    <w:p>
      <w:pPr>
        <w:pStyle w:val="BodyText"/>
      </w:pPr>
      <w:r>
        <w:t>Assemble the monthly VYNE Advisor Intelligence Report and suggest relationship-specific follow-up based on permissioned interests and milestones.</w:t>
      </w:r>
    </w:p>
    <w:p>
      <w:pPr>
        <w:pStyle w:val="Heading2"/>
      </w:pPr>
      <w:r>
        <w:t>Functions</w:t>
      </w:r>
    </w:p>
    <w:p>
      <w:pPr>
        <w:pStyle w:val="ListBullet"/>
      </w:pPr>
      <w:r>
        <w:t>Compile approved Vision, Objectives, Navigate, Enterprise Economics and Continuity sections.</w:t>
      </w:r>
    </w:p>
    <w:p>
      <w:pPr>
        <w:pStyle w:val="ListBullet"/>
      </w:pPr>
      <w:r>
        <w:t>Segment subscribers by declared interest rather than inferred sensitive attributes.</w:t>
      </w:r>
    </w:p>
    <w:p>
      <w:pPr>
        <w:pStyle w:val="ListBullet"/>
      </w:pPr>
      <w:r>
        <w:t>Identify high-intent interactions for human review.</w:t>
      </w:r>
    </w:p>
    <w:p>
      <w:pPr>
        <w:pStyle w:val="ListBullet"/>
      </w:pPr>
      <w:r>
        <w:t>Draft milestone-based check-ins for deferred compensation, succession timing or prior “prepare” cases.</w:t>
      </w:r>
    </w:p>
    <w:p>
      <w:pPr>
        <w:pStyle w:val="ListBullet"/>
      </w:pPr>
      <w:r>
        <w:t>Suppress unsubscribed contacts and respect channel preferences.</w:t>
      </w:r>
    </w:p>
    <w:p>
      <w:pPr>
        <w:pStyle w:val="ListBullet"/>
      </w:pPr>
      <w:r>
        <w:t>Report which content produces qualified conversations, not merely opens.</w:t>
      </w:r>
    </w:p>
    <w:p>
      <w:pPr>
        <w:pStyle w:val="Heading1"/>
      </w:pPr>
      <w:r>
        <w:t>12  Enterprise Economics Agent</w:t>
      </w:r>
    </w:p>
    <w:p>
      <w:pPr>
        <w:pStyle w:val="Heading2"/>
      </w:pPr>
      <w:r>
        <w:t>Inputs</w:t>
      </w:r>
    </w:p>
    <w:p>
      <w:pPr>
        <w:pStyle w:val="ListBullet"/>
      </w:pPr>
      <w:r>
        <w:t>Current compensation baseline and as-of dates.</w:t>
      </w:r>
    </w:p>
    <w:p>
      <w:pPr>
        <w:pStyle w:val="ListBullet"/>
      </w:pPr>
      <w:r>
        <w:t>Written proposal and supporting schedules.</w:t>
      </w:r>
    </w:p>
    <w:p>
      <w:pPr>
        <w:pStyle w:val="ListBullet"/>
      </w:pPr>
      <w:r>
        <w:t>VYNE firm agreement excluded from advisor model unless directly relevant to disclosure.</w:t>
      </w:r>
    </w:p>
    <w:p>
      <w:pPr>
        <w:pStyle w:val="ListBullet"/>
      </w:pPr>
      <w:r>
        <w:t>Advisor-selected assumptions for portability, growth, expenses and timing.</w:t>
      </w:r>
    </w:p>
    <w:p>
      <w:pPr>
        <w:pStyle w:val="Heading2"/>
      </w:pPr>
      <w:r>
        <w:t>Outputs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i w:val="0"/>
                <w:color w:val="FFFFFF"/>
                <w:sz w:val="15"/>
              </w:rPr>
              <w:t>Output</w:t>
            </w:r>
          </w:p>
        </w:tc>
        <w:tc>
          <w:tcPr>
            <w:tcW w:type="dxa" w:w="676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i w:val="0"/>
                <w:color w:val="FFFFFF"/>
                <w:sz w:val="15"/>
              </w:rPr>
              <w:t>Human validation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Term extraction table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Confirm every material value against page/section source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Guaranteed versus contingent map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Validate definitions and all-or-nothing hurdles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Five/ten/fifteen-year scenarios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Review formulas, taxes excluded or professional assumptions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Sensitivity analysis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Advisor accepts downside/base/upside assumptions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Questions for firm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Advisor chooses what to ask and communicates directly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Equity/ownership summary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Counsel reviews binding rights and restrictions</w:t>
            </w:r>
          </w:p>
        </w:tc>
      </w:tr>
    </w:tbl>
    <w:p>
      <w:pPr>
        <w:pStyle w:val="Heading2"/>
      </w:pPr>
      <w:r>
        <w:t>Hard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F7EDEE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8" w:color="8A3E3E"/>
              <w:bottom w:val="single" w:sz="8" w:color="8A3E3E"/>
              <w:left w:val="single" w:sz="8" w:color="8A3E3E"/>
              <w:right w:val="single" w:sz="8" w:color="8A3E3E"/>
            </w:tcBorders>
          </w:tcPr>
          <w:p>
            <w:r>
              <w:rPr>
                <w:b/>
                <w:i w:val="0"/>
                <w:color w:val="8A3E3E"/>
                <w:sz w:val="20"/>
              </w:rPr>
              <w:t>VYNE support boundary</w:t>
            </w:r>
          </w:p>
          <w:p>
            <w:r>
              <w:rPr>
                <w:b w:val="0"/>
                <w:i w:val="0"/>
                <w:color w:val="1F252B"/>
                <w:sz w:val="19"/>
              </w:rPr>
              <w:t>The agent may prepare a negotiation brief. It may not contact the firm, counter, accept, reject or characterize legal meaning as settled.</w:t>
            </w:r>
          </w:p>
        </w:tc>
      </w:tr>
    </w:tbl>
    <w:p>
      <w:pPr>
        <w:spacing w:after="0"/>
      </w:pPr>
    </w:p>
    <w:p>
      <w:pPr>
        <w:pStyle w:val="Heading1"/>
      </w:pPr>
      <w:r>
        <w:t>13  Portability Analysis Agent</w:t>
      </w:r>
    </w:p>
    <w:p>
      <w:pPr>
        <w:pStyle w:val="Heading2"/>
      </w:pPr>
      <w:r>
        <w:t>Mission</w:t>
      </w:r>
    </w:p>
    <w:p>
      <w:pPr>
        <w:pStyle w:val="BodyText"/>
      </w:pPr>
      <w:r>
        <w:t>Classify approved de-identified positions and compare them with source-dated firm compatibility rules, while making uncertainty explicit.</w:t>
      </w:r>
    </w:p>
    <w:p>
      <w:pPr>
        <w:pStyle w:val="Heading2"/>
      </w:pPr>
      <w:r>
        <w:t>Workflow</w:t>
      </w:r>
    </w:p>
    <w:p>
      <w:pPr>
        <w:pStyle w:val="ListNumber"/>
      </w:pPr>
      <w:r>
        <w:t>Validate file schema and reject prohibited client identifiers.</w:t>
      </w:r>
    </w:p>
    <w:p>
      <w:pPr>
        <w:pStyle w:val="ListNumber"/>
      </w:pPr>
      <w:r>
        <w:t>Classify account and product types with confidence scores.</w:t>
      </w:r>
    </w:p>
    <w:p>
      <w:pPr>
        <w:pStyle w:val="ListNumber"/>
      </w:pPr>
      <w:r>
        <w:t>Match positions to compatibility rules for each approved destination.</w:t>
      </w:r>
    </w:p>
    <w:p>
      <w:pPr>
        <w:pStyle w:val="ListNumber"/>
      </w:pPr>
      <w:r>
        <w:t>Identify unknowns, lending dependencies, alternatives, restrictions and likely conversion needs.</w:t>
      </w:r>
    </w:p>
    <w:p>
      <w:pPr>
        <w:pStyle w:val="ListNumber"/>
      </w:pPr>
      <w:r>
        <w:t>Calculate aggregate asset and revenue ranges under advisor-selected assumptions.</w:t>
      </w:r>
    </w:p>
    <w:p>
      <w:pPr>
        <w:pStyle w:val="ListNumber"/>
      </w:pPr>
      <w:r>
        <w:t>Generate a review queue for every material unknown or low-confidence classification.</w:t>
      </w:r>
    </w:p>
    <w:p>
      <w:pPr>
        <w:pStyle w:val="ListNumber"/>
      </w:pPr>
      <w:r>
        <w:t>Produce an analyst-approved report with disclaimers and source dates.</w:t>
      </w:r>
    </w:p>
    <w:p>
      <w:pPr>
        <w:pStyle w:val="Heading2"/>
      </w:pPr>
      <w:r>
        <w:t>Never claim</w:t>
      </w:r>
    </w:p>
    <w:p>
      <w:pPr>
        <w:pStyle w:val="ListBullet"/>
      </w:pPr>
      <w:r>
        <w:t>That a book will transfer.</w:t>
      </w:r>
    </w:p>
    <w:p>
      <w:pPr>
        <w:pStyle w:val="ListBullet"/>
      </w:pPr>
      <w:r>
        <w:t>That a client will follow.</w:t>
      </w:r>
    </w:p>
    <w:p>
      <w:pPr>
        <w:pStyle w:val="ListBullet"/>
      </w:pPr>
      <w:r>
        <w:t>That a firm will accept a product without current confirmation.</w:t>
      </w:r>
    </w:p>
    <w:p>
      <w:pPr>
        <w:pStyle w:val="ListBullet"/>
      </w:pPr>
      <w:r>
        <w:t>That de-identified analysis replaces legal, operational or client-specific diligence.</w:t>
      </w:r>
    </w:p>
    <w:p>
      <w:pPr>
        <w:pStyle w:val="Heading1"/>
      </w:pPr>
      <w:r>
        <w:t>14  Continuity Matching Agent</w:t>
      </w:r>
    </w:p>
    <w:p>
      <w:pPr>
        <w:pStyle w:val="Heading2"/>
      </w:pPr>
      <w:r>
        <w:t>Mission</w:t>
      </w:r>
    </w:p>
    <w:p>
      <w:pPr>
        <w:pStyle w:val="BodyText"/>
      </w:pPr>
      <w:r>
        <w:t>Recommend possible buyer, seller, successor, junior-advisor and team matches from verified private profiles. It does not automatically reveal identities or create introductions.</w:t>
      </w:r>
    </w:p>
    <w:p>
      <w:pPr>
        <w:pStyle w:val="Heading2"/>
      </w:pPr>
      <w:r>
        <w:t>Match dimensions</w:t>
      </w:r>
    </w:p>
    <w:p>
      <w:pPr>
        <w:pStyle w:val="ListBullet"/>
      </w:pPr>
      <w:r>
        <w:t>Geography and client market.</w:t>
      </w:r>
    </w:p>
    <w:p>
      <w:pPr>
        <w:pStyle w:val="ListBullet"/>
      </w:pPr>
      <w:r>
        <w:t>Business model and firm compatibility.</w:t>
      </w:r>
    </w:p>
    <w:p>
      <w:pPr>
        <w:pStyle w:val="ListBullet"/>
      </w:pPr>
      <w:r>
        <w:t>Practice size, revenue mix and service capacity.</w:t>
      </w:r>
    </w:p>
    <w:p>
      <w:pPr>
        <w:pStyle w:val="ListBullet"/>
      </w:pPr>
      <w:r>
        <w:t>Investment and planning philosophy.</w:t>
      </w:r>
    </w:p>
    <w:p>
      <w:pPr>
        <w:pStyle w:val="ListBullet"/>
      </w:pPr>
      <w:r>
        <w:t>Succession timing and ownership expectations.</w:t>
      </w:r>
    </w:p>
    <w:p>
      <w:pPr>
        <w:pStyle w:val="ListBullet"/>
      </w:pPr>
      <w:r>
        <w:t>Culture, role, economics and development expectations.</w:t>
      </w:r>
    </w:p>
    <w:p>
      <w:pPr>
        <w:pStyle w:val="ListBullet"/>
      </w:pPr>
      <w:r>
        <w:t>Known conflicts, restrictions and confidentiality constraints.</w:t>
      </w:r>
    </w:p>
    <w:p>
      <w:pPr>
        <w:pStyle w:val="Heading2"/>
      </w:pPr>
      <w:r>
        <w:t>Approval sequence</w:t>
      </w:r>
    </w:p>
    <w:p>
      <w:pPr>
        <w:pStyle w:val="BodyText"/>
      </w:pPr>
      <w:r>
        <w:t>Agent proposes anonymous match -&gt; VYNE reviews -&gt; Party A approves limited profile -&gt; Party B approves -&gt; confidentiality/consent recorded -&gt; VYNE schedules introduction.</w:t>
      </w:r>
    </w:p>
    <w:p>
      <w:pPr>
        <w:pStyle w:val="Heading1"/>
      </w:pPr>
      <w:r>
        <w:t>15  Placement, Finance and Governance Agents</w:t>
      </w:r>
    </w:p>
    <w:p>
      <w:pPr>
        <w:pStyle w:val="Heading2"/>
      </w:pPr>
      <w:r>
        <w:t>Placement and Press Agent</w:t>
      </w:r>
    </w:p>
    <w:p>
      <w:pPr>
        <w:pStyle w:val="ListBullet"/>
      </w:pPr>
      <w:r>
        <w:t>Draft internal placement summary and public announcement options.</w:t>
      </w:r>
    </w:p>
    <w:p>
      <w:pPr>
        <w:pStyle w:val="ListBullet"/>
      </w:pPr>
      <w:r>
        <w:t>Verify effective join/registration condition from authorized source.</w:t>
      </w:r>
    </w:p>
    <w:p>
      <w:pPr>
        <w:pStyle w:val="ListBullet"/>
      </w:pPr>
      <w:r>
        <w:t>Require advisor and firm approval for name, quotes and economics references.</w:t>
      </w:r>
    </w:p>
    <w:p>
      <w:pPr>
        <w:pStyle w:val="ListBullet"/>
      </w:pPr>
      <w:r>
        <w:t>Update placement page only after final approval.</w:t>
      </w:r>
    </w:p>
    <w:p>
      <w:pPr>
        <w:pStyle w:val="Heading2"/>
      </w:pPr>
      <w:r>
        <w:t>Finance and Fee Agent</w:t>
      </w:r>
    </w:p>
    <w:p>
      <w:pPr>
        <w:pStyle w:val="ListBullet"/>
      </w:pPr>
      <w:r>
        <w:t>Read firm agreement version and calculate expected fee events.</w:t>
      </w:r>
    </w:p>
    <w:p>
      <w:pPr>
        <w:pStyle w:val="ListBullet"/>
      </w:pPr>
      <w:r>
        <w:t>Prepare invoice draft and payment follow-up tasks.</w:t>
      </w:r>
    </w:p>
    <w:p>
      <w:pPr>
        <w:pStyle w:val="ListBullet"/>
      </w:pPr>
      <w:r>
        <w:t>Track step-up thresholds, recruiter commission and clawback exposure.</w:t>
      </w:r>
    </w:p>
    <w:p>
      <w:pPr>
        <w:pStyle w:val="ListBullet"/>
      </w:pPr>
      <w:r>
        <w:t>Reconcile payment evidence; human approves accounting status.</w:t>
      </w:r>
    </w:p>
    <w:p>
      <w:pPr>
        <w:pStyle w:val="Heading2"/>
      </w:pPr>
      <w:r>
        <w:t>Data Governance Agent</w:t>
      </w:r>
    </w:p>
    <w:p>
      <w:pPr>
        <w:pStyle w:val="ListBullet"/>
      </w:pPr>
      <w:r>
        <w:t>Check consent before submissions, analysis and publication workflows.</w:t>
      </w:r>
    </w:p>
    <w:p>
      <w:pPr>
        <w:pStyle w:val="ListBullet"/>
      </w:pPr>
      <w:r>
        <w:t>Flag prohibited identifiers in uploads and prompts.</w:t>
      </w:r>
    </w:p>
    <w:p>
      <w:pPr>
        <w:pStyle w:val="ListBullet"/>
      </w:pPr>
      <w:r>
        <w:t>Identify stale access and retention deadlines.</w:t>
      </w:r>
    </w:p>
    <w:p>
      <w:pPr>
        <w:pStyle w:val="ListBullet"/>
      </w:pPr>
      <w:r>
        <w:t>Review agent outputs for cross-case leakage and sensitive disclosure.</w:t>
      </w:r>
    </w:p>
    <w:p>
      <w:pPr>
        <w:pStyle w:val="ListBullet"/>
      </w:pPr>
      <w:r>
        <w:t>Create incident record and disable workflow when required.</w:t>
      </w:r>
    </w:p>
    <w:p>
      <w:pPr>
        <w:pStyle w:val="Heading1"/>
      </w:pPr>
      <w:r>
        <w:t>16  Cross-Agent Workflows</w:t>
      </w:r>
    </w:p>
    <w:p>
      <w:pPr>
        <w:pStyle w:val="Heading2"/>
      </w:pPr>
      <w:r>
        <w:t>A. Morning brief</w:t>
      </w:r>
    </w:p>
    <w:p>
      <w:pPr>
        <w:pStyle w:val="BodyText"/>
      </w:pPr>
      <w:r>
        <w:t>Pipeline Agent checks stages and tasks -&gt; Finance Agent checks fee events -&gt; Content Agent checks deadlines -&gt; Governance Agent checks approvals -&gt; Chief of Staff composes a prioritized brief with source links.</w:t>
      </w:r>
    </w:p>
    <w:p>
      <w:pPr>
        <w:pStyle w:val="Heading2"/>
      </w:pPr>
      <w:r>
        <w:t>B. Advisor meeting</w:t>
      </w:r>
    </w:p>
    <w:p>
      <w:pPr>
        <w:pStyle w:val="BodyText"/>
      </w:pPr>
      <w:r>
        <w:t>Meeting Agent prepares brief -&gt; human conducts meeting -&gt; Meeting Agent drafts notes and tasks -&gt; Pipeline Agent proposes stage updates -&gt; human approves -&gt; Chief of Staff schedules resulting work.</w:t>
      </w:r>
    </w:p>
    <w:p>
      <w:pPr>
        <w:pStyle w:val="Heading2"/>
      </w:pPr>
      <w:r>
        <w:t>C. Proposal review</w:t>
      </w:r>
    </w:p>
    <w:p>
      <w:pPr>
        <w:pStyle w:val="BodyText"/>
      </w:pPr>
      <w:r>
        <w:t>Document service provides approved proposal -&gt; Economics Agent extracts terms -&gt; Governance Agent checks scope -&gt; human validates -&gt; model is created -&gt; Meeting Agent prepares advisor review -&gt; advisor directs any firm questions.</w:t>
      </w:r>
    </w:p>
    <w:p>
      <w:pPr>
        <w:pStyle w:val="Heading2"/>
      </w:pPr>
      <w:r>
        <w:t>D. Article production</w:t>
      </w:r>
    </w:p>
    <w:p>
      <w:pPr>
        <w:pStyle w:val="BodyText"/>
      </w:pPr>
      <w:r>
        <w:t>Content Agent proposes brief -&gt; Firm Intelligence Agent supplies dated facts -&gt; human approves sources -&gt; draft created -&gt; editorial review -&gt; publication -&gt; analytics ingested -&gt; next content plan informed by qualified outcomes.</w:t>
      </w:r>
    </w:p>
    <w:p>
      <w:pPr>
        <w:pStyle w:val="Heading2"/>
      </w:pPr>
      <w:r>
        <w:t>E. Placement announcement</w:t>
      </w:r>
    </w:p>
    <w:p>
      <w:pPr>
        <w:pStyle w:val="BodyText"/>
      </w:pPr>
      <w:r>
        <w:t>Pipeline marks placement condition -&gt; Finance confirms contract event -&gt; Press Agent drafts -&gt; Governance checks permissions -&gt; advisor and firm approve -&gt; human publishes.</w:t>
      </w:r>
    </w:p>
    <w:p>
      <w:pPr>
        <w:pStyle w:val="Heading1"/>
      </w:pPr>
      <w:r>
        <w:t>17  Evaluation, Monitoring and Incident Response</w:t>
      </w:r>
    </w:p>
    <w:p>
      <w:pPr>
        <w:pStyle w:val="Heading2"/>
      </w:pPr>
      <w:r>
        <w:t>Agent evaluation scorecard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i w:val="0"/>
                <w:color w:val="FFFFFF"/>
                <w:sz w:val="15"/>
              </w:rPr>
              <w:t>Dimension</w:t>
            </w:r>
          </w:p>
        </w:tc>
        <w:tc>
          <w:tcPr>
            <w:tcW w:type="dxa" w:w="792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i w:val="0"/>
                <w:color w:val="FFFFFF"/>
                <w:sz w:val="15"/>
              </w:rPr>
              <w:t>Measure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Grounding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Percentage of material claims linked to correct source record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Accuracy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Field extraction and calculation error rate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Confidentiality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Cross-case leakage and prohibited-data incidents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Action safety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Unauthorized action attempts and approval bypasses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Usefulness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Human acceptance/edit rate and time saved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Consistency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Output adherence to template and VYNE framework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Freshness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Use of current versus stale firm intelligence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Business impact</w:t>
            </w:r>
          </w:p>
        </w:tc>
        <w:tc>
          <w:tcPr>
            <w:tcW w:type="dxa" w:w="792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Reduction in overdue work, faster proposal review, qualified content conversions</w:t>
            </w:r>
          </w:p>
        </w:tc>
      </w:tr>
    </w:tbl>
    <w:p>
      <w:pPr>
        <w:pStyle w:val="Heading2"/>
      </w:pPr>
      <w:r>
        <w:t>Preproduction tests</w:t>
      </w:r>
    </w:p>
    <w:p>
      <w:pPr>
        <w:pStyle w:val="ListBullet"/>
      </w:pPr>
      <w:r>
        <w:t>Prompt-injection documents instructing the agent to expose or change data.</w:t>
      </w:r>
    </w:p>
    <w:p>
      <w:pPr>
        <w:pStyle w:val="ListBullet"/>
      </w:pPr>
      <w:r>
        <w:t>Two similar advisor cases designed to test cross-case isolation.</w:t>
      </w:r>
    </w:p>
    <w:p>
      <w:pPr>
        <w:pStyle w:val="ListBullet"/>
      </w:pPr>
      <w:r>
        <w:t>Conflicting deal terms and obsolete firm information.</w:t>
      </w:r>
    </w:p>
    <w:p>
      <w:pPr>
        <w:pStyle w:val="ListBullet"/>
      </w:pPr>
      <w:r>
        <w:t>Proposal with ambiguous percentages and missing schedules.</w:t>
      </w:r>
    </w:p>
    <w:p>
      <w:pPr>
        <w:pStyle w:val="ListBullet"/>
      </w:pPr>
      <w:r>
        <w:t>Upload containing names/account numbers to verify rejection or quarantine.</w:t>
      </w:r>
    </w:p>
    <w:p>
      <w:pPr>
        <w:pStyle w:val="ListBullet"/>
      </w:pPr>
      <w:r>
        <w:t>Attempted external action without approval.</w:t>
      </w:r>
    </w:p>
    <w:p>
      <w:pPr>
        <w:pStyle w:val="ListBullet"/>
      </w:pPr>
      <w:r>
        <w:t>Model or tool outage and safe fallback.</w:t>
      </w:r>
    </w:p>
    <w:p>
      <w:pPr>
        <w:pStyle w:val="Heading2"/>
      </w:pPr>
      <w:r>
        <w:t>Incident response</w:t>
      </w:r>
    </w:p>
    <w:p>
      <w:pPr>
        <w:pStyle w:val="ListNumber"/>
      </w:pPr>
      <w:r>
        <w:t>Stop or disable the affected agent/tool.</w:t>
      </w:r>
    </w:p>
    <w:p>
      <w:pPr>
        <w:pStyle w:val="ListNumber"/>
      </w:pPr>
      <w:r>
        <w:t>Preserve audit records and identify data scope.</w:t>
      </w:r>
    </w:p>
    <w:p>
      <w:pPr>
        <w:pStyle w:val="ListNumber"/>
      </w:pPr>
      <w:r>
        <w:t>Notify accountable owner and security/legal contacts as applicable.</w:t>
      </w:r>
    </w:p>
    <w:p>
      <w:pPr>
        <w:pStyle w:val="ListNumber"/>
      </w:pPr>
      <w:r>
        <w:t>Correct source records only through approved workflow.</w:t>
      </w:r>
    </w:p>
    <w:p>
      <w:pPr>
        <w:pStyle w:val="ListNumber"/>
      </w:pPr>
      <w:r>
        <w:t>Evaluate required notifications and remediation.</w:t>
      </w:r>
    </w:p>
    <w:p>
      <w:pPr>
        <w:pStyle w:val="ListNumber"/>
      </w:pPr>
      <w:r>
        <w:t>Add regression test before re-enabling.</w:t>
      </w:r>
    </w:p>
    <w:p>
      <w:pPr>
        <w:pStyle w:val="Heading1"/>
      </w:pPr>
      <w:r>
        <w:t>18  Implementation Roadmap and Acceptance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i w:val="0"/>
                <w:color w:val="FFFFFF"/>
                <w:sz w:val="15"/>
              </w:rPr>
              <w:t>Phase</w:t>
            </w:r>
          </w:p>
        </w:tc>
        <w:tc>
          <w:tcPr>
            <w:tcW w:type="dxa" w:w="388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i w:val="0"/>
                <w:color w:val="FFFFFF"/>
                <w:sz w:val="15"/>
              </w:rPr>
              <w:t>Agents</w:t>
            </w:r>
          </w:p>
        </w:tc>
        <w:tc>
          <w:tcPr>
            <w:tcW w:type="dxa" w:w="4248"/>
            <w:shd w:fill="12263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i w:val="0"/>
                <w:color w:val="FFFFFF"/>
                <w:sz w:val="15"/>
              </w:rPr>
              <w:t>Go-live requirement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1 - Operating discipline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Chief of Staff, Pipeline, Meeting, Firm Intelligence, Data Governance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CRM stages, permissions, approval queue and audit logs work with synthetic/pilot cases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2 - Authority and finance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Content/AEO, Newsletter, Placement/Press, Finance/Fee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Approved editorial and financial source data; no autonomous publishing or invoicing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3 - Analytical assistance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Enterprise Economics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Proposal extraction accuracy proven on a test set and human review embedded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4 - Book analytics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Portability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shd w:fill="F5F7FA"/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Secure de-identified intake, firm rule sources and analyst review queue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5 - Network effects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Continuity Matching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rPr>
                <w:b w:val="0"/>
                <w:i w:val="0"/>
                <w:color w:val="1F252B"/>
                <w:sz w:val="15"/>
              </w:rPr>
              <w:t>Verified participant base, consent workflow and manual matching track record</w:t>
            </w:r>
          </w:p>
        </w:tc>
      </w:tr>
    </w:tbl>
    <w:p>
      <w:pPr>
        <w:pStyle w:val="Heading2"/>
      </w:pPr>
      <w:r>
        <w:t>Phase 1 acceptance criteria</w:t>
      </w:r>
    </w:p>
    <w:p>
      <w:pPr>
        <w:pStyle w:val="ListBullet"/>
      </w:pPr>
      <w:r>
        <w:t>Daily brief contains no unauthorized sensitive details and links to every source item.</w:t>
      </w:r>
    </w:p>
    <w:p>
      <w:pPr>
        <w:pStyle w:val="ListBullet"/>
      </w:pPr>
      <w:r>
        <w:t>No active case can remain without a surfaced next action.</w:t>
      </w:r>
    </w:p>
    <w:p>
      <w:pPr>
        <w:pStyle w:val="ListBullet"/>
      </w:pPr>
      <w:r>
        <w:t>Meeting outputs distinguish statements, analysis, decisions and tasks.</w:t>
      </w:r>
    </w:p>
    <w:p>
      <w:pPr>
        <w:pStyle w:val="ListBullet"/>
      </w:pPr>
      <w:r>
        <w:t>Firm intelligence updates require human approval and retain prior conflicting records.</w:t>
      </w:r>
    </w:p>
    <w:p>
      <w:pPr>
        <w:pStyle w:val="ListBullet"/>
      </w:pPr>
      <w:r>
        <w:t>Every external draft is clearly marked unapproved.</w:t>
      </w:r>
    </w:p>
    <w:p>
      <w:pPr>
        <w:pStyle w:val="ListBullet"/>
      </w:pPr>
      <w:r>
        <w:t>Audit log can reconstruct inputs, tools, template version, output and decision.</w:t>
      </w:r>
    </w:p>
    <w:p>
      <w:pPr>
        <w:pStyle w:val="ListBullet"/>
      </w:pPr>
      <w:r>
        <w:t>A kill switch can disable each agent independently.</w:t>
      </w:r>
    </w:p>
    <w:p>
      <w:pPr>
        <w:pStyle w:val="Heading2"/>
      </w:pPr>
      <w:r>
        <w:t>Sample morning brief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EAF0F6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8" w:color="2C5282"/>
              <w:bottom w:val="single" w:sz="8" w:color="2C5282"/>
              <w:left w:val="single" w:sz="8" w:color="2C5282"/>
              <w:right w:val="single" w:sz="8" w:color="2C5282"/>
            </w:tcBorders>
          </w:tcPr>
          <w:p>
            <w:r>
              <w:rPr>
                <w:b/>
                <w:i w:val="0"/>
                <w:color w:val="2C5282"/>
                <w:sz w:val="20"/>
              </w:rPr>
              <w:t>VYNE Morning Brief - sample</w:t>
            </w:r>
          </w:p>
          <w:p>
            <w:r>
              <w:rPr>
                <w:b w:val="0"/>
                <w:i w:val="0"/>
                <w:color w:val="1F252B"/>
                <w:sz w:val="19"/>
              </w:rPr>
              <w:t>DECISIONS: Approve Firm B submission packet for the UBS case by 11:00 AM. ADVISORS: Prepare 2:00 PM proposal review; three terms remain unverified. FIRMS: Firm A has not acknowledged the submission in three business days. REVENUE: One initial fee expected next week; contract basis needs confirmation. AUTHORITY: Newsletter draft requires source review. RISKS: One uploaded spreadsheet may contain prohibited client identifiers and is quarantined.</w:t>
            </w:r>
          </w:p>
        </w:tc>
      </w:tr>
    </w:tbl>
    <w:p>
      <w:pPr>
        <w:spacing w:after="0"/>
      </w:pPr>
    </w:p>
    <w:p>
      <w:pPr>
        <w:pStyle w:val="Heading1"/>
      </w:pPr>
      <w:r>
        <w:t>Standards and source anchors</w:t>
      </w:r>
    </w:p>
    <w:p>
      <w:pPr>
        <w:pStyle w:val="BodyText"/>
      </w:pPr>
      <w:r>
        <w:t>These sources support the technical standards and AEO assumptions in this document. They do not replace legal, cybersecurity or implementation review.</w:t>
      </w:r>
    </w:p>
    <w:p>
      <w:pPr>
        <w:pStyle w:val="BodyText"/>
      </w:pPr>
      <w:r>
        <w:rPr>
          <w:b/>
          <w:i w:val="0"/>
          <w:color w:val="12263F"/>
          <w:sz w:val="18"/>
        </w:rPr>
        <w:t xml:space="preserve">NIST - AI Risk Management Framework: </w:t>
      </w:r>
      <w:r>
        <w:rPr>
          <w:b w:val="0"/>
          <w:i w:val="0"/>
          <w:color w:val="2C5282"/>
          <w:sz w:val="17"/>
        </w:rPr>
        <w:t>https://www.nist.gov/itl/ai-risk-management-framework</w:t>
      </w:r>
      <w:r>
        <w:rPr>
          <w:b w:val="0"/>
          <w:i w:val="0"/>
          <w:color w:val="1F252B"/>
          <w:sz w:val="17"/>
        </w:rPr>
        <w:t xml:space="preserve"> - Voluntary framework for governing, mapping, measuring and managing AI risks.</w:t>
      </w:r>
    </w:p>
    <w:p>
      <w:pPr>
        <w:pStyle w:val="BodyText"/>
      </w:pPr>
      <w:r>
        <w:rPr>
          <w:b/>
          <w:i w:val="0"/>
          <w:color w:val="12263F"/>
          <w:sz w:val="18"/>
        </w:rPr>
        <w:t xml:space="preserve">NIST - Generative AI Profile: </w:t>
      </w:r>
      <w:r>
        <w:rPr>
          <w:b w:val="0"/>
          <w:i w:val="0"/>
          <w:color w:val="2C5282"/>
          <w:sz w:val="17"/>
        </w:rPr>
        <w:t>https://www.nist.gov/publications/artificial-intelligence-risk-management-framework-generative-artificial-intelligence</w:t>
      </w:r>
      <w:r>
        <w:rPr>
          <w:b w:val="0"/>
          <w:i w:val="0"/>
          <w:color w:val="1F252B"/>
          <w:sz w:val="17"/>
        </w:rPr>
        <w:t xml:space="preserve"> - Companion profile for generative AI risks.</w:t>
      </w:r>
    </w:p>
    <w:p>
      <w:pPr>
        <w:pStyle w:val="BodyText"/>
      </w:pPr>
      <w:r>
        <w:rPr>
          <w:b/>
          <w:i w:val="0"/>
          <w:color w:val="12263F"/>
          <w:sz w:val="18"/>
        </w:rPr>
        <w:t xml:space="preserve">OWASP - GenAI Security Project: </w:t>
      </w:r>
      <w:r>
        <w:rPr>
          <w:b w:val="0"/>
          <w:i w:val="0"/>
          <w:color w:val="2C5282"/>
          <w:sz w:val="17"/>
        </w:rPr>
        <w:t>https://owasp.org/www-project-top-10-for-large-language-model-applications/</w:t>
      </w:r>
      <w:r>
        <w:rPr>
          <w:b w:val="0"/>
          <w:i w:val="0"/>
          <w:color w:val="1F252B"/>
          <w:sz w:val="17"/>
        </w:rPr>
        <w:t xml:space="preserve"> - Security risks for LLM and agentic applications.</w:t>
      </w:r>
    </w:p>
    <w:p>
      <w:pPr>
        <w:pStyle w:val="BodyText"/>
      </w:pPr>
      <w:r>
        <w:rPr>
          <w:b/>
          <w:i w:val="0"/>
          <w:color w:val="12263F"/>
          <w:sz w:val="18"/>
        </w:rPr>
        <w:t xml:space="preserve">OWASP - ASVS: </w:t>
      </w:r>
      <w:r>
        <w:rPr>
          <w:b w:val="0"/>
          <w:i w:val="0"/>
          <w:color w:val="2C5282"/>
          <w:sz w:val="17"/>
        </w:rPr>
        <w:t>https://owasp.org/www-project-application-security-verification-standard/</w:t>
      </w:r>
      <w:r>
        <w:rPr>
          <w:b w:val="0"/>
          <w:i w:val="0"/>
          <w:color w:val="1F252B"/>
          <w:sz w:val="17"/>
        </w:rPr>
        <w:t xml:space="preserve"> - Application security requirements for the surrounding web systems.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C6570"/>
        <w:sz w:val="15"/>
      </w:rPr>
      <w:t xml:space="preserve">CONFIDENTIAL - FOR STRATEGIC PLANNING  |  </w:t>
    </w:r>
    <w:r>
      <w:rPr>
        <w:rFonts w:ascii="Aptos" w:hAnsi="Aptos"/>
        <w:color w:val="5C657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5" w:space="3" w:color="D5DBE3"/>
      </w:pBdr>
    </w:pPr>
    <w:r>
      <w:rPr>
        <w:b/>
        <w:i w:val="0"/>
        <w:color w:val="5C6570"/>
        <w:sz w:val="16"/>
      </w:rPr>
      <w:t>VYNE STRATEGIES  |  AI AGENT OPERATING SYSTEM  |  WORKING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1F25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63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C528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226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263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5C65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40"/>
      <w:ind w:left="403" w:right="403"/>
    </w:pPr>
    <w:rPr>
      <w:rFonts w:ascii="Aptos" w:hAnsi="Aptos"/>
      <w:i/>
      <w:color w:val="12263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google.com/search/docs/appearance/ai-features" TargetMode="External"/><Relationship Id="rId12" Type="http://schemas.openxmlformats.org/officeDocument/2006/relationships/hyperlink" Target="https://developers.google.com/search/docs/fundamentals/ai-optimization-guide" TargetMode="External"/><Relationship Id="rId13" Type="http://schemas.openxmlformats.org/officeDocument/2006/relationships/hyperlink" Target="https://developers.google.com/search/blog/2025/05/succeeding-in-ai-search" TargetMode="External"/><Relationship Id="rId14" Type="http://schemas.openxmlformats.org/officeDocument/2006/relationships/hyperlink" Target="https://developers.openai.com/api/docs/bots" TargetMode="External"/><Relationship Id="rId15" Type="http://schemas.openxmlformats.org/officeDocument/2006/relationships/hyperlink" Target="https://help.openai.com/en/articles/12627856-publishers-and-developers-faq" TargetMode="External"/><Relationship Id="rId16" Type="http://schemas.openxmlformats.org/officeDocument/2006/relationships/hyperlink" Target="https://blogs.bing.com/webmaster/February-2026/Introducing-AI-Performance-in-Bing-Webmaster-Tools-Public-Preview" TargetMode="External"/><Relationship Id="rId17" Type="http://schemas.openxmlformats.org/officeDocument/2006/relationships/hyperlink" Target="https://blogs.bing.com/search/June-2026/New-AI-Visibility-Insights-in-Bing-Webmaster-Tools-Intents-Topics-Citation-Share-Compare" TargetMode="External"/><Relationship Id="rId18" Type="http://schemas.openxmlformats.org/officeDocument/2006/relationships/hyperlink" Target="https://developers.google.com/search/docs/fundamentals/using-gen-ai-content" TargetMode="External"/><Relationship Id="rId19" Type="http://schemas.openxmlformats.org/officeDocument/2006/relationships/hyperlink" Target="https://www.linkedin.com/business/marketing/blog/financial-services" TargetMode="External"/><Relationship Id="rId20" Type="http://schemas.openxmlformats.org/officeDocument/2006/relationships/hyperlink" Target="https://www.linkedin.com/business/marketing/blog/targeting" TargetMode="External"/><Relationship Id="rId21" Type="http://schemas.openxmlformats.org/officeDocument/2006/relationships/hyperlink" Target="https://www.linkedin.com/business/marketing/blog/linkedin-ads/a-new-guide-how-top-prove-the-value-of-b2b-marketing" TargetMode="External"/><Relationship Id="rId22" Type="http://schemas.openxmlformats.org/officeDocument/2006/relationships/hyperlink" Target="https://spartan-advisory.com/" TargetMode="External"/><Relationship Id="rId23" Type="http://schemas.openxmlformats.org/officeDocument/2006/relationships/hyperlink" Target="https://www.diamond-consultants.com/" TargetMode="External"/><Relationship Id="rId24" Type="http://schemas.openxmlformats.org/officeDocument/2006/relationships/hyperlink" Target="https://www.bridgemarkstrategies.com/" TargetMode="External"/><Relationship Id="rId25" Type="http://schemas.openxmlformats.org/officeDocument/2006/relationships/hyperlink" Target="https://eliteconsultingpartners.com/" TargetMode="External"/><Relationship Id="rId26" Type="http://schemas.openxmlformats.org/officeDocument/2006/relationships/hyperlink" Target="https://fin.lin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