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i w:val="0"/>
          <w:color w:val="12263F"/>
          <w:sz w:val="24"/>
        </w:rPr>
        <w:t>VYNE STRATEGIES</w:t>
      </w:r>
    </w:p>
    <w:p>
      <w:pPr>
        <w:spacing w:before="560"/>
        <w:jc w:val="center"/>
      </w:pPr>
      <w:r>
        <w:rPr>
          <w:rFonts w:ascii="Aptos Display" w:hAnsi="Aptos Display"/>
          <w:b/>
          <w:i w:val="0"/>
          <w:color w:val="12263F"/>
          <w:sz w:val="56"/>
        </w:rPr>
        <w:t>CRM Data Model and Workflow Schema</w:t>
      </w:r>
    </w:p>
    <w:p>
      <w:pPr>
        <w:spacing w:before="240"/>
        <w:jc w:val="center"/>
      </w:pPr>
      <w:r>
        <w:rPr>
          <w:b w:val="0"/>
          <w:i w:val="0"/>
          <w:color w:val="5C6570"/>
          <w:sz w:val="26"/>
        </w:rPr>
        <w:t>The operating data structure for advisor relationships, firm opportunities, intelligence, economics, fees and future analytics</w:t>
      </w:r>
    </w:p>
    <w:p>
      <w:pPr>
        <w:spacing w:before="560"/>
        <w:jc w:val="center"/>
      </w:pPr>
      <w:r>
        <w:rPr>
          <w:b w:val="0"/>
          <w:i w:val="0"/>
          <w:color w:val="2C5282"/>
          <w:sz w:val="20"/>
        </w:rPr>
        <w:t>━━━━━━━━━━━━━━━━━━━━━━━━━━━━━━━━━━</w:t>
      </w:r>
    </w:p>
    <w:p>
      <w:pPr>
        <w:spacing w:before="400"/>
        <w:jc w:val="center"/>
      </w:pPr>
      <w:r>
        <w:rPr>
          <w:b w:val="0"/>
          <w:i w:val="0"/>
          <w:color w:val="5C6570"/>
          <w:sz w:val="20"/>
        </w:rPr>
        <w:t>Version 1.0  |  July 2026</w:t>
      </w:r>
    </w:p>
    <w:p>
      <w:pPr>
        <w:jc w:val="center"/>
      </w:pPr>
      <w:r>
        <w:rPr>
          <w:b w:val="0"/>
          <w:i w:val="0"/>
          <w:color w:val="5C6570"/>
          <w:sz w:val="18"/>
        </w:rPr>
        <w:t>Companion to the Internal Operating Manual and Production Website Technical Specification</w:t>
      </w:r>
    </w:p>
    <w:p>
      <w:pPr>
        <w:spacing w:before="1000"/>
        <w:jc w:val="center"/>
      </w:pPr>
      <w:r>
        <w:rPr>
          <w:b w:val="0"/>
          <w:i/>
          <w:color w:val="5C6570"/>
          <w:sz w:val="18"/>
        </w:rPr>
        <w:t>Working technical specification. Architecture, privacy, cybersecurity, legal and regulatory decisions require qualified review before production use.</w:t>
      </w:r>
    </w:p>
    <w:p>
      <w:r>
        <w:br w:type="page"/>
      </w:r>
    </w:p>
    <w:p>
      <w:pPr>
        <w:pStyle w:val="Heading1"/>
      </w:pPr>
      <w:r>
        <w:t>Contents</w:t>
      </w:r>
    </w:p>
    <w:p>
      <w:pPr>
        <w:spacing w:after="40"/>
      </w:pPr>
      <w:r>
        <w:rPr>
          <w:b/>
          <w:i w:val="0"/>
          <w:color w:val="2C5282"/>
          <w:sz w:val="19"/>
        </w:rPr>
        <w:t xml:space="preserve">01  </w:t>
      </w:r>
      <w:r>
        <w:rPr>
          <w:b w:val="0"/>
          <w:i w:val="0"/>
          <w:color w:val="1F252B"/>
          <w:sz w:val="19"/>
        </w:rPr>
        <w:t>Executive data decision</w:t>
      </w:r>
    </w:p>
    <w:p>
      <w:pPr>
        <w:spacing w:after="40"/>
      </w:pPr>
      <w:r>
        <w:rPr>
          <w:b/>
          <w:i w:val="0"/>
          <w:color w:val="2C5282"/>
          <w:sz w:val="19"/>
        </w:rPr>
        <w:t xml:space="preserve">02  </w:t>
      </w:r>
      <w:r>
        <w:rPr>
          <w:b w:val="0"/>
          <w:i w:val="0"/>
          <w:color w:val="1F252B"/>
          <w:sz w:val="19"/>
        </w:rPr>
        <w:t>Design principles and data boundaries</w:t>
      </w:r>
    </w:p>
    <w:p>
      <w:pPr>
        <w:spacing w:after="40"/>
      </w:pPr>
      <w:r>
        <w:rPr>
          <w:b/>
          <w:i w:val="0"/>
          <w:color w:val="2C5282"/>
          <w:sz w:val="19"/>
        </w:rPr>
        <w:t xml:space="preserve">03  </w:t>
      </w:r>
      <w:r>
        <w:rPr>
          <w:b w:val="0"/>
          <w:i w:val="0"/>
          <w:color w:val="1F252B"/>
          <w:sz w:val="19"/>
        </w:rPr>
        <w:t>Core entities and relationships</w:t>
      </w:r>
    </w:p>
    <w:p>
      <w:pPr>
        <w:spacing w:after="40"/>
      </w:pPr>
      <w:r>
        <w:rPr>
          <w:b/>
          <w:i w:val="0"/>
          <w:color w:val="2C5282"/>
          <w:sz w:val="19"/>
        </w:rPr>
        <w:t xml:space="preserve">04  </w:t>
      </w:r>
      <w:r>
        <w:rPr>
          <w:b w:val="0"/>
          <w:i w:val="0"/>
          <w:color w:val="1F252B"/>
          <w:sz w:val="19"/>
        </w:rPr>
        <w:t>Advisor and relationship model</w:t>
      </w:r>
    </w:p>
    <w:p>
      <w:pPr>
        <w:spacing w:after="40"/>
      </w:pPr>
      <w:r>
        <w:rPr>
          <w:b/>
          <w:i w:val="0"/>
          <w:color w:val="2C5282"/>
          <w:sz w:val="19"/>
        </w:rPr>
        <w:t xml:space="preserve">05  </w:t>
      </w:r>
      <w:r>
        <w:rPr>
          <w:b w:val="0"/>
          <w:i w:val="0"/>
          <w:color w:val="1F252B"/>
          <w:sz w:val="19"/>
        </w:rPr>
        <w:t>Case and VYNE framework model</w:t>
      </w:r>
    </w:p>
    <w:p>
      <w:pPr>
        <w:spacing w:after="40"/>
      </w:pPr>
      <w:r>
        <w:rPr>
          <w:b/>
          <w:i w:val="0"/>
          <w:color w:val="2C5282"/>
          <w:sz w:val="19"/>
        </w:rPr>
        <w:t xml:space="preserve">06  </w:t>
      </w:r>
      <w:r>
        <w:rPr>
          <w:b w:val="0"/>
          <w:i w:val="0"/>
          <w:color w:val="1F252B"/>
          <w:sz w:val="19"/>
        </w:rPr>
        <w:t>Firm and opportunity model</w:t>
      </w:r>
    </w:p>
    <w:p>
      <w:pPr>
        <w:spacing w:after="40"/>
      </w:pPr>
      <w:r>
        <w:rPr>
          <w:b/>
          <w:i w:val="0"/>
          <w:color w:val="2C5282"/>
          <w:sz w:val="19"/>
        </w:rPr>
        <w:t xml:space="preserve">07  </w:t>
      </w:r>
      <w:r>
        <w:rPr>
          <w:b w:val="0"/>
          <w:i w:val="0"/>
          <w:color w:val="1F252B"/>
          <w:sz w:val="19"/>
        </w:rPr>
        <w:t>Meetings, tasks and deliverables</w:t>
      </w:r>
    </w:p>
    <w:p>
      <w:pPr>
        <w:spacing w:after="40"/>
      </w:pPr>
      <w:r>
        <w:rPr>
          <w:b/>
          <w:i w:val="0"/>
          <w:color w:val="2C5282"/>
          <w:sz w:val="19"/>
        </w:rPr>
        <w:t xml:space="preserve">08  </w:t>
      </w:r>
      <w:r>
        <w:rPr>
          <w:b w:val="0"/>
          <w:i w:val="0"/>
          <w:color w:val="1F252B"/>
          <w:sz w:val="19"/>
        </w:rPr>
        <w:t>Firm intelligence and source control</w:t>
      </w:r>
    </w:p>
    <w:p>
      <w:pPr>
        <w:spacing w:after="40"/>
      </w:pPr>
      <w:r>
        <w:rPr>
          <w:b/>
          <w:i w:val="0"/>
          <w:color w:val="2C5282"/>
          <w:sz w:val="19"/>
        </w:rPr>
        <w:t xml:space="preserve">09  </w:t>
      </w:r>
      <w:r>
        <w:rPr>
          <w:b w:val="0"/>
          <w:i w:val="0"/>
          <w:color w:val="1F252B"/>
          <w:sz w:val="19"/>
        </w:rPr>
        <w:t>Economics, contracts and fee tracking</w:t>
      </w:r>
    </w:p>
    <w:p>
      <w:pPr>
        <w:spacing w:after="40"/>
      </w:pPr>
      <w:r>
        <w:rPr>
          <w:b/>
          <w:i w:val="0"/>
          <w:color w:val="2C5282"/>
          <w:sz w:val="19"/>
        </w:rPr>
        <w:t xml:space="preserve">10  </w:t>
      </w:r>
      <w:r>
        <w:rPr>
          <w:b w:val="0"/>
          <w:i w:val="0"/>
          <w:color w:val="1F252B"/>
          <w:sz w:val="19"/>
        </w:rPr>
        <w:t>Portability and book analytics</w:t>
      </w:r>
    </w:p>
    <w:p>
      <w:pPr>
        <w:spacing w:after="40"/>
      </w:pPr>
      <w:r>
        <w:rPr>
          <w:b/>
          <w:i w:val="0"/>
          <w:color w:val="2C5282"/>
          <w:sz w:val="19"/>
        </w:rPr>
        <w:t xml:space="preserve">11  </w:t>
      </w:r>
      <w:r>
        <w:rPr>
          <w:b w:val="0"/>
          <w:i w:val="0"/>
          <w:color w:val="1F252B"/>
          <w:sz w:val="19"/>
        </w:rPr>
        <w:t>Continuity and talent matching</w:t>
      </w:r>
    </w:p>
    <w:p>
      <w:pPr>
        <w:spacing w:after="40"/>
      </w:pPr>
      <w:r>
        <w:rPr>
          <w:b/>
          <w:i w:val="0"/>
          <w:color w:val="2C5282"/>
          <w:sz w:val="19"/>
        </w:rPr>
        <w:t xml:space="preserve">12  </w:t>
      </w:r>
      <w:r>
        <w:rPr>
          <w:b w:val="0"/>
          <w:i w:val="0"/>
          <w:color w:val="1F252B"/>
          <w:sz w:val="19"/>
        </w:rPr>
        <w:t>Consents, documents and permissions</w:t>
      </w:r>
    </w:p>
    <w:p>
      <w:pPr>
        <w:spacing w:after="40"/>
      </w:pPr>
      <w:r>
        <w:rPr>
          <w:b/>
          <w:i w:val="0"/>
          <w:color w:val="2C5282"/>
          <w:sz w:val="19"/>
        </w:rPr>
        <w:t xml:space="preserve">13  </w:t>
      </w:r>
      <w:r>
        <w:rPr>
          <w:b w:val="0"/>
          <w:i w:val="0"/>
          <w:color w:val="1F252B"/>
          <w:sz w:val="19"/>
        </w:rPr>
        <w:t>Workflow state machine and stage gates</w:t>
      </w:r>
    </w:p>
    <w:p>
      <w:pPr>
        <w:spacing w:after="40"/>
      </w:pPr>
      <w:r>
        <w:rPr>
          <w:b/>
          <w:i w:val="0"/>
          <w:color w:val="2C5282"/>
          <w:sz w:val="19"/>
        </w:rPr>
        <w:t xml:space="preserve">14  </w:t>
      </w:r>
      <w:r>
        <w:rPr>
          <w:b w:val="0"/>
          <w:i w:val="0"/>
          <w:color w:val="1F252B"/>
          <w:sz w:val="19"/>
        </w:rPr>
        <w:t>Dashboards and reporting</w:t>
      </w:r>
    </w:p>
    <w:p>
      <w:pPr>
        <w:spacing w:after="40"/>
      </w:pPr>
      <w:r>
        <w:rPr>
          <w:b/>
          <w:i w:val="0"/>
          <w:color w:val="2C5282"/>
          <w:sz w:val="19"/>
        </w:rPr>
        <w:t xml:space="preserve">15  </w:t>
      </w:r>
      <w:r>
        <w:rPr>
          <w:b w:val="0"/>
          <w:i w:val="0"/>
          <w:color w:val="1F252B"/>
          <w:sz w:val="19"/>
        </w:rPr>
        <w:t>Sample UBS advisor case</w:t>
      </w:r>
    </w:p>
    <w:p>
      <w:pPr>
        <w:spacing w:after="40"/>
      </w:pPr>
      <w:r>
        <w:rPr>
          <w:b/>
          <w:i w:val="0"/>
          <w:color w:val="2C5282"/>
          <w:sz w:val="19"/>
        </w:rPr>
        <w:t xml:space="preserve">16  </w:t>
      </w:r>
      <w:r>
        <w:rPr>
          <w:b w:val="0"/>
          <w:i w:val="0"/>
          <w:color w:val="1F252B"/>
          <w:sz w:val="19"/>
        </w:rPr>
        <w:t>Implementation and acceptance</w:t>
      </w:r>
    </w:p>
    <w:p>
      <w:r>
        <w:br w:type="page"/>
      </w:r>
    </w:p>
    <w:p>
      <w:pPr>
        <w:pStyle w:val="Heading1"/>
      </w:pPr>
      <w:r>
        <w:t>01  Executive Data Decision</w:t>
      </w:r>
    </w:p>
    <w:tbl>
      <w:tblPr>
        <w:tblW w:type="auto" w:w="0"/>
        <w:jc w:val="center"/>
        <w:tblLayout w:type="fixed"/>
        <w:tblLook w:firstColumn="1" w:firstRow="1" w:lastColumn="0" w:lastRow="0" w:noHBand="0" w:noVBand="1" w:val="04A0"/>
      </w:tblPr>
      <w:tblGrid>
        <w:gridCol w:w="9648"/>
      </w:tblGrid>
      <w:tr>
        <w:tc>
          <w:tcPr>
            <w:tcW w:type="dxa" w:w="10166"/>
            <w:shd w:fill="EAF0F6"/>
            <w:tcMar>
              <w:top w:w="130" w:type="dxa"/>
              <w:start w:w="170" w:type="dxa"/>
              <w:bottom w:w="130" w:type="dxa"/>
              <w:end w:w="170" w:type="dxa"/>
            </w:tcMar>
            <w:tcBorders>
              <w:top w:val="single" w:sz="8" w:color="12263F"/>
              <w:bottom w:val="single" w:sz="8" w:color="12263F"/>
              <w:left w:val="single" w:sz="8" w:color="12263F"/>
              <w:right w:val="single" w:sz="8" w:color="12263F"/>
            </w:tcBorders>
          </w:tcPr>
          <w:p>
            <w:r>
              <w:rPr>
                <w:b/>
                <w:i w:val="0"/>
                <w:color w:val="12263F"/>
                <w:sz w:val="20"/>
              </w:rPr>
              <w:t>Recommended data model</w:t>
            </w:r>
          </w:p>
          <w:p>
            <w:r>
              <w:rPr>
                <w:b w:val="0"/>
                <w:i w:val="0"/>
                <w:color w:val="1F252B"/>
                <w:sz w:val="19"/>
              </w:rPr>
              <w:t>Use a relational CRM centered on the advisor relationship, with separate records for the VYNE case and every firm opportunity. Store intelligence, documents, economics, consent and agent activity as linked records rather than overloaded notes or one giant advisor table.</w:t>
            </w:r>
          </w:p>
        </w:tc>
      </w:tr>
    </w:tbl>
    <w:p>
      <w:pPr>
        <w:spacing w:after="0"/>
      </w:pPr>
    </w:p>
    <w:p>
      <w:pPr>
        <w:pStyle w:val="BodyText"/>
      </w:pPr>
      <w:r>
        <w:t>The primary design goal is not to capture every possible fact. It is to make each active record answer: where is the advisor, what decision is VYNE helping make, what is missing, what happens next, and what must be true before the case advances.</w:t>
      </w:r>
    </w:p>
    <w:p>
      <w:pPr>
        <w:pStyle w:val="Heading2"/>
      </w:pPr>
      <w:r>
        <w:t>What the CRM is not</w:t>
      </w:r>
    </w:p>
    <w:p>
      <w:pPr>
        <w:pStyle w:val="ListBullet"/>
      </w:pPr>
      <w:r>
        <w:t>It is not a public website database.</w:t>
      </w:r>
    </w:p>
    <w:p>
      <w:pPr>
        <w:pStyle w:val="ListBullet"/>
      </w:pPr>
      <w:r>
        <w:t>It is not a replacement for secure file storage.</w:t>
      </w:r>
    </w:p>
    <w:p>
      <w:pPr>
        <w:pStyle w:val="ListBullet"/>
      </w:pPr>
      <w:r>
        <w:t>It is not a dumping ground for unverified firm rumors.</w:t>
      </w:r>
    </w:p>
    <w:p>
      <w:pPr>
        <w:pStyle w:val="ListBullet"/>
      </w:pPr>
      <w:r>
        <w:t>It is not permission to collect identifiable client data.</w:t>
      </w:r>
    </w:p>
    <w:p>
      <w:pPr>
        <w:pStyle w:val="ListBullet"/>
      </w:pPr>
      <w:r>
        <w:t>It is not a fully automated decision engine.</w:t>
      </w:r>
    </w:p>
    <w:p>
      <w:pPr>
        <w:pStyle w:val="Heading1"/>
      </w:pPr>
      <w:r>
        <w:t>02  Design Principles and Data Boundaries</w:t>
      </w:r>
    </w:p>
    <w:p>
      <w:pPr>
        <w:pStyle w:val="ListBullet"/>
      </w:pPr>
      <w:r>
        <w:t>One person may have multiple relationships and cases over time; do not overwrite history.</w:t>
      </w:r>
    </w:p>
    <w:p>
      <w:pPr>
        <w:pStyle w:val="ListBullet"/>
      </w:pPr>
      <w:r>
        <w:t>One case may evaluate multiple firms at different stages.</w:t>
      </w:r>
    </w:p>
    <w:p>
      <w:pPr>
        <w:pStyle w:val="ListBullet"/>
      </w:pPr>
      <w:r>
        <w:t>Firm intelligence is source-dated and confidence-rated.</w:t>
      </w:r>
    </w:p>
    <w:p>
      <w:pPr>
        <w:pStyle w:val="ListBullet"/>
      </w:pPr>
      <w:r>
        <w:t>Every material status has a next action, owner and due date.</w:t>
      </w:r>
    </w:p>
    <w:p>
      <w:pPr>
        <w:pStyle w:val="ListBullet"/>
      </w:pPr>
      <w:r>
        <w:t>Consent and disclosure are records, not checkboxes hidden in notes.</w:t>
      </w:r>
    </w:p>
    <w:p>
      <w:pPr>
        <w:pStyle w:val="ListBullet"/>
      </w:pPr>
      <w:r>
        <w:t>Financial models retain assumptions and versions.</w:t>
      </w:r>
    </w:p>
    <w:p>
      <w:pPr>
        <w:pStyle w:val="ListBullet"/>
      </w:pPr>
      <w:r>
        <w:t>Agent outputs are drafts with provenance and approval status.</w:t>
      </w:r>
    </w:p>
    <w:p>
      <w:pPr>
        <w:pStyle w:val="ListBullet"/>
      </w:pPr>
      <w:r>
        <w:t>Client PII is excluded from the initial schema.</w:t>
      </w:r>
    </w:p>
    <w:p>
      <w:pPr>
        <w:pStyle w:val="Heading2"/>
      </w:pPr>
      <w:r>
        <w:t>Identifier policy</w:t>
      </w:r>
    </w:p>
    <w:p>
      <w:pPr>
        <w:pStyle w:val="BodyText"/>
      </w:pPr>
      <w:r>
        <w:t>Use opaque system-generated identifiers for internal relationships. External interfaces should use scoped public IDs or signed tokens so record counts and adjacent records cannot be enumerated.</w:t>
      </w:r>
    </w:p>
    <w:p>
      <w:pPr>
        <w:pStyle w:val="Heading1"/>
      </w:pPr>
      <w:r>
        <w:t>03  Core Entities and Relationships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016"/>
            <w:shd w:fill="12263F"/>
            <w:tcMar>
              <w:top w:w="90" w:type="dxa"/>
              <w:start w:w="100" w:type="dxa"/>
              <w:bottom w:w="90" w:type="dxa"/>
              <w:end w:w="100" w:type="dxa"/>
            </w:tcMar>
            <w:vAlign w:val="center"/>
          </w:tcPr>
          <w:p>
            <w:r>
              <w:rPr>
                <w:b/>
                <w:i w:val="0"/>
                <w:color w:val="FFFFFF"/>
                <w:sz w:val="14"/>
              </w:rPr>
              <w:t>Entity</w:t>
            </w:r>
          </w:p>
        </w:tc>
        <w:tc>
          <w:tcPr>
            <w:tcW w:type="dxa" w:w="3744"/>
            <w:shd w:fill="12263F"/>
            <w:tcMar>
              <w:top w:w="90" w:type="dxa"/>
              <w:start w:w="100" w:type="dxa"/>
              <w:bottom w:w="90" w:type="dxa"/>
              <w:end w:w="100" w:type="dxa"/>
            </w:tcMar>
            <w:vAlign w:val="center"/>
          </w:tcPr>
          <w:p>
            <w:r>
              <w:rPr>
                <w:b/>
                <w:i w:val="0"/>
                <w:color w:val="FFFFFF"/>
                <w:sz w:val="14"/>
              </w:rPr>
              <w:t>Purpose</w:t>
            </w:r>
          </w:p>
        </w:tc>
        <w:tc>
          <w:tcPr>
            <w:tcW w:type="dxa" w:w="4032"/>
            <w:shd w:fill="12263F"/>
            <w:tcMar>
              <w:top w:w="90" w:type="dxa"/>
              <w:start w:w="100" w:type="dxa"/>
              <w:bottom w:w="90" w:type="dxa"/>
              <w:end w:w="100" w:type="dxa"/>
            </w:tcMar>
            <w:vAlign w:val="center"/>
          </w:tcPr>
          <w:p>
            <w:r>
              <w:rPr>
                <w:b/>
                <w:i w:val="0"/>
                <w:color w:val="FFFFFF"/>
                <w:sz w:val="14"/>
              </w:rPr>
              <w:t>Key relationships</w:t>
            </w:r>
          </w:p>
        </w:tc>
      </w:tr>
      <w:tr>
        <w:tc>
          <w:tcPr>
            <w:tcW w:type="dxa" w:w="2016"/>
            <w:tcMar>
              <w:top w:w="90" w:type="dxa"/>
              <w:start w:w="100" w:type="dxa"/>
              <w:bottom w:w="90" w:type="dxa"/>
              <w:end w:w="100" w:type="dxa"/>
            </w:tcMar>
            <w:vAlign w:val="top"/>
          </w:tcPr>
          <w:p>
            <w:r>
              <w:rPr>
                <w:b w:val="0"/>
                <w:i w:val="0"/>
                <w:color w:val="1F252B"/>
                <w:sz w:val="14"/>
              </w:rPr>
              <w:t>person</w:t>
            </w:r>
          </w:p>
        </w:tc>
        <w:tc>
          <w:tcPr>
            <w:tcW w:type="dxa" w:w="3744"/>
            <w:tcMar>
              <w:top w:w="90" w:type="dxa"/>
              <w:start w:w="100" w:type="dxa"/>
              <w:bottom w:w="90" w:type="dxa"/>
              <w:end w:w="100" w:type="dxa"/>
            </w:tcMar>
            <w:vAlign w:val="top"/>
          </w:tcPr>
          <w:p>
            <w:r>
              <w:rPr>
                <w:b w:val="0"/>
                <w:i w:val="0"/>
                <w:color w:val="1F252B"/>
                <w:sz w:val="14"/>
              </w:rPr>
              <w:t>Human contact: advisor, team member, firm contact, professional</w:t>
            </w:r>
          </w:p>
        </w:tc>
        <w:tc>
          <w:tcPr>
            <w:tcW w:type="dxa" w:w="4032"/>
            <w:tcMar>
              <w:top w:w="90" w:type="dxa"/>
              <w:start w:w="100" w:type="dxa"/>
              <w:bottom w:w="90" w:type="dxa"/>
              <w:end w:w="100" w:type="dxa"/>
            </w:tcMar>
            <w:vAlign w:val="top"/>
          </w:tcPr>
          <w:p>
            <w:r>
              <w:rPr>
                <w:b w:val="0"/>
                <w:i w:val="0"/>
                <w:color w:val="1F252B"/>
                <w:sz w:val="14"/>
              </w:rPr>
              <w:t>Can have roles, organizations, consents and communications</w:t>
            </w:r>
          </w:p>
        </w:tc>
      </w:tr>
      <w:tr>
        <w:tc>
          <w:tcPr>
            <w:tcW w:type="dxa" w:w="2016"/>
            <w:tcMar>
              <w:top w:w="90" w:type="dxa"/>
              <w:start w:w="100" w:type="dxa"/>
              <w:bottom w:w="90" w:type="dxa"/>
              <w:end w:w="100" w:type="dxa"/>
            </w:tcMar>
            <w:shd w:fill="F5F7FA"/>
            <w:vAlign w:val="top"/>
          </w:tcPr>
          <w:p>
            <w:r>
              <w:rPr>
                <w:b w:val="0"/>
                <w:i w:val="0"/>
                <w:color w:val="1F252B"/>
                <w:sz w:val="14"/>
              </w:rPr>
              <w:t>organization</w:t>
            </w:r>
          </w:p>
        </w:tc>
        <w:tc>
          <w:tcPr>
            <w:tcW w:type="dxa" w:w="3744"/>
            <w:tcMar>
              <w:top w:w="90" w:type="dxa"/>
              <w:start w:w="100" w:type="dxa"/>
              <w:bottom w:w="90" w:type="dxa"/>
              <w:end w:w="100" w:type="dxa"/>
            </w:tcMar>
            <w:shd w:fill="F5F7FA"/>
            <w:vAlign w:val="top"/>
          </w:tcPr>
          <w:p>
            <w:r>
              <w:rPr>
                <w:b w:val="0"/>
                <w:i w:val="0"/>
                <w:color w:val="1F252B"/>
                <w:sz w:val="14"/>
              </w:rPr>
              <w:t>Firm, RIA, advisory team, law firm, vendor or VYNE</w:t>
            </w:r>
          </w:p>
        </w:tc>
        <w:tc>
          <w:tcPr>
            <w:tcW w:type="dxa" w:w="4032"/>
            <w:tcMar>
              <w:top w:w="90" w:type="dxa"/>
              <w:start w:w="100" w:type="dxa"/>
              <w:bottom w:w="90" w:type="dxa"/>
              <w:end w:w="100" w:type="dxa"/>
            </w:tcMar>
            <w:shd w:fill="F5F7FA"/>
            <w:vAlign w:val="top"/>
          </w:tcPr>
          <w:p>
            <w:r>
              <w:rPr>
                <w:b w:val="0"/>
                <w:i w:val="0"/>
                <w:color w:val="1F252B"/>
                <w:sz w:val="14"/>
              </w:rPr>
              <w:t>Parent/subsidiary and team relationships</w:t>
            </w:r>
          </w:p>
        </w:tc>
      </w:tr>
      <w:tr>
        <w:tc>
          <w:tcPr>
            <w:tcW w:type="dxa" w:w="2016"/>
            <w:tcMar>
              <w:top w:w="90" w:type="dxa"/>
              <w:start w:w="100" w:type="dxa"/>
              <w:bottom w:w="90" w:type="dxa"/>
              <w:end w:w="100" w:type="dxa"/>
            </w:tcMar>
            <w:vAlign w:val="top"/>
          </w:tcPr>
          <w:p>
            <w:r>
              <w:rPr>
                <w:b w:val="0"/>
                <w:i w:val="0"/>
                <w:color w:val="1F252B"/>
                <w:sz w:val="14"/>
              </w:rPr>
              <w:t>advisor_profile</w:t>
            </w:r>
          </w:p>
        </w:tc>
        <w:tc>
          <w:tcPr>
            <w:tcW w:type="dxa" w:w="3744"/>
            <w:tcMar>
              <w:top w:w="90" w:type="dxa"/>
              <w:start w:w="100" w:type="dxa"/>
              <w:bottom w:w="90" w:type="dxa"/>
              <w:end w:w="100" w:type="dxa"/>
            </w:tcMar>
            <w:vAlign w:val="top"/>
          </w:tcPr>
          <w:p>
            <w:r>
              <w:rPr>
                <w:b w:val="0"/>
                <w:i w:val="0"/>
                <w:color w:val="1F252B"/>
                <w:sz w:val="14"/>
              </w:rPr>
              <w:t>Advisor-specific production, assets, practice and career facts</w:t>
            </w:r>
          </w:p>
        </w:tc>
        <w:tc>
          <w:tcPr>
            <w:tcW w:type="dxa" w:w="4032"/>
            <w:tcMar>
              <w:top w:w="90" w:type="dxa"/>
              <w:start w:w="100" w:type="dxa"/>
              <w:bottom w:w="90" w:type="dxa"/>
              <w:end w:w="100" w:type="dxa"/>
            </w:tcMar>
            <w:vAlign w:val="top"/>
          </w:tcPr>
          <w:p>
            <w:r>
              <w:rPr>
                <w:b w:val="0"/>
                <w:i w:val="0"/>
                <w:color w:val="1F252B"/>
                <w:sz w:val="14"/>
              </w:rPr>
              <w:t>One per advisor per effective period</w:t>
            </w:r>
          </w:p>
        </w:tc>
      </w:tr>
      <w:tr>
        <w:tc>
          <w:tcPr>
            <w:tcW w:type="dxa" w:w="2016"/>
            <w:tcMar>
              <w:top w:w="90" w:type="dxa"/>
              <w:start w:w="100" w:type="dxa"/>
              <w:bottom w:w="90" w:type="dxa"/>
              <w:end w:w="100" w:type="dxa"/>
            </w:tcMar>
            <w:shd w:fill="F5F7FA"/>
            <w:vAlign w:val="top"/>
          </w:tcPr>
          <w:p>
            <w:r>
              <w:rPr>
                <w:b w:val="0"/>
                <w:i w:val="0"/>
                <w:color w:val="1F252B"/>
                <w:sz w:val="14"/>
              </w:rPr>
              <w:t>relationship</w:t>
            </w:r>
          </w:p>
        </w:tc>
        <w:tc>
          <w:tcPr>
            <w:tcW w:type="dxa" w:w="3744"/>
            <w:tcMar>
              <w:top w:w="90" w:type="dxa"/>
              <w:start w:w="100" w:type="dxa"/>
              <w:bottom w:w="90" w:type="dxa"/>
              <w:end w:w="100" w:type="dxa"/>
            </w:tcMar>
            <w:shd w:fill="F5F7FA"/>
            <w:vAlign w:val="top"/>
          </w:tcPr>
          <w:p>
            <w:r>
              <w:rPr>
                <w:b w:val="0"/>
                <w:i w:val="0"/>
                <w:color w:val="1F252B"/>
                <w:sz w:val="14"/>
              </w:rPr>
              <w:t>Overall VYNE relationship stage and ownership</w:t>
            </w:r>
          </w:p>
        </w:tc>
        <w:tc>
          <w:tcPr>
            <w:tcW w:type="dxa" w:w="4032"/>
            <w:tcMar>
              <w:top w:w="90" w:type="dxa"/>
              <w:start w:w="100" w:type="dxa"/>
              <w:bottom w:w="90" w:type="dxa"/>
              <w:end w:w="100" w:type="dxa"/>
            </w:tcMar>
            <w:shd w:fill="F5F7FA"/>
            <w:vAlign w:val="top"/>
          </w:tcPr>
          <w:p>
            <w:r>
              <w:rPr>
                <w:b w:val="0"/>
                <w:i w:val="0"/>
                <w:color w:val="1F252B"/>
                <w:sz w:val="14"/>
              </w:rPr>
              <w:t>Links person to VYNE owner and source</w:t>
            </w:r>
          </w:p>
        </w:tc>
      </w:tr>
      <w:tr>
        <w:tc>
          <w:tcPr>
            <w:tcW w:type="dxa" w:w="2016"/>
            <w:tcMar>
              <w:top w:w="90" w:type="dxa"/>
              <w:start w:w="100" w:type="dxa"/>
              <w:bottom w:w="90" w:type="dxa"/>
              <w:end w:w="100" w:type="dxa"/>
            </w:tcMar>
            <w:vAlign w:val="top"/>
          </w:tcPr>
          <w:p>
            <w:r>
              <w:rPr>
                <w:b w:val="0"/>
                <w:i w:val="0"/>
                <w:color w:val="1F252B"/>
                <w:sz w:val="14"/>
              </w:rPr>
              <w:t>case</w:t>
            </w:r>
          </w:p>
        </w:tc>
        <w:tc>
          <w:tcPr>
            <w:tcW w:type="dxa" w:w="3744"/>
            <w:tcMar>
              <w:top w:w="90" w:type="dxa"/>
              <w:start w:w="100" w:type="dxa"/>
              <w:bottom w:w="90" w:type="dxa"/>
              <w:end w:w="100" w:type="dxa"/>
            </w:tcMar>
            <w:vAlign w:val="top"/>
          </w:tcPr>
          <w:p>
            <w:r>
              <w:rPr>
                <w:b w:val="0"/>
                <w:i w:val="0"/>
                <w:color w:val="1F252B"/>
                <w:sz w:val="14"/>
              </w:rPr>
              <w:t>A defined advisory engagement or strategic question</w:t>
            </w:r>
          </w:p>
        </w:tc>
        <w:tc>
          <w:tcPr>
            <w:tcW w:type="dxa" w:w="4032"/>
            <w:tcMar>
              <w:top w:w="90" w:type="dxa"/>
              <w:start w:w="100" w:type="dxa"/>
              <w:bottom w:w="90" w:type="dxa"/>
              <w:end w:w="100" w:type="dxa"/>
            </w:tcMar>
            <w:vAlign w:val="top"/>
          </w:tcPr>
          <w:p>
            <w:r>
              <w:rPr>
                <w:b w:val="0"/>
                <w:i w:val="0"/>
                <w:color w:val="1F252B"/>
                <w:sz w:val="14"/>
              </w:rPr>
              <w:t>Contains framework stages, deliverables and firm opportunities</w:t>
            </w:r>
          </w:p>
        </w:tc>
      </w:tr>
      <w:tr>
        <w:tc>
          <w:tcPr>
            <w:tcW w:type="dxa" w:w="2016"/>
            <w:tcMar>
              <w:top w:w="90" w:type="dxa"/>
              <w:start w:w="100" w:type="dxa"/>
              <w:bottom w:w="90" w:type="dxa"/>
              <w:end w:w="100" w:type="dxa"/>
            </w:tcMar>
            <w:shd w:fill="F5F7FA"/>
            <w:vAlign w:val="top"/>
          </w:tcPr>
          <w:p>
            <w:r>
              <w:rPr>
                <w:b w:val="0"/>
                <w:i w:val="0"/>
                <w:color w:val="1F252B"/>
                <w:sz w:val="14"/>
              </w:rPr>
              <w:t>firm_opportunity</w:t>
            </w:r>
          </w:p>
        </w:tc>
        <w:tc>
          <w:tcPr>
            <w:tcW w:type="dxa" w:w="3744"/>
            <w:tcMar>
              <w:top w:w="90" w:type="dxa"/>
              <w:start w:w="100" w:type="dxa"/>
              <w:bottom w:w="90" w:type="dxa"/>
              <w:end w:w="100" w:type="dxa"/>
            </w:tcMar>
            <w:shd w:fill="F5F7FA"/>
            <w:vAlign w:val="top"/>
          </w:tcPr>
          <w:p>
            <w:r>
              <w:rPr>
                <w:b w:val="0"/>
                <w:i w:val="0"/>
                <w:color w:val="1F252B"/>
                <w:sz w:val="14"/>
              </w:rPr>
              <w:t>One destination or current-firm option in a case</w:t>
            </w:r>
          </w:p>
        </w:tc>
        <w:tc>
          <w:tcPr>
            <w:tcW w:type="dxa" w:w="4032"/>
            <w:tcMar>
              <w:top w:w="90" w:type="dxa"/>
              <w:start w:w="100" w:type="dxa"/>
              <w:bottom w:w="90" w:type="dxa"/>
              <w:end w:w="100" w:type="dxa"/>
            </w:tcMar>
            <w:shd w:fill="F5F7FA"/>
            <w:vAlign w:val="top"/>
          </w:tcPr>
          <w:p>
            <w:r>
              <w:rPr>
                <w:b w:val="0"/>
                <w:i w:val="0"/>
                <w:color w:val="1F252B"/>
                <w:sz w:val="14"/>
              </w:rPr>
              <w:t>Has meetings, proposal, status and fit analysis</w:t>
            </w:r>
          </w:p>
        </w:tc>
      </w:tr>
      <w:tr>
        <w:tc>
          <w:tcPr>
            <w:tcW w:type="dxa" w:w="2016"/>
            <w:tcMar>
              <w:top w:w="90" w:type="dxa"/>
              <w:start w:w="100" w:type="dxa"/>
              <w:bottom w:w="90" w:type="dxa"/>
              <w:end w:w="100" w:type="dxa"/>
            </w:tcMar>
            <w:vAlign w:val="top"/>
          </w:tcPr>
          <w:p>
            <w:r>
              <w:rPr>
                <w:b w:val="0"/>
                <w:i w:val="0"/>
                <w:color w:val="1F252B"/>
                <w:sz w:val="14"/>
              </w:rPr>
              <w:t>firm_intelligence_item</w:t>
            </w:r>
          </w:p>
        </w:tc>
        <w:tc>
          <w:tcPr>
            <w:tcW w:type="dxa" w:w="3744"/>
            <w:tcMar>
              <w:top w:w="90" w:type="dxa"/>
              <w:start w:w="100" w:type="dxa"/>
              <w:bottom w:w="90" w:type="dxa"/>
              <w:end w:w="100" w:type="dxa"/>
            </w:tcMar>
            <w:vAlign w:val="top"/>
          </w:tcPr>
          <w:p>
            <w:r>
              <w:rPr>
                <w:b w:val="0"/>
                <w:i w:val="0"/>
                <w:color w:val="1F252B"/>
                <w:sz w:val="14"/>
              </w:rPr>
              <w:t>A dated fact, representation or analysis about a firm</w:t>
            </w:r>
          </w:p>
        </w:tc>
        <w:tc>
          <w:tcPr>
            <w:tcW w:type="dxa" w:w="4032"/>
            <w:tcMar>
              <w:top w:w="90" w:type="dxa"/>
              <w:start w:w="100" w:type="dxa"/>
              <w:bottom w:w="90" w:type="dxa"/>
              <w:end w:w="100" w:type="dxa"/>
            </w:tcMar>
            <w:vAlign w:val="top"/>
          </w:tcPr>
          <w:p>
            <w:r>
              <w:rPr>
                <w:b w:val="0"/>
                <w:i w:val="0"/>
                <w:color w:val="1F252B"/>
                <w:sz w:val="14"/>
              </w:rPr>
              <w:t>Links source, confidence, topic and expiration</w:t>
            </w:r>
          </w:p>
        </w:tc>
      </w:tr>
      <w:tr>
        <w:tc>
          <w:tcPr>
            <w:tcW w:type="dxa" w:w="2016"/>
            <w:tcMar>
              <w:top w:w="90" w:type="dxa"/>
              <w:start w:w="100" w:type="dxa"/>
              <w:bottom w:w="90" w:type="dxa"/>
              <w:end w:w="100" w:type="dxa"/>
            </w:tcMar>
            <w:shd w:fill="F5F7FA"/>
            <w:vAlign w:val="top"/>
          </w:tcPr>
          <w:p>
            <w:r>
              <w:rPr>
                <w:b w:val="0"/>
                <w:i w:val="0"/>
                <w:color w:val="1F252B"/>
                <w:sz w:val="14"/>
              </w:rPr>
              <w:t>meeting</w:t>
            </w:r>
          </w:p>
        </w:tc>
        <w:tc>
          <w:tcPr>
            <w:tcW w:type="dxa" w:w="3744"/>
            <w:tcMar>
              <w:top w:w="90" w:type="dxa"/>
              <w:start w:w="100" w:type="dxa"/>
              <w:bottom w:w="90" w:type="dxa"/>
              <w:end w:w="100" w:type="dxa"/>
            </w:tcMar>
            <w:shd w:fill="F5F7FA"/>
            <w:vAlign w:val="top"/>
          </w:tcPr>
          <w:p>
            <w:r>
              <w:rPr>
                <w:b w:val="0"/>
                <w:i w:val="0"/>
                <w:color w:val="1F252B"/>
                <w:sz w:val="14"/>
              </w:rPr>
              <w:t>Scheduled or completed interaction</w:t>
            </w:r>
          </w:p>
        </w:tc>
        <w:tc>
          <w:tcPr>
            <w:tcW w:type="dxa" w:w="4032"/>
            <w:tcMar>
              <w:top w:w="90" w:type="dxa"/>
              <w:start w:w="100" w:type="dxa"/>
              <w:bottom w:w="90" w:type="dxa"/>
              <w:end w:w="100" w:type="dxa"/>
            </w:tcMar>
            <w:shd w:fill="F5F7FA"/>
            <w:vAlign w:val="top"/>
          </w:tcPr>
          <w:p>
            <w:r>
              <w:rPr>
                <w:b w:val="0"/>
                <w:i w:val="0"/>
                <w:color w:val="1F252B"/>
                <w:sz w:val="14"/>
              </w:rPr>
              <w:t>Links case, opportunity, participants and notes</w:t>
            </w:r>
          </w:p>
        </w:tc>
      </w:tr>
      <w:tr>
        <w:tc>
          <w:tcPr>
            <w:tcW w:type="dxa" w:w="2016"/>
            <w:tcMar>
              <w:top w:w="90" w:type="dxa"/>
              <w:start w:w="100" w:type="dxa"/>
              <w:bottom w:w="90" w:type="dxa"/>
              <w:end w:w="100" w:type="dxa"/>
            </w:tcMar>
            <w:vAlign w:val="top"/>
          </w:tcPr>
          <w:p>
            <w:r>
              <w:rPr>
                <w:b w:val="0"/>
                <w:i w:val="0"/>
                <w:color w:val="1F252B"/>
                <w:sz w:val="14"/>
              </w:rPr>
              <w:t>task</w:t>
            </w:r>
          </w:p>
        </w:tc>
        <w:tc>
          <w:tcPr>
            <w:tcW w:type="dxa" w:w="3744"/>
            <w:tcMar>
              <w:top w:w="90" w:type="dxa"/>
              <w:start w:w="100" w:type="dxa"/>
              <w:bottom w:w="90" w:type="dxa"/>
              <w:end w:w="100" w:type="dxa"/>
            </w:tcMar>
            <w:vAlign w:val="top"/>
          </w:tcPr>
          <w:p>
            <w:r>
              <w:rPr>
                <w:b w:val="0"/>
                <w:i w:val="0"/>
                <w:color w:val="1F252B"/>
                <w:sz w:val="14"/>
              </w:rPr>
              <w:t>Owned next action with due date</w:t>
            </w:r>
          </w:p>
        </w:tc>
        <w:tc>
          <w:tcPr>
            <w:tcW w:type="dxa" w:w="4032"/>
            <w:tcMar>
              <w:top w:w="90" w:type="dxa"/>
              <w:start w:w="100" w:type="dxa"/>
              <w:bottom w:w="90" w:type="dxa"/>
              <w:end w:w="100" w:type="dxa"/>
            </w:tcMar>
            <w:vAlign w:val="top"/>
          </w:tcPr>
          <w:p>
            <w:r>
              <w:rPr>
                <w:b w:val="0"/>
                <w:i w:val="0"/>
                <w:color w:val="1F252B"/>
                <w:sz w:val="14"/>
              </w:rPr>
              <w:t>Links any operational record</w:t>
            </w:r>
          </w:p>
        </w:tc>
      </w:tr>
      <w:tr>
        <w:tc>
          <w:tcPr>
            <w:tcW w:type="dxa" w:w="2016"/>
            <w:tcMar>
              <w:top w:w="90" w:type="dxa"/>
              <w:start w:w="100" w:type="dxa"/>
              <w:bottom w:w="90" w:type="dxa"/>
              <w:end w:w="100" w:type="dxa"/>
            </w:tcMar>
            <w:shd w:fill="F5F7FA"/>
            <w:vAlign w:val="top"/>
          </w:tcPr>
          <w:p>
            <w:r>
              <w:rPr>
                <w:b w:val="0"/>
                <w:i w:val="0"/>
                <w:color w:val="1F252B"/>
                <w:sz w:val="14"/>
              </w:rPr>
              <w:t>document</w:t>
            </w:r>
          </w:p>
        </w:tc>
        <w:tc>
          <w:tcPr>
            <w:tcW w:type="dxa" w:w="3744"/>
            <w:tcMar>
              <w:top w:w="90" w:type="dxa"/>
              <w:start w:w="100" w:type="dxa"/>
              <w:bottom w:w="90" w:type="dxa"/>
              <w:end w:w="100" w:type="dxa"/>
            </w:tcMar>
            <w:shd w:fill="F5F7FA"/>
            <w:vAlign w:val="top"/>
          </w:tcPr>
          <w:p>
            <w:r>
              <w:rPr>
                <w:b w:val="0"/>
                <w:i w:val="0"/>
                <w:color w:val="1F252B"/>
                <w:sz w:val="14"/>
              </w:rPr>
              <w:t>Metadata for secure file, version and access</w:t>
            </w:r>
          </w:p>
        </w:tc>
        <w:tc>
          <w:tcPr>
            <w:tcW w:type="dxa" w:w="4032"/>
            <w:tcMar>
              <w:top w:w="90" w:type="dxa"/>
              <w:start w:w="100" w:type="dxa"/>
              <w:bottom w:w="90" w:type="dxa"/>
              <w:end w:w="100" w:type="dxa"/>
            </w:tcMar>
            <w:shd w:fill="F5F7FA"/>
            <w:vAlign w:val="top"/>
          </w:tcPr>
          <w:p>
            <w:r>
              <w:rPr>
                <w:b w:val="0"/>
                <w:i w:val="0"/>
                <w:color w:val="1F252B"/>
                <w:sz w:val="14"/>
              </w:rPr>
              <w:t>Links case, proposal, model or deliverable</w:t>
            </w:r>
          </w:p>
        </w:tc>
      </w:tr>
      <w:tr>
        <w:tc>
          <w:tcPr>
            <w:tcW w:type="dxa" w:w="2016"/>
            <w:tcMar>
              <w:top w:w="90" w:type="dxa"/>
              <w:start w:w="100" w:type="dxa"/>
              <w:bottom w:w="90" w:type="dxa"/>
              <w:end w:w="100" w:type="dxa"/>
            </w:tcMar>
            <w:vAlign w:val="top"/>
          </w:tcPr>
          <w:p>
            <w:r>
              <w:rPr>
                <w:b w:val="0"/>
                <w:i w:val="0"/>
                <w:color w:val="1F252B"/>
                <w:sz w:val="14"/>
              </w:rPr>
              <w:t>economic_model</w:t>
            </w:r>
          </w:p>
        </w:tc>
        <w:tc>
          <w:tcPr>
            <w:tcW w:type="dxa" w:w="3744"/>
            <w:tcMar>
              <w:top w:w="90" w:type="dxa"/>
              <w:start w:w="100" w:type="dxa"/>
              <w:bottom w:w="90" w:type="dxa"/>
              <w:end w:w="100" w:type="dxa"/>
            </w:tcMar>
            <w:vAlign w:val="top"/>
          </w:tcPr>
          <w:p>
            <w:r>
              <w:rPr>
                <w:b w:val="0"/>
                <w:i w:val="0"/>
                <w:color w:val="1F252B"/>
                <w:sz w:val="14"/>
              </w:rPr>
              <w:t>Versioned assumptions and outputs</w:t>
            </w:r>
          </w:p>
        </w:tc>
        <w:tc>
          <w:tcPr>
            <w:tcW w:type="dxa" w:w="4032"/>
            <w:tcMar>
              <w:top w:w="90" w:type="dxa"/>
              <w:start w:w="100" w:type="dxa"/>
              <w:bottom w:w="90" w:type="dxa"/>
              <w:end w:w="100" w:type="dxa"/>
            </w:tcMar>
            <w:vAlign w:val="top"/>
          </w:tcPr>
          <w:p>
            <w:r>
              <w:rPr>
                <w:b w:val="0"/>
                <w:i w:val="0"/>
                <w:color w:val="1F252B"/>
                <w:sz w:val="14"/>
              </w:rPr>
              <w:t>Links current baseline and firm opportunity</w:t>
            </w:r>
          </w:p>
        </w:tc>
      </w:tr>
      <w:tr>
        <w:tc>
          <w:tcPr>
            <w:tcW w:type="dxa" w:w="2016"/>
            <w:tcMar>
              <w:top w:w="90" w:type="dxa"/>
              <w:start w:w="100" w:type="dxa"/>
              <w:bottom w:w="90" w:type="dxa"/>
              <w:end w:w="100" w:type="dxa"/>
            </w:tcMar>
            <w:shd w:fill="F5F7FA"/>
            <w:vAlign w:val="top"/>
          </w:tcPr>
          <w:p>
            <w:r>
              <w:rPr>
                <w:b w:val="0"/>
                <w:i w:val="0"/>
                <w:color w:val="1F252B"/>
                <w:sz w:val="14"/>
              </w:rPr>
              <w:t>fee_event</w:t>
            </w:r>
          </w:p>
        </w:tc>
        <w:tc>
          <w:tcPr>
            <w:tcW w:type="dxa" w:w="3744"/>
            <w:tcMar>
              <w:top w:w="90" w:type="dxa"/>
              <w:start w:w="100" w:type="dxa"/>
              <w:bottom w:w="90" w:type="dxa"/>
              <w:end w:w="100" w:type="dxa"/>
            </w:tcMar>
            <w:shd w:fill="F5F7FA"/>
            <w:vAlign w:val="top"/>
          </w:tcPr>
          <w:p>
            <w:r>
              <w:rPr>
                <w:b w:val="0"/>
                <w:i w:val="0"/>
                <w:color w:val="1F252B"/>
                <w:sz w:val="14"/>
              </w:rPr>
              <w:t>Expected, invoiced, paid, step-up or clawback amount</w:t>
            </w:r>
          </w:p>
        </w:tc>
        <w:tc>
          <w:tcPr>
            <w:tcW w:type="dxa" w:w="4032"/>
            <w:tcMar>
              <w:top w:w="90" w:type="dxa"/>
              <w:start w:w="100" w:type="dxa"/>
              <w:bottom w:w="90" w:type="dxa"/>
              <w:end w:w="100" w:type="dxa"/>
            </w:tcMar>
            <w:shd w:fill="F5F7FA"/>
            <w:vAlign w:val="top"/>
          </w:tcPr>
          <w:p>
            <w:r>
              <w:rPr>
                <w:b w:val="0"/>
                <w:i w:val="0"/>
                <w:color w:val="1F252B"/>
                <w:sz w:val="14"/>
              </w:rPr>
              <w:t>Links firm agreement, placement and case</w:t>
            </w:r>
          </w:p>
        </w:tc>
      </w:tr>
      <w:tr>
        <w:tc>
          <w:tcPr>
            <w:tcW w:type="dxa" w:w="2016"/>
            <w:tcMar>
              <w:top w:w="90" w:type="dxa"/>
              <w:start w:w="100" w:type="dxa"/>
              <w:bottom w:w="90" w:type="dxa"/>
              <w:end w:w="100" w:type="dxa"/>
            </w:tcMar>
            <w:vAlign w:val="top"/>
          </w:tcPr>
          <w:p>
            <w:r>
              <w:rPr>
                <w:b w:val="0"/>
                <w:i w:val="0"/>
                <w:color w:val="1F252B"/>
                <w:sz w:val="14"/>
              </w:rPr>
              <w:t>assessment</w:t>
            </w:r>
          </w:p>
        </w:tc>
        <w:tc>
          <w:tcPr>
            <w:tcW w:type="dxa" w:w="3744"/>
            <w:tcMar>
              <w:top w:w="90" w:type="dxa"/>
              <w:start w:w="100" w:type="dxa"/>
              <w:bottom w:w="90" w:type="dxa"/>
              <w:end w:w="100" w:type="dxa"/>
            </w:tcMar>
            <w:vAlign w:val="top"/>
          </w:tcPr>
          <w:p>
            <w:r>
              <w:rPr>
                <w:b w:val="0"/>
                <w:i w:val="0"/>
                <w:color w:val="1F252B"/>
                <w:sz w:val="14"/>
              </w:rPr>
              <w:t>Versioned questionnaire answers and result</w:t>
            </w:r>
          </w:p>
        </w:tc>
        <w:tc>
          <w:tcPr>
            <w:tcW w:type="dxa" w:w="4032"/>
            <w:tcMar>
              <w:top w:w="90" w:type="dxa"/>
              <w:start w:w="100" w:type="dxa"/>
              <w:bottom w:w="90" w:type="dxa"/>
              <w:end w:w="100" w:type="dxa"/>
            </w:tcMar>
            <w:vAlign w:val="top"/>
          </w:tcPr>
          <w:p>
            <w:r>
              <w:rPr>
                <w:b w:val="0"/>
                <w:i w:val="0"/>
                <w:color w:val="1F252B"/>
                <w:sz w:val="14"/>
              </w:rPr>
              <w:t>May create relationship or attach to case</w:t>
            </w:r>
          </w:p>
        </w:tc>
      </w:tr>
      <w:tr>
        <w:tc>
          <w:tcPr>
            <w:tcW w:type="dxa" w:w="2016"/>
            <w:tcMar>
              <w:top w:w="90" w:type="dxa"/>
              <w:start w:w="100" w:type="dxa"/>
              <w:bottom w:w="90" w:type="dxa"/>
              <w:end w:w="100" w:type="dxa"/>
            </w:tcMar>
            <w:shd w:fill="F5F7FA"/>
            <w:vAlign w:val="top"/>
          </w:tcPr>
          <w:p>
            <w:r>
              <w:rPr>
                <w:b w:val="0"/>
                <w:i w:val="0"/>
                <w:color w:val="1F252B"/>
                <w:sz w:val="14"/>
              </w:rPr>
              <w:t>portability_analysis</w:t>
            </w:r>
          </w:p>
        </w:tc>
        <w:tc>
          <w:tcPr>
            <w:tcW w:type="dxa" w:w="3744"/>
            <w:tcMar>
              <w:top w:w="90" w:type="dxa"/>
              <w:start w:w="100" w:type="dxa"/>
              <w:bottom w:w="90" w:type="dxa"/>
              <w:end w:w="100" w:type="dxa"/>
            </w:tcMar>
            <w:shd w:fill="F5F7FA"/>
            <w:vAlign w:val="top"/>
          </w:tcPr>
          <w:p>
            <w:r>
              <w:rPr>
                <w:b w:val="0"/>
                <w:i w:val="0"/>
                <w:color w:val="1F252B"/>
                <w:sz w:val="14"/>
              </w:rPr>
              <w:t>Book-level or aggregate analytical run</w:t>
            </w:r>
          </w:p>
        </w:tc>
        <w:tc>
          <w:tcPr>
            <w:tcW w:type="dxa" w:w="4032"/>
            <w:tcMar>
              <w:top w:w="90" w:type="dxa"/>
              <w:start w:w="100" w:type="dxa"/>
              <w:bottom w:w="90" w:type="dxa"/>
              <w:end w:w="100" w:type="dxa"/>
            </w:tcMar>
            <w:shd w:fill="F5F7FA"/>
            <w:vAlign w:val="top"/>
          </w:tcPr>
          <w:p>
            <w:r>
              <w:rPr>
                <w:b w:val="0"/>
                <w:i w:val="0"/>
                <w:color w:val="1F252B"/>
                <w:sz w:val="14"/>
              </w:rPr>
              <w:t>Links de-identified positions and firm compatibility</w:t>
            </w:r>
          </w:p>
        </w:tc>
      </w:tr>
      <w:tr>
        <w:tc>
          <w:tcPr>
            <w:tcW w:type="dxa" w:w="2016"/>
            <w:tcMar>
              <w:top w:w="90" w:type="dxa"/>
              <w:start w:w="100" w:type="dxa"/>
              <w:bottom w:w="90" w:type="dxa"/>
              <w:end w:w="100" w:type="dxa"/>
            </w:tcMar>
            <w:vAlign w:val="top"/>
          </w:tcPr>
          <w:p>
            <w:r>
              <w:rPr>
                <w:b w:val="0"/>
                <w:i w:val="0"/>
                <w:color w:val="1F252B"/>
                <w:sz w:val="14"/>
              </w:rPr>
              <w:t>continuity_opportunity</w:t>
            </w:r>
          </w:p>
        </w:tc>
        <w:tc>
          <w:tcPr>
            <w:tcW w:type="dxa" w:w="3744"/>
            <w:tcMar>
              <w:top w:w="90" w:type="dxa"/>
              <w:start w:w="100" w:type="dxa"/>
              <w:bottom w:w="90" w:type="dxa"/>
              <w:end w:w="100" w:type="dxa"/>
            </w:tcMar>
            <w:vAlign w:val="top"/>
          </w:tcPr>
          <w:p>
            <w:r>
              <w:rPr>
                <w:b w:val="0"/>
                <w:i w:val="0"/>
                <w:color w:val="1F252B"/>
                <w:sz w:val="14"/>
              </w:rPr>
              <w:t>Anonymous buy/sell/succession/talent need</w:t>
            </w:r>
          </w:p>
        </w:tc>
        <w:tc>
          <w:tcPr>
            <w:tcW w:type="dxa" w:w="4032"/>
            <w:tcMar>
              <w:top w:w="90" w:type="dxa"/>
              <w:start w:w="100" w:type="dxa"/>
              <w:bottom w:w="90" w:type="dxa"/>
              <w:end w:w="100" w:type="dxa"/>
            </w:tcMar>
            <w:vAlign w:val="top"/>
          </w:tcPr>
          <w:p>
            <w:r>
              <w:rPr>
                <w:b w:val="0"/>
                <w:i w:val="0"/>
                <w:color w:val="1F252B"/>
                <w:sz w:val="14"/>
              </w:rPr>
              <w:t>Links verified parties and matches</w:t>
            </w:r>
          </w:p>
        </w:tc>
      </w:tr>
      <w:tr>
        <w:tc>
          <w:tcPr>
            <w:tcW w:type="dxa" w:w="2016"/>
            <w:tcMar>
              <w:top w:w="90" w:type="dxa"/>
              <w:start w:w="100" w:type="dxa"/>
              <w:bottom w:w="90" w:type="dxa"/>
              <w:end w:w="100" w:type="dxa"/>
            </w:tcMar>
            <w:shd w:fill="F5F7FA"/>
            <w:vAlign w:val="top"/>
          </w:tcPr>
          <w:p>
            <w:r>
              <w:rPr>
                <w:b w:val="0"/>
                <w:i w:val="0"/>
                <w:color w:val="1F252B"/>
                <w:sz w:val="14"/>
              </w:rPr>
              <w:t>agent_run</w:t>
            </w:r>
          </w:p>
        </w:tc>
        <w:tc>
          <w:tcPr>
            <w:tcW w:type="dxa" w:w="3744"/>
            <w:tcMar>
              <w:top w:w="90" w:type="dxa"/>
              <w:start w:w="100" w:type="dxa"/>
              <w:bottom w:w="90" w:type="dxa"/>
              <w:end w:w="100" w:type="dxa"/>
            </w:tcMar>
            <w:shd w:fill="F5F7FA"/>
            <w:vAlign w:val="top"/>
          </w:tcPr>
          <w:p>
            <w:r>
              <w:rPr>
                <w:b w:val="0"/>
                <w:i w:val="0"/>
                <w:color w:val="1F252B"/>
                <w:sz w:val="14"/>
              </w:rPr>
              <w:t>AI task with inputs, permissions, output and approval</w:t>
            </w:r>
          </w:p>
        </w:tc>
        <w:tc>
          <w:tcPr>
            <w:tcW w:type="dxa" w:w="4032"/>
            <w:tcMar>
              <w:top w:w="90" w:type="dxa"/>
              <w:start w:w="100" w:type="dxa"/>
              <w:bottom w:w="90" w:type="dxa"/>
              <w:end w:w="100" w:type="dxa"/>
            </w:tcMar>
            <w:shd w:fill="F5F7FA"/>
            <w:vAlign w:val="top"/>
          </w:tcPr>
          <w:p>
            <w:r>
              <w:rPr>
                <w:b w:val="0"/>
                <w:i w:val="0"/>
                <w:color w:val="1F252B"/>
                <w:sz w:val="14"/>
              </w:rPr>
              <w:t>Links source records without becoming source of truth</w:t>
            </w:r>
          </w:p>
        </w:tc>
      </w:tr>
    </w:tbl>
    <w:p>
      <w:pPr>
        <w:pStyle w:val="Heading1"/>
      </w:pPr>
      <w:r>
        <w:t>04  Advisor and Relationship Model</w:t>
      </w:r>
    </w:p>
    <w:p>
      <w:pPr>
        <w:pStyle w:val="Heading2"/>
      </w:pPr>
      <w:r>
        <w:t>Advisor profile fields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800"/>
            <w:shd w:fill="12263F"/>
            <w:tcMar>
              <w:top w:w="90" w:type="dxa"/>
              <w:start w:w="100" w:type="dxa"/>
              <w:bottom w:w="90" w:type="dxa"/>
              <w:end w:w="100" w:type="dxa"/>
            </w:tcMar>
            <w:vAlign w:val="center"/>
          </w:tcPr>
          <w:p>
            <w:r>
              <w:rPr>
                <w:b/>
                <w:i w:val="0"/>
                <w:color w:val="FFFFFF"/>
                <w:sz w:val="15"/>
              </w:rPr>
              <w:t>Field group</w:t>
            </w:r>
          </w:p>
        </w:tc>
        <w:tc>
          <w:tcPr>
            <w:tcW w:type="dxa" w:w="4752"/>
            <w:shd w:fill="12263F"/>
            <w:tcMar>
              <w:top w:w="90" w:type="dxa"/>
              <w:start w:w="100" w:type="dxa"/>
              <w:bottom w:w="90" w:type="dxa"/>
              <w:end w:w="100" w:type="dxa"/>
            </w:tcMar>
            <w:vAlign w:val="center"/>
          </w:tcPr>
          <w:p>
            <w:r>
              <w:rPr>
                <w:b/>
                <w:i w:val="0"/>
                <w:color w:val="FFFFFF"/>
                <w:sz w:val="15"/>
              </w:rPr>
              <w:t>Examples</w:t>
            </w:r>
          </w:p>
        </w:tc>
        <w:tc>
          <w:tcPr>
            <w:tcW w:type="dxa" w:w="3240"/>
            <w:shd w:fill="12263F"/>
            <w:tcMar>
              <w:top w:w="90" w:type="dxa"/>
              <w:start w:w="100" w:type="dxa"/>
              <w:bottom w:w="90" w:type="dxa"/>
              <w:end w:w="100" w:type="dxa"/>
            </w:tcMar>
            <w:vAlign w:val="center"/>
          </w:tcPr>
          <w:p>
            <w:r>
              <w:rPr>
                <w:b/>
                <w:i w:val="0"/>
                <w:color w:val="FFFFFF"/>
                <w:sz w:val="15"/>
              </w:rPr>
              <w:t>Handling</w:t>
            </w:r>
          </w:p>
        </w:tc>
      </w:tr>
      <w:tr>
        <w:tc>
          <w:tcPr>
            <w:tcW w:type="dxa" w:w="1800"/>
            <w:tcMar>
              <w:top w:w="90" w:type="dxa"/>
              <w:start w:w="100" w:type="dxa"/>
              <w:bottom w:w="90" w:type="dxa"/>
              <w:end w:w="100" w:type="dxa"/>
            </w:tcMar>
            <w:vAlign w:val="top"/>
          </w:tcPr>
          <w:p>
            <w:r>
              <w:rPr>
                <w:b w:val="0"/>
                <w:i w:val="0"/>
                <w:color w:val="1F252B"/>
                <w:sz w:val="15"/>
              </w:rPr>
              <w:t>Identity</w:t>
            </w:r>
          </w:p>
        </w:tc>
        <w:tc>
          <w:tcPr>
            <w:tcW w:type="dxa" w:w="4752"/>
            <w:tcMar>
              <w:top w:w="90" w:type="dxa"/>
              <w:start w:w="100" w:type="dxa"/>
              <w:bottom w:w="90" w:type="dxa"/>
              <w:end w:w="100" w:type="dxa"/>
            </w:tcMar>
            <w:vAlign w:val="top"/>
          </w:tcPr>
          <w:p>
            <w:r>
              <w:rPr>
                <w:b w:val="0"/>
                <w:i w:val="0"/>
                <w:color w:val="1F252B"/>
                <w:sz w:val="15"/>
              </w:rPr>
              <w:t>name, CRD, current firm, market, contact channels</w:t>
            </w:r>
          </w:p>
        </w:tc>
        <w:tc>
          <w:tcPr>
            <w:tcW w:type="dxa" w:w="3240"/>
            <w:tcMar>
              <w:top w:w="90" w:type="dxa"/>
              <w:start w:w="100" w:type="dxa"/>
              <w:bottom w:w="90" w:type="dxa"/>
              <w:end w:w="100" w:type="dxa"/>
            </w:tcMar>
            <w:vAlign w:val="top"/>
          </w:tcPr>
          <w:p>
            <w:r>
              <w:rPr>
                <w:b w:val="0"/>
                <w:i w:val="0"/>
                <w:color w:val="1F252B"/>
                <w:sz w:val="15"/>
              </w:rPr>
              <w:t>CRD verification status and date recorded separately</w:t>
            </w:r>
          </w:p>
        </w:tc>
      </w:tr>
      <w:tr>
        <w:tc>
          <w:tcPr>
            <w:tcW w:type="dxa" w:w="1800"/>
            <w:tcMar>
              <w:top w:w="90" w:type="dxa"/>
              <w:start w:w="100" w:type="dxa"/>
              <w:bottom w:w="90" w:type="dxa"/>
              <w:end w:w="100" w:type="dxa"/>
            </w:tcMar>
            <w:shd w:fill="F5F7FA"/>
            <w:vAlign w:val="top"/>
          </w:tcPr>
          <w:p>
            <w:r>
              <w:rPr>
                <w:b w:val="0"/>
                <w:i w:val="0"/>
                <w:color w:val="1F252B"/>
                <w:sz w:val="15"/>
              </w:rPr>
              <w:t>Practice scale</w:t>
            </w:r>
          </w:p>
        </w:tc>
        <w:tc>
          <w:tcPr>
            <w:tcW w:type="dxa" w:w="4752"/>
            <w:tcMar>
              <w:top w:w="90" w:type="dxa"/>
              <w:start w:w="100" w:type="dxa"/>
              <w:bottom w:w="90" w:type="dxa"/>
              <w:end w:w="100" w:type="dxa"/>
            </w:tcMar>
            <w:shd w:fill="F5F7FA"/>
            <w:vAlign w:val="top"/>
          </w:tcPr>
          <w:p>
            <w:r>
              <w:rPr>
                <w:b w:val="0"/>
                <w:i w:val="0"/>
                <w:color w:val="1F252B"/>
                <w:sz w:val="15"/>
              </w:rPr>
              <w:t>T12/TTMP, AUM, households, recurring mix, growth</w:t>
            </w:r>
          </w:p>
        </w:tc>
        <w:tc>
          <w:tcPr>
            <w:tcW w:type="dxa" w:w="3240"/>
            <w:tcMar>
              <w:top w:w="90" w:type="dxa"/>
              <w:start w:w="100" w:type="dxa"/>
              <w:bottom w:w="90" w:type="dxa"/>
              <w:end w:w="100" w:type="dxa"/>
            </w:tcMar>
            <w:shd w:fill="F5F7FA"/>
            <w:vAlign w:val="top"/>
          </w:tcPr>
          <w:p>
            <w:r>
              <w:rPr>
                <w:b w:val="0"/>
                <w:i w:val="0"/>
                <w:color w:val="1F252B"/>
                <w:sz w:val="15"/>
              </w:rPr>
              <w:t>Values include as-of date, range/exact flag and source</w:t>
            </w:r>
          </w:p>
        </w:tc>
      </w:tr>
      <w:tr>
        <w:tc>
          <w:tcPr>
            <w:tcW w:type="dxa" w:w="1800"/>
            <w:tcMar>
              <w:top w:w="90" w:type="dxa"/>
              <w:start w:w="100" w:type="dxa"/>
              <w:bottom w:w="90" w:type="dxa"/>
              <w:end w:w="100" w:type="dxa"/>
            </w:tcMar>
            <w:vAlign w:val="top"/>
          </w:tcPr>
          <w:p>
            <w:r>
              <w:rPr>
                <w:b w:val="0"/>
                <w:i w:val="0"/>
                <w:color w:val="1F252B"/>
                <w:sz w:val="15"/>
              </w:rPr>
              <w:t>Book origin</w:t>
            </w:r>
          </w:p>
        </w:tc>
        <w:tc>
          <w:tcPr>
            <w:tcW w:type="dxa" w:w="4752"/>
            <w:tcMar>
              <w:top w:w="90" w:type="dxa"/>
              <w:start w:w="100" w:type="dxa"/>
              <w:bottom w:w="90" w:type="dxa"/>
              <w:end w:w="100" w:type="dxa"/>
            </w:tcMar>
            <w:vAlign w:val="top"/>
          </w:tcPr>
          <w:p>
            <w:r>
              <w:rPr>
                <w:b w:val="0"/>
                <w:i w:val="0"/>
                <w:color w:val="1F252B"/>
                <w:sz w:val="15"/>
              </w:rPr>
              <w:t>self-built %, inherited, purchased, team-generated, firm-generated</w:t>
            </w:r>
          </w:p>
        </w:tc>
        <w:tc>
          <w:tcPr>
            <w:tcW w:type="dxa" w:w="3240"/>
            <w:tcMar>
              <w:top w:w="90" w:type="dxa"/>
              <w:start w:w="100" w:type="dxa"/>
              <w:bottom w:w="90" w:type="dxa"/>
              <w:end w:w="100" w:type="dxa"/>
            </w:tcMar>
            <w:vAlign w:val="top"/>
          </w:tcPr>
          <w:p>
            <w:r>
              <w:rPr>
                <w:b w:val="0"/>
                <w:i w:val="0"/>
                <w:color w:val="1F252B"/>
                <w:sz w:val="15"/>
              </w:rPr>
              <w:t>Advisor estimate unless verified</w:t>
            </w:r>
          </w:p>
        </w:tc>
      </w:tr>
      <w:tr>
        <w:tc>
          <w:tcPr>
            <w:tcW w:type="dxa" w:w="1800"/>
            <w:tcMar>
              <w:top w:w="90" w:type="dxa"/>
              <w:start w:w="100" w:type="dxa"/>
              <w:bottom w:w="90" w:type="dxa"/>
              <w:end w:w="100" w:type="dxa"/>
            </w:tcMar>
            <w:shd w:fill="F5F7FA"/>
            <w:vAlign w:val="top"/>
          </w:tcPr>
          <w:p>
            <w:r>
              <w:rPr>
                <w:b w:val="0"/>
                <w:i w:val="0"/>
                <w:color w:val="1F252B"/>
                <w:sz w:val="15"/>
              </w:rPr>
              <w:t>Team</w:t>
            </w:r>
          </w:p>
        </w:tc>
        <w:tc>
          <w:tcPr>
            <w:tcW w:type="dxa" w:w="4752"/>
            <w:tcMar>
              <w:top w:w="90" w:type="dxa"/>
              <w:start w:w="100" w:type="dxa"/>
              <w:bottom w:w="90" w:type="dxa"/>
              <w:end w:w="100" w:type="dxa"/>
            </w:tcMar>
            <w:shd w:fill="F5F7FA"/>
            <w:vAlign w:val="top"/>
          </w:tcPr>
          <w:p>
            <w:r>
              <w:rPr>
                <w:b w:val="0"/>
                <w:i w:val="0"/>
                <w:color w:val="1F252B"/>
                <w:sz w:val="15"/>
              </w:rPr>
              <w:t>members, roles, splits, agreements, successor status</w:t>
            </w:r>
          </w:p>
        </w:tc>
        <w:tc>
          <w:tcPr>
            <w:tcW w:type="dxa" w:w="3240"/>
            <w:tcMar>
              <w:top w:w="90" w:type="dxa"/>
              <w:start w:w="100" w:type="dxa"/>
              <w:bottom w:w="90" w:type="dxa"/>
              <w:end w:w="100" w:type="dxa"/>
            </w:tcMar>
            <w:shd w:fill="F5F7FA"/>
            <w:vAlign w:val="top"/>
          </w:tcPr>
          <w:p>
            <w:r>
              <w:rPr>
                <w:b w:val="0"/>
                <w:i w:val="0"/>
                <w:color w:val="1F252B"/>
                <w:sz w:val="15"/>
              </w:rPr>
              <w:t>Team members are separate people, not free text only</w:t>
            </w:r>
          </w:p>
        </w:tc>
      </w:tr>
      <w:tr>
        <w:tc>
          <w:tcPr>
            <w:tcW w:type="dxa" w:w="1800"/>
            <w:tcMar>
              <w:top w:w="90" w:type="dxa"/>
              <w:start w:w="100" w:type="dxa"/>
              <w:bottom w:w="90" w:type="dxa"/>
              <w:end w:w="100" w:type="dxa"/>
            </w:tcMar>
            <w:vAlign w:val="top"/>
          </w:tcPr>
          <w:p>
            <w:r>
              <w:rPr>
                <w:b w:val="0"/>
                <w:i w:val="0"/>
                <w:color w:val="1F252B"/>
                <w:sz w:val="15"/>
              </w:rPr>
              <w:t>Clients</w:t>
            </w:r>
          </w:p>
        </w:tc>
        <w:tc>
          <w:tcPr>
            <w:tcW w:type="dxa" w:w="4752"/>
            <w:tcMar>
              <w:top w:w="90" w:type="dxa"/>
              <w:start w:w="100" w:type="dxa"/>
              <w:bottom w:w="90" w:type="dxa"/>
              <w:end w:w="100" w:type="dxa"/>
            </w:tcMar>
            <w:vAlign w:val="top"/>
          </w:tcPr>
          <w:p>
            <w:r>
              <w:rPr>
                <w:b w:val="0"/>
                <w:i w:val="0"/>
                <w:color w:val="1F252B"/>
                <w:sz w:val="15"/>
              </w:rPr>
              <w:t>segments, concentration, demographics, capabilities used</w:t>
            </w:r>
          </w:p>
        </w:tc>
        <w:tc>
          <w:tcPr>
            <w:tcW w:type="dxa" w:w="3240"/>
            <w:tcMar>
              <w:top w:w="90" w:type="dxa"/>
              <w:start w:w="100" w:type="dxa"/>
              <w:bottom w:w="90" w:type="dxa"/>
              <w:end w:w="100" w:type="dxa"/>
            </w:tcMar>
            <w:vAlign w:val="top"/>
          </w:tcPr>
          <w:p>
            <w:r>
              <w:rPr>
                <w:b w:val="0"/>
                <w:i w:val="0"/>
                <w:color w:val="1F252B"/>
                <w:sz w:val="15"/>
              </w:rPr>
              <w:t>Aggregate descriptions only in initial model</w:t>
            </w:r>
          </w:p>
        </w:tc>
      </w:tr>
      <w:tr>
        <w:tc>
          <w:tcPr>
            <w:tcW w:type="dxa" w:w="1800"/>
            <w:tcMar>
              <w:top w:w="90" w:type="dxa"/>
              <w:start w:w="100" w:type="dxa"/>
              <w:bottom w:w="90" w:type="dxa"/>
              <w:end w:w="100" w:type="dxa"/>
            </w:tcMar>
            <w:shd w:fill="F5F7FA"/>
            <w:vAlign w:val="top"/>
          </w:tcPr>
          <w:p>
            <w:r>
              <w:rPr>
                <w:b w:val="0"/>
                <w:i w:val="0"/>
                <w:color w:val="1F252B"/>
                <w:sz w:val="15"/>
              </w:rPr>
              <w:t>Strategy</w:t>
            </w:r>
          </w:p>
        </w:tc>
        <w:tc>
          <w:tcPr>
            <w:tcW w:type="dxa" w:w="4752"/>
            <w:tcMar>
              <w:top w:w="90" w:type="dxa"/>
              <w:start w:w="100" w:type="dxa"/>
              <w:bottom w:w="90" w:type="dxa"/>
              <w:end w:w="100" w:type="dxa"/>
            </w:tcMar>
            <w:shd w:fill="F5F7FA"/>
            <w:vAlign w:val="top"/>
          </w:tcPr>
          <w:p>
            <w:r>
              <w:rPr>
                <w:b w:val="0"/>
                <w:i w:val="0"/>
                <w:color w:val="1F252B"/>
                <w:sz w:val="15"/>
              </w:rPr>
              <w:t>primary trigger, Vision, Objectives, model preferences, timing</w:t>
            </w:r>
          </w:p>
        </w:tc>
        <w:tc>
          <w:tcPr>
            <w:tcW w:type="dxa" w:w="3240"/>
            <w:tcMar>
              <w:top w:w="90" w:type="dxa"/>
              <w:start w:w="100" w:type="dxa"/>
              <w:bottom w:w="90" w:type="dxa"/>
              <w:end w:w="100" w:type="dxa"/>
            </w:tcMar>
            <w:shd w:fill="F5F7FA"/>
            <w:vAlign w:val="top"/>
          </w:tcPr>
          <w:p>
            <w:r>
              <w:rPr>
                <w:b w:val="0"/>
                <w:i w:val="0"/>
                <w:color w:val="1F252B"/>
                <w:sz w:val="15"/>
              </w:rPr>
              <w:t>Case-specific items should live in case records</w:t>
            </w:r>
          </w:p>
        </w:tc>
      </w:tr>
      <w:tr>
        <w:tc>
          <w:tcPr>
            <w:tcW w:type="dxa" w:w="1800"/>
            <w:tcMar>
              <w:top w:w="90" w:type="dxa"/>
              <w:start w:w="100" w:type="dxa"/>
              <w:bottom w:w="90" w:type="dxa"/>
              <w:end w:w="100" w:type="dxa"/>
            </w:tcMar>
            <w:vAlign w:val="top"/>
          </w:tcPr>
          <w:p>
            <w:r>
              <w:rPr>
                <w:b w:val="0"/>
                <w:i w:val="0"/>
                <w:color w:val="1F252B"/>
                <w:sz w:val="15"/>
              </w:rPr>
              <w:t>Restrictions</w:t>
            </w:r>
          </w:p>
        </w:tc>
        <w:tc>
          <w:tcPr>
            <w:tcW w:type="dxa" w:w="4752"/>
            <w:tcMar>
              <w:top w:w="90" w:type="dxa"/>
              <w:start w:w="100" w:type="dxa"/>
              <w:bottom w:w="90" w:type="dxa"/>
              <w:end w:w="100" w:type="dxa"/>
            </w:tcMar>
            <w:vAlign w:val="top"/>
          </w:tcPr>
          <w:p>
            <w:r>
              <w:rPr>
                <w:b w:val="0"/>
                <w:i w:val="0"/>
                <w:color w:val="1F252B"/>
                <w:sz w:val="15"/>
              </w:rPr>
              <w:t>deferred comp, agreements, contractual issues, off-limits firms</w:t>
            </w:r>
          </w:p>
        </w:tc>
        <w:tc>
          <w:tcPr>
            <w:tcW w:type="dxa" w:w="3240"/>
            <w:tcMar>
              <w:top w:w="90" w:type="dxa"/>
              <w:start w:w="100" w:type="dxa"/>
              <w:bottom w:w="90" w:type="dxa"/>
              <w:end w:w="100" w:type="dxa"/>
            </w:tcMar>
            <w:vAlign w:val="top"/>
          </w:tcPr>
          <w:p>
            <w:r>
              <w:rPr>
                <w:b w:val="0"/>
                <w:i w:val="0"/>
                <w:color w:val="1F252B"/>
                <w:sz w:val="15"/>
              </w:rPr>
              <w:t>Facts and professional advice clearly separated</w:t>
            </w:r>
          </w:p>
        </w:tc>
      </w:tr>
    </w:tbl>
    <w:p>
      <w:pPr>
        <w:pStyle w:val="Heading2"/>
      </w:pPr>
      <w:r>
        <w:t>Relationship stage</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872"/>
            <w:shd w:fill="12263F"/>
            <w:tcMar>
              <w:top w:w="90" w:type="dxa"/>
              <w:start w:w="100" w:type="dxa"/>
              <w:bottom w:w="90" w:type="dxa"/>
              <w:end w:w="100" w:type="dxa"/>
            </w:tcMar>
            <w:vAlign w:val="center"/>
          </w:tcPr>
          <w:p>
            <w:r>
              <w:rPr>
                <w:b/>
                <w:i w:val="0"/>
                <w:color w:val="FFFFFF"/>
                <w:sz w:val="15"/>
              </w:rPr>
              <w:t>Stage</w:t>
            </w:r>
          </w:p>
        </w:tc>
        <w:tc>
          <w:tcPr>
            <w:tcW w:type="dxa" w:w="5040"/>
            <w:shd w:fill="12263F"/>
            <w:tcMar>
              <w:top w:w="90" w:type="dxa"/>
              <w:start w:w="100" w:type="dxa"/>
              <w:bottom w:w="90" w:type="dxa"/>
              <w:end w:w="100" w:type="dxa"/>
            </w:tcMar>
            <w:vAlign w:val="center"/>
          </w:tcPr>
          <w:p>
            <w:r>
              <w:rPr>
                <w:b/>
                <w:i w:val="0"/>
                <w:color w:val="FFFFFF"/>
                <w:sz w:val="15"/>
              </w:rPr>
              <w:t>Meaning</w:t>
            </w:r>
          </w:p>
        </w:tc>
        <w:tc>
          <w:tcPr>
            <w:tcW w:type="dxa" w:w="2880"/>
            <w:shd w:fill="12263F"/>
            <w:tcMar>
              <w:top w:w="90" w:type="dxa"/>
              <w:start w:w="100" w:type="dxa"/>
              <w:bottom w:w="90" w:type="dxa"/>
              <w:end w:w="100" w:type="dxa"/>
            </w:tcMar>
            <w:vAlign w:val="center"/>
          </w:tcPr>
          <w:p>
            <w:r>
              <w:rPr>
                <w:b/>
                <w:i w:val="0"/>
                <w:color w:val="FFFFFF"/>
                <w:sz w:val="15"/>
              </w:rPr>
              <w:t>Required next-action expectation</w:t>
            </w:r>
          </w:p>
        </w:tc>
      </w:tr>
      <w:tr>
        <w:tc>
          <w:tcPr>
            <w:tcW w:type="dxa" w:w="1872"/>
            <w:tcMar>
              <w:top w:w="90" w:type="dxa"/>
              <w:start w:w="100" w:type="dxa"/>
              <w:bottom w:w="90" w:type="dxa"/>
              <w:end w:w="100" w:type="dxa"/>
            </w:tcMar>
            <w:vAlign w:val="top"/>
          </w:tcPr>
          <w:p>
            <w:r>
              <w:rPr>
                <w:b w:val="0"/>
                <w:i w:val="0"/>
                <w:color w:val="1F252B"/>
                <w:sz w:val="15"/>
              </w:rPr>
              <w:t>Subscriber</w:t>
            </w:r>
          </w:p>
        </w:tc>
        <w:tc>
          <w:tcPr>
            <w:tcW w:type="dxa" w:w="5040"/>
            <w:tcMar>
              <w:top w:w="90" w:type="dxa"/>
              <w:start w:w="100" w:type="dxa"/>
              <w:bottom w:w="90" w:type="dxa"/>
              <w:end w:w="100" w:type="dxa"/>
            </w:tcMar>
            <w:vAlign w:val="top"/>
          </w:tcPr>
          <w:p>
            <w:r>
              <w:rPr>
                <w:b w:val="0"/>
                <w:i w:val="0"/>
                <w:color w:val="1F252B"/>
                <w:sz w:val="15"/>
              </w:rPr>
              <w:t>Permissioned content relationship</w:t>
            </w:r>
          </w:p>
        </w:tc>
        <w:tc>
          <w:tcPr>
            <w:tcW w:type="dxa" w:w="2880"/>
            <w:tcMar>
              <w:top w:w="90" w:type="dxa"/>
              <w:start w:w="100" w:type="dxa"/>
              <w:bottom w:w="90" w:type="dxa"/>
              <w:end w:w="100" w:type="dxa"/>
            </w:tcMar>
            <w:vAlign w:val="top"/>
          </w:tcPr>
          <w:p>
            <w:r>
              <w:rPr>
                <w:b w:val="0"/>
                <w:i w:val="0"/>
                <w:color w:val="1F252B"/>
                <w:sz w:val="15"/>
              </w:rPr>
              <w:t>Segment and deliver relevant intelligence</w:t>
            </w:r>
          </w:p>
        </w:tc>
      </w:tr>
      <w:tr>
        <w:tc>
          <w:tcPr>
            <w:tcW w:type="dxa" w:w="1872"/>
            <w:tcMar>
              <w:top w:w="90" w:type="dxa"/>
              <w:start w:w="100" w:type="dxa"/>
              <w:bottom w:w="90" w:type="dxa"/>
              <w:end w:w="100" w:type="dxa"/>
            </w:tcMar>
            <w:shd w:fill="F5F7FA"/>
            <w:vAlign w:val="top"/>
          </w:tcPr>
          <w:p>
            <w:r>
              <w:rPr>
                <w:b w:val="0"/>
                <w:i w:val="0"/>
                <w:color w:val="1F252B"/>
                <w:sz w:val="15"/>
              </w:rPr>
              <w:t>Prospect</w:t>
            </w:r>
          </w:p>
        </w:tc>
        <w:tc>
          <w:tcPr>
            <w:tcW w:type="dxa" w:w="5040"/>
            <w:tcMar>
              <w:top w:w="90" w:type="dxa"/>
              <w:start w:w="100" w:type="dxa"/>
              <w:bottom w:w="90" w:type="dxa"/>
              <w:end w:w="100" w:type="dxa"/>
            </w:tcMar>
            <w:shd w:fill="F5F7FA"/>
            <w:vAlign w:val="top"/>
          </w:tcPr>
          <w:p>
            <w:r>
              <w:rPr>
                <w:b w:val="0"/>
                <w:i w:val="0"/>
                <w:color w:val="1F252B"/>
                <w:sz w:val="15"/>
              </w:rPr>
              <w:t>Known person with possible fit</w:t>
            </w:r>
          </w:p>
        </w:tc>
        <w:tc>
          <w:tcPr>
            <w:tcW w:type="dxa" w:w="2880"/>
            <w:tcMar>
              <w:top w:w="90" w:type="dxa"/>
              <w:start w:w="100" w:type="dxa"/>
              <w:bottom w:w="90" w:type="dxa"/>
              <w:end w:w="100" w:type="dxa"/>
            </w:tcMar>
            <w:shd w:fill="F5F7FA"/>
            <w:vAlign w:val="top"/>
          </w:tcPr>
          <w:p>
            <w:r>
              <w:rPr>
                <w:b w:val="0"/>
                <w:i w:val="0"/>
                <w:color w:val="1F252B"/>
                <w:sz w:val="15"/>
              </w:rPr>
              <w:t>Qualify interest and relevance</w:t>
            </w:r>
          </w:p>
        </w:tc>
      </w:tr>
      <w:tr>
        <w:tc>
          <w:tcPr>
            <w:tcW w:type="dxa" w:w="1872"/>
            <w:tcMar>
              <w:top w:w="90" w:type="dxa"/>
              <w:start w:w="100" w:type="dxa"/>
              <w:bottom w:w="90" w:type="dxa"/>
              <w:end w:w="100" w:type="dxa"/>
            </w:tcMar>
            <w:vAlign w:val="top"/>
          </w:tcPr>
          <w:p>
            <w:r>
              <w:rPr>
                <w:b w:val="0"/>
                <w:i w:val="0"/>
                <w:color w:val="1F252B"/>
                <w:sz w:val="15"/>
              </w:rPr>
              <w:t>Engaged lead</w:t>
            </w:r>
          </w:p>
        </w:tc>
        <w:tc>
          <w:tcPr>
            <w:tcW w:type="dxa" w:w="5040"/>
            <w:tcMar>
              <w:top w:w="90" w:type="dxa"/>
              <w:start w:w="100" w:type="dxa"/>
              <w:bottom w:w="90" w:type="dxa"/>
              <w:end w:w="100" w:type="dxa"/>
            </w:tcMar>
            <w:vAlign w:val="top"/>
          </w:tcPr>
          <w:p>
            <w:r>
              <w:rPr>
                <w:b w:val="0"/>
                <w:i w:val="0"/>
                <w:color w:val="1F252B"/>
                <w:sz w:val="15"/>
              </w:rPr>
              <w:t>Meaningful intent signal</w:t>
            </w:r>
          </w:p>
        </w:tc>
        <w:tc>
          <w:tcPr>
            <w:tcW w:type="dxa" w:w="2880"/>
            <w:tcMar>
              <w:top w:w="90" w:type="dxa"/>
              <w:start w:w="100" w:type="dxa"/>
              <w:bottom w:w="90" w:type="dxa"/>
              <w:end w:w="100" w:type="dxa"/>
            </w:tcMar>
            <w:vAlign w:val="top"/>
          </w:tcPr>
          <w:p>
            <w:r>
              <w:rPr>
                <w:b w:val="0"/>
                <w:i w:val="0"/>
                <w:color w:val="1F252B"/>
                <w:sz w:val="15"/>
              </w:rPr>
              <w:t>Personal outreach or requested response</w:t>
            </w:r>
          </w:p>
        </w:tc>
      </w:tr>
      <w:tr>
        <w:tc>
          <w:tcPr>
            <w:tcW w:type="dxa" w:w="1872"/>
            <w:tcMar>
              <w:top w:w="90" w:type="dxa"/>
              <w:start w:w="100" w:type="dxa"/>
              <w:bottom w:w="90" w:type="dxa"/>
              <w:end w:w="100" w:type="dxa"/>
            </w:tcMar>
            <w:shd w:fill="F5F7FA"/>
            <w:vAlign w:val="top"/>
          </w:tcPr>
          <w:p>
            <w:r>
              <w:rPr>
                <w:b w:val="0"/>
                <w:i w:val="0"/>
                <w:color w:val="1F252B"/>
                <w:sz w:val="15"/>
              </w:rPr>
              <w:t>Qualified</w:t>
            </w:r>
          </w:p>
        </w:tc>
        <w:tc>
          <w:tcPr>
            <w:tcW w:type="dxa" w:w="5040"/>
            <w:tcMar>
              <w:top w:w="90" w:type="dxa"/>
              <w:start w:w="100" w:type="dxa"/>
              <w:bottom w:w="90" w:type="dxa"/>
              <w:end w:w="100" w:type="dxa"/>
            </w:tcMar>
            <w:shd w:fill="F5F7FA"/>
            <w:vAlign w:val="top"/>
          </w:tcPr>
          <w:p>
            <w:r>
              <w:rPr>
                <w:b w:val="0"/>
                <w:i w:val="0"/>
                <w:color w:val="1F252B"/>
                <w:sz w:val="15"/>
              </w:rPr>
              <w:t>Real strategic question and VYNE fit</w:t>
            </w:r>
          </w:p>
        </w:tc>
        <w:tc>
          <w:tcPr>
            <w:tcW w:type="dxa" w:w="2880"/>
            <w:tcMar>
              <w:top w:w="90" w:type="dxa"/>
              <w:start w:w="100" w:type="dxa"/>
              <w:bottom w:w="90" w:type="dxa"/>
              <w:end w:w="100" w:type="dxa"/>
            </w:tcMar>
            <w:shd w:fill="F5F7FA"/>
            <w:vAlign w:val="top"/>
          </w:tcPr>
          <w:p>
            <w:r>
              <w:rPr>
                <w:b w:val="0"/>
                <w:i w:val="0"/>
                <w:color w:val="1F252B"/>
                <w:sz w:val="15"/>
              </w:rPr>
              <w:t>Schedule structured discovery</w:t>
            </w:r>
          </w:p>
        </w:tc>
      </w:tr>
      <w:tr>
        <w:tc>
          <w:tcPr>
            <w:tcW w:type="dxa" w:w="1872"/>
            <w:tcMar>
              <w:top w:w="90" w:type="dxa"/>
              <w:start w:w="100" w:type="dxa"/>
              <w:bottom w:w="90" w:type="dxa"/>
              <w:end w:w="100" w:type="dxa"/>
            </w:tcMar>
            <w:vAlign w:val="top"/>
          </w:tcPr>
          <w:p>
            <w:r>
              <w:rPr>
                <w:b w:val="0"/>
                <w:i w:val="0"/>
                <w:color w:val="1F252B"/>
                <w:sz w:val="15"/>
              </w:rPr>
              <w:t>Active exploration</w:t>
            </w:r>
          </w:p>
        </w:tc>
        <w:tc>
          <w:tcPr>
            <w:tcW w:type="dxa" w:w="5040"/>
            <w:tcMar>
              <w:top w:w="90" w:type="dxa"/>
              <w:start w:w="100" w:type="dxa"/>
              <w:bottom w:w="90" w:type="dxa"/>
              <w:end w:w="100" w:type="dxa"/>
            </w:tcMar>
            <w:vAlign w:val="top"/>
          </w:tcPr>
          <w:p>
            <w:r>
              <w:rPr>
                <w:b w:val="0"/>
                <w:i w:val="0"/>
                <w:color w:val="1F252B"/>
                <w:sz w:val="15"/>
              </w:rPr>
              <w:t>Case underway</w:t>
            </w:r>
          </w:p>
        </w:tc>
        <w:tc>
          <w:tcPr>
            <w:tcW w:type="dxa" w:w="2880"/>
            <w:tcMar>
              <w:top w:w="90" w:type="dxa"/>
              <w:start w:w="100" w:type="dxa"/>
              <w:bottom w:w="90" w:type="dxa"/>
              <w:end w:w="100" w:type="dxa"/>
            </w:tcMar>
            <w:vAlign w:val="top"/>
          </w:tcPr>
          <w:p>
            <w:r>
              <w:rPr>
                <w:b w:val="0"/>
                <w:i w:val="0"/>
                <w:color w:val="1F252B"/>
                <w:sz w:val="15"/>
              </w:rPr>
              <w:t>Weekly owned next action</w:t>
            </w:r>
          </w:p>
        </w:tc>
      </w:tr>
      <w:tr>
        <w:tc>
          <w:tcPr>
            <w:tcW w:type="dxa" w:w="1872"/>
            <w:tcMar>
              <w:top w:w="90" w:type="dxa"/>
              <w:start w:w="100" w:type="dxa"/>
              <w:bottom w:w="90" w:type="dxa"/>
              <w:end w:w="100" w:type="dxa"/>
            </w:tcMar>
            <w:shd w:fill="F5F7FA"/>
            <w:vAlign w:val="top"/>
          </w:tcPr>
          <w:p>
            <w:r>
              <w:rPr>
                <w:b w:val="0"/>
                <w:i w:val="0"/>
                <w:color w:val="1F252B"/>
                <w:sz w:val="15"/>
              </w:rPr>
              <w:t>Decision pending</w:t>
            </w:r>
          </w:p>
        </w:tc>
        <w:tc>
          <w:tcPr>
            <w:tcW w:type="dxa" w:w="5040"/>
            <w:tcMar>
              <w:top w:w="90" w:type="dxa"/>
              <w:start w:w="100" w:type="dxa"/>
              <w:bottom w:w="90" w:type="dxa"/>
              <w:end w:w="100" w:type="dxa"/>
            </w:tcMar>
            <w:shd w:fill="F5F7FA"/>
            <w:vAlign w:val="top"/>
          </w:tcPr>
          <w:p>
            <w:r>
              <w:rPr>
                <w:b w:val="0"/>
                <w:i w:val="0"/>
                <w:color w:val="1F252B"/>
                <w:sz w:val="15"/>
              </w:rPr>
              <w:t>Final analysis or conditions outstanding</w:t>
            </w:r>
          </w:p>
        </w:tc>
        <w:tc>
          <w:tcPr>
            <w:tcW w:type="dxa" w:w="2880"/>
            <w:tcMar>
              <w:top w:w="90" w:type="dxa"/>
              <w:start w:w="100" w:type="dxa"/>
              <w:bottom w:w="90" w:type="dxa"/>
              <w:end w:w="100" w:type="dxa"/>
            </w:tcMar>
            <w:shd w:fill="F5F7FA"/>
            <w:vAlign w:val="top"/>
          </w:tcPr>
          <w:p>
            <w:r>
              <w:rPr>
                <w:b w:val="0"/>
                <w:i w:val="0"/>
                <w:color w:val="1F252B"/>
                <w:sz w:val="15"/>
              </w:rPr>
              <w:t>Decision meeting and open-issue owner</w:t>
            </w:r>
          </w:p>
        </w:tc>
      </w:tr>
      <w:tr>
        <w:tc>
          <w:tcPr>
            <w:tcW w:type="dxa" w:w="1872"/>
            <w:tcMar>
              <w:top w:w="90" w:type="dxa"/>
              <w:start w:w="100" w:type="dxa"/>
              <w:bottom w:w="90" w:type="dxa"/>
              <w:end w:w="100" w:type="dxa"/>
            </w:tcMar>
            <w:vAlign w:val="top"/>
          </w:tcPr>
          <w:p>
            <w:r>
              <w:rPr>
                <w:b w:val="0"/>
                <w:i w:val="0"/>
                <w:color w:val="1F252B"/>
                <w:sz w:val="15"/>
              </w:rPr>
              <w:t>Committed</w:t>
            </w:r>
          </w:p>
        </w:tc>
        <w:tc>
          <w:tcPr>
            <w:tcW w:type="dxa" w:w="5040"/>
            <w:tcMar>
              <w:top w:w="90" w:type="dxa"/>
              <w:start w:w="100" w:type="dxa"/>
              <w:bottom w:w="90" w:type="dxa"/>
              <w:end w:w="100" w:type="dxa"/>
            </w:tcMar>
            <w:vAlign w:val="top"/>
          </w:tcPr>
          <w:p>
            <w:r>
              <w:rPr>
                <w:b w:val="0"/>
                <w:i w:val="0"/>
                <w:color w:val="1F252B"/>
                <w:sz w:val="15"/>
              </w:rPr>
              <w:t>Destination selected; pre-transition</w:t>
            </w:r>
          </w:p>
        </w:tc>
        <w:tc>
          <w:tcPr>
            <w:tcW w:type="dxa" w:w="2880"/>
            <w:tcMar>
              <w:top w:w="90" w:type="dxa"/>
              <w:start w:w="100" w:type="dxa"/>
              <w:bottom w:w="90" w:type="dxa"/>
              <w:end w:w="100" w:type="dxa"/>
            </w:tcMar>
            <w:vAlign w:val="top"/>
          </w:tcPr>
          <w:p>
            <w:r>
              <w:rPr>
                <w:b w:val="0"/>
                <w:i w:val="0"/>
                <w:color w:val="1F252B"/>
                <w:sz w:val="15"/>
              </w:rPr>
              <w:t>Execution plan active</w:t>
            </w:r>
          </w:p>
        </w:tc>
      </w:tr>
      <w:tr>
        <w:tc>
          <w:tcPr>
            <w:tcW w:type="dxa" w:w="1872"/>
            <w:tcMar>
              <w:top w:w="90" w:type="dxa"/>
              <w:start w:w="100" w:type="dxa"/>
              <w:bottom w:w="90" w:type="dxa"/>
              <w:end w:w="100" w:type="dxa"/>
            </w:tcMar>
            <w:shd w:fill="F5F7FA"/>
            <w:vAlign w:val="top"/>
          </w:tcPr>
          <w:p>
            <w:r>
              <w:rPr>
                <w:b w:val="0"/>
                <w:i w:val="0"/>
                <w:color w:val="1F252B"/>
                <w:sz w:val="15"/>
              </w:rPr>
              <w:t>Transitioning</w:t>
            </w:r>
          </w:p>
        </w:tc>
        <w:tc>
          <w:tcPr>
            <w:tcW w:type="dxa" w:w="5040"/>
            <w:tcMar>
              <w:top w:w="90" w:type="dxa"/>
              <w:start w:w="100" w:type="dxa"/>
              <w:bottom w:w="90" w:type="dxa"/>
              <w:end w:w="100" w:type="dxa"/>
            </w:tcMar>
            <w:shd w:fill="F5F7FA"/>
            <w:vAlign w:val="top"/>
          </w:tcPr>
          <w:p>
            <w:r>
              <w:rPr>
                <w:b w:val="0"/>
                <w:i w:val="0"/>
                <w:color w:val="1F252B"/>
                <w:sz w:val="15"/>
              </w:rPr>
              <w:t>Advisor has resigned or joined</w:t>
            </w:r>
          </w:p>
        </w:tc>
        <w:tc>
          <w:tcPr>
            <w:tcW w:type="dxa" w:w="2880"/>
            <w:tcMar>
              <w:top w:w="90" w:type="dxa"/>
              <w:start w:w="100" w:type="dxa"/>
              <w:bottom w:w="90" w:type="dxa"/>
              <w:end w:w="100" w:type="dxa"/>
            </w:tcMar>
            <w:shd w:fill="F5F7FA"/>
            <w:vAlign w:val="top"/>
          </w:tcPr>
          <w:p>
            <w:r>
              <w:rPr>
                <w:b w:val="0"/>
                <w:i w:val="0"/>
                <w:color w:val="1F252B"/>
                <w:sz w:val="15"/>
              </w:rPr>
              <w:t>Command cadence and issue tracking</w:t>
            </w:r>
          </w:p>
        </w:tc>
      </w:tr>
      <w:tr>
        <w:tc>
          <w:tcPr>
            <w:tcW w:type="dxa" w:w="1872"/>
            <w:tcMar>
              <w:top w:w="90" w:type="dxa"/>
              <w:start w:w="100" w:type="dxa"/>
              <w:bottom w:w="90" w:type="dxa"/>
              <w:end w:w="100" w:type="dxa"/>
            </w:tcMar>
            <w:vAlign w:val="top"/>
          </w:tcPr>
          <w:p>
            <w:r>
              <w:rPr>
                <w:b w:val="0"/>
                <w:i w:val="0"/>
                <w:color w:val="1F252B"/>
                <w:sz w:val="15"/>
              </w:rPr>
              <w:t>Placed</w:t>
            </w:r>
          </w:p>
        </w:tc>
        <w:tc>
          <w:tcPr>
            <w:tcW w:type="dxa" w:w="5040"/>
            <w:tcMar>
              <w:top w:w="90" w:type="dxa"/>
              <w:start w:w="100" w:type="dxa"/>
              <w:bottom w:w="90" w:type="dxa"/>
              <w:end w:w="100" w:type="dxa"/>
            </w:tcMar>
            <w:vAlign w:val="top"/>
          </w:tcPr>
          <w:p>
            <w:r>
              <w:rPr>
                <w:b w:val="0"/>
                <w:i w:val="0"/>
                <w:color w:val="1F252B"/>
                <w:sz w:val="15"/>
              </w:rPr>
              <w:t>Fee event conditions met</w:t>
            </w:r>
          </w:p>
        </w:tc>
        <w:tc>
          <w:tcPr>
            <w:tcW w:type="dxa" w:w="2880"/>
            <w:tcMar>
              <w:top w:w="90" w:type="dxa"/>
              <w:start w:w="100" w:type="dxa"/>
              <w:bottom w:w="90" w:type="dxa"/>
              <w:end w:w="100" w:type="dxa"/>
            </w:tcMar>
            <w:vAlign w:val="top"/>
          </w:tcPr>
          <w:p>
            <w:r>
              <w:rPr>
                <w:b w:val="0"/>
                <w:i w:val="0"/>
                <w:color w:val="1F252B"/>
                <w:sz w:val="15"/>
              </w:rPr>
              <w:t>Post-transition review and fee tracking</w:t>
            </w:r>
          </w:p>
        </w:tc>
      </w:tr>
      <w:tr>
        <w:tc>
          <w:tcPr>
            <w:tcW w:type="dxa" w:w="1872"/>
            <w:tcMar>
              <w:top w:w="90" w:type="dxa"/>
              <w:start w:w="100" w:type="dxa"/>
              <w:bottom w:w="90" w:type="dxa"/>
              <w:end w:w="100" w:type="dxa"/>
            </w:tcMar>
            <w:shd w:fill="F5F7FA"/>
            <w:vAlign w:val="top"/>
          </w:tcPr>
          <w:p>
            <w:r>
              <w:rPr>
                <w:b w:val="0"/>
                <w:i w:val="0"/>
                <w:color w:val="1F252B"/>
                <w:sz w:val="15"/>
              </w:rPr>
              <w:t>Stay/prepare/nurture</w:t>
            </w:r>
          </w:p>
        </w:tc>
        <w:tc>
          <w:tcPr>
            <w:tcW w:type="dxa" w:w="5040"/>
            <w:tcMar>
              <w:top w:w="90" w:type="dxa"/>
              <w:start w:w="100" w:type="dxa"/>
              <w:bottom w:w="90" w:type="dxa"/>
              <w:end w:w="100" w:type="dxa"/>
            </w:tcMar>
            <w:shd w:fill="F5F7FA"/>
            <w:vAlign w:val="top"/>
          </w:tcPr>
          <w:p>
            <w:r>
              <w:rPr>
                <w:b w:val="0"/>
                <w:i w:val="0"/>
                <w:color w:val="1F252B"/>
                <w:sz w:val="15"/>
              </w:rPr>
              <w:t>No immediate move</w:t>
            </w:r>
          </w:p>
        </w:tc>
        <w:tc>
          <w:tcPr>
            <w:tcW w:type="dxa" w:w="2880"/>
            <w:tcMar>
              <w:top w:w="90" w:type="dxa"/>
              <w:start w:w="100" w:type="dxa"/>
              <w:bottom w:w="90" w:type="dxa"/>
              <w:end w:w="100" w:type="dxa"/>
            </w:tcMar>
            <w:shd w:fill="F5F7FA"/>
            <w:vAlign w:val="top"/>
          </w:tcPr>
          <w:p>
            <w:r>
              <w:rPr>
                <w:b w:val="0"/>
                <w:i w:val="0"/>
                <w:color w:val="1F252B"/>
                <w:sz w:val="15"/>
              </w:rPr>
              <w:t>Value-based future cadence</w:t>
            </w:r>
          </w:p>
        </w:tc>
      </w:tr>
    </w:tbl>
    <w:p>
      <w:pPr>
        <w:pStyle w:val="Heading1"/>
      </w:pPr>
      <w:r>
        <w:t>05  Case and VYNE Framework Model</w:t>
      </w:r>
    </w:p>
    <w:p>
      <w:pPr>
        <w:pStyle w:val="BodyText"/>
      </w:pPr>
      <w:r>
        <w:t>A case is opened when VYNE is helping answer a defined decision, not merely because a contact exists. The same advisor can later have a succession case, acquisition case or new transition case without overwriting prior outcomes.</w:t>
      </w:r>
    </w:p>
    <w:tbl>
      <w:tblPr>
        <w:tblStyle w:val="TableGrid"/>
        <w:tblW w:type="auto" w:w="0"/>
        <w:jc w:val="center"/>
        <w:tblLayout w:type="fixed"/>
        <w:tblLook w:firstColumn="1" w:firstRow="1" w:lastColumn="0" w:lastRow="0" w:noHBand="0" w:noVBand="1" w:val="04A0"/>
      </w:tblPr>
      <w:tblGrid>
        <w:gridCol w:w="5083"/>
        <w:gridCol w:w="5083"/>
      </w:tblGrid>
      <w:tr>
        <w:tc>
          <w:tcPr>
            <w:tcW w:type="dxa" w:w="2592"/>
            <w:shd w:fill="12263F"/>
            <w:tcMar>
              <w:top w:w="90" w:type="dxa"/>
              <w:start w:w="100" w:type="dxa"/>
              <w:bottom w:w="90" w:type="dxa"/>
              <w:end w:w="100" w:type="dxa"/>
            </w:tcMar>
            <w:vAlign w:val="center"/>
          </w:tcPr>
          <w:p>
            <w:r>
              <w:rPr>
                <w:b/>
                <w:i w:val="0"/>
                <w:color w:val="FFFFFF"/>
                <w:sz w:val="15"/>
              </w:rPr>
              <w:t>Case field</w:t>
            </w:r>
          </w:p>
        </w:tc>
        <w:tc>
          <w:tcPr>
            <w:tcW w:type="dxa" w:w="7200"/>
            <w:shd w:fill="12263F"/>
            <w:tcMar>
              <w:top w:w="90" w:type="dxa"/>
              <w:start w:w="100" w:type="dxa"/>
              <w:bottom w:w="90" w:type="dxa"/>
              <w:end w:w="100" w:type="dxa"/>
            </w:tcMar>
            <w:vAlign w:val="center"/>
          </w:tcPr>
          <w:p>
            <w:r>
              <w:rPr>
                <w:b/>
                <w:i w:val="0"/>
                <w:color w:val="FFFFFF"/>
                <w:sz w:val="15"/>
              </w:rPr>
              <w:t>Description</w:t>
            </w:r>
          </w:p>
        </w:tc>
      </w:tr>
      <w:tr>
        <w:tc>
          <w:tcPr>
            <w:tcW w:type="dxa" w:w="2592"/>
            <w:tcMar>
              <w:top w:w="90" w:type="dxa"/>
              <w:start w:w="100" w:type="dxa"/>
              <w:bottom w:w="90" w:type="dxa"/>
              <w:end w:w="100" w:type="dxa"/>
            </w:tcMar>
            <w:vAlign w:val="top"/>
          </w:tcPr>
          <w:p>
            <w:r>
              <w:rPr>
                <w:b w:val="0"/>
                <w:i w:val="0"/>
                <w:color w:val="1F252B"/>
                <w:sz w:val="15"/>
              </w:rPr>
              <w:t>case_type</w:t>
            </w:r>
          </w:p>
        </w:tc>
        <w:tc>
          <w:tcPr>
            <w:tcW w:type="dxa" w:w="7200"/>
            <w:tcMar>
              <w:top w:w="90" w:type="dxa"/>
              <w:start w:w="100" w:type="dxa"/>
              <w:bottom w:w="90" w:type="dxa"/>
              <w:end w:w="100" w:type="dxa"/>
            </w:tcMar>
            <w:vAlign w:val="top"/>
          </w:tcPr>
          <w:p>
            <w:r>
              <w:rPr>
                <w:b w:val="0"/>
                <w:i w:val="0"/>
                <w:color w:val="1F252B"/>
                <w:sz w:val="15"/>
              </w:rPr>
              <w:t>transition, stay-and-strengthen, succession, acquisition, team move, talent match, offer review</w:t>
            </w:r>
          </w:p>
        </w:tc>
      </w:tr>
      <w:tr>
        <w:tc>
          <w:tcPr>
            <w:tcW w:type="dxa" w:w="2592"/>
            <w:tcMar>
              <w:top w:w="90" w:type="dxa"/>
              <w:start w:w="100" w:type="dxa"/>
              <w:bottom w:w="90" w:type="dxa"/>
              <w:end w:w="100" w:type="dxa"/>
            </w:tcMar>
            <w:shd w:fill="F5F7FA"/>
            <w:vAlign w:val="top"/>
          </w:tcPr>
          <w:p>
            <w:r>
              <w:rPr>
                <w:b w:val="0"/>
                <w:i w:val="0"/>
                <w:color w:val="1F252B"/>
                <w:sz w:val="15"/>
              </w:rPr>
              <w:t>case_question</w:t>
            </w:r>
          </w:p>
        </w:tc>
        <w:tc>
          <w:tcPr>
            <w:tcW w:type="dxa" w:w="7200"/>
            <w:tcMar>
              <w:top w:w="90" w:type="dxa"/>
              <w:start w:w="100" w:type="dxa"/>
              <w:bottom w:w="90" w:type="dxa"/>
              <w:end w:w="100" w:type="dxa"/>
            </w:tcMar>
            <w:shd w:fill="F5F7FA"/>
            <w:vAlign w:val="top"/>
          </w:tcPr>
          <w:p>
            <w:r>
              <w:rPr>
                <w:b w:val="0"/>
                <w:i w:val="0"/>
                <w:color w:val="1F252B"/>
                <w:sz w:val="15"/>
              </w:rPr>
              <w:t>The decision VYNE is helping the advisor make</w:t>
            </w:r>
          </w:p>
        </w:tc>
      </w:tr>
      <w:tr>
        <w:tc>
          <w:tcPr>
            <w:tcW w:type="dxa" w:w="2592"/>
            <w:tcMar>
              <w:top w:w="90" w:type="dxa"/>
              <w:start w:w="100" w:type="dxa"/>
              <w:bottom w:w="90" w:type="dxa"/>
              <w:end w:w="100" w:type="dxa"/>
            </w:tcMar>
            <w:vAlign w:val="top"/>
          </w:tcPr>
          <w:p>
            <w:r>
              <w:rPr>
                <w:b w:val="0"/>
                <w:i w:val="0"/>
                <w:color w:val="1F252B"/>
                <w:sz w:val="15"/>
              </w:rPr>
              <w:t>current_stage</w:t>
            </w:r>
          </w:p>
        </w:tc>
        <w:tc>
          <w:tcPr>
            <w:tcW w:type="dxa" w:w="7200"/>
            <w:tcMar>
              <w:top w:w="90" w:type="dxa"/>
              <w:start w:w="100" w:type="dxa"/>
              <w:bottom w:w="90" w:type="dxa"/>
              <w:end w:w="100" w:type="dxa"/>
            </w:tcMar>
            <w:vAlign w:val="top"/>
          </w:tcPr>
          <w:p>
            <w:r>
              <w:rPr>
                <w:b w:val="0"/>
                <w:i w:val="0"/>
                <w:color w:val="1F252B"/>
                <w:sz w:val="15"/>
              </w:rPr>
              <w:t>Understand, Vision, Objectives, Readiness, Navigate, Enterprise Economics, Decide, Execute, Elevate, Grow</w:t>
            </w:r>
          </w:p>
        </w:tc>
      </w:tr>
      <w:tr>
        <w:tc>
          <w:tcPr>
            <w:tcW w:type="dxa" w:w="2592"/>
            <w:tcMar>
              <w:top w:w="90" w:type="dxa"/>
              <w:start w:w="100" w:type="dxa"/>
              <w:bottom w:w="90" w:type="dxa"/>
              <w:end w:w="100" w:type="dxa"/>
            </w:tcMar>
            <w:shd w:fill="F5F7FA"/>
            <w:vAlign w:val="top"/>
          </w:tcPr>
          <w:p>
            <w:r>
              <w:rPr>
                <w:b w:val="0"/>
                <w:i w:val="0"/>
                <w:color w:val="1F252B"/>
                <w:sz w:val="15"/>
              </w:rPr>
              <w:t>current_firm_option</w:t>
            </w:r>
          </w:p>
        </w:tc>
        <w:tc>
          <w:tcPr>
            <w:tcW w:type="dxa" w:w="7200"/>
            <w:tcMar>
              <w:top w:w="90" w:type="dxa"/>
              <w:start w:w="100" w:type="dxa"/>
              <w:bottom w:w="90" w:type="dxa"/>
              <w:end w:w="100" w:type="dxa"/>
            </w:tcMar>
            <w:shd w:fill="F5F7FA"/>
            <w:vAlign w:val="top"/>
          </w:tcPr>
          <w:p>
            <w:r>
              <w:rPr>
                <w:b w:val="0"/>
                <w:i w:val="0"/>
                <w:color w:val="1F252B"/>
                <w:sz w:val="15"/>
              </w:rPr>
              <w:t>Formal opportunity record for staying or internal change</w:t>
            </w:r>
          </w:p>
        </w:tc>
      </w:tr>
      <w:tr>
        <w:tc>
          <w:tcPr>
            <w:tcW w:type="dxa" w:w="2592"/>
            <w:tcMar>
              <w:top w:w="90" w:type="dxa"/>
              <w:start w:w="100" w:type="dxa"/>
              <w:bottom w:w="90" w:type="dxa"/>
              <w:end w:w="100" w:type="dxa"/>
            </w:tcMar>
            <w:vAlign w:val="top"/>
          </w:tcPr>
          <w:p>
            <w:r>
              <w:rPr>
                <w:b w:val="0"/>
                <w:i w:val="0"/>
                <w:color w:val="1F252B"/>
                <w:sz w:val="15"/>
              </w:rPr>
              <w:t>vision_summary</w:t>
            </w:r>
          </w:p>
        </w:tc>
        <w:tc>
          <w:tcPr>
            <w:tcW w:type="dxa" w:w="7200"/>
            <w:tcMar>
              <w:top w:w="90" w:type="dxa"/>
              <w:start w:w="100" w:type="dxa"/>
              <w:bottom w:w="90" w:type="dxa"/>
              <w:end w:w="100" w:type="dxa"/>
            </w:tcMar>
            <w:vAlign w:val="top"/>
          </w:tcPr>
          <w:p>
            <w:r>
              <w:rPr>
                <w:b w:val="0"/>
                <w:i w:val="0"/>
                <w:color w:val="1F252B"/>
                <w:sz w:val="15"/>
              </w:rPr>
              <w:t>Approved desired-future narrative and version</w:t>
            </w:r>
          </w:p>
        </w:tc>
      </w:tr>
      <w:tr>
        <w:tc>
          <w:tcPr>
            <w:tcW w:type="dxa" w:w="2592"/>
            <w:tcMar>
              <w:top w:w="90" w:type="dxa"/>
              <w:start w:w="100" w:type="dxa"/>
              <w:bottom w:w="90" w:type="dxa"/>
              <w:end w:w="100" w:type="dxa"/>
            </w:tcMar>
            <w:shd w:fill="F5F7FA"/>
            <w:vAlign w:val="top"/>
          </w:tcPr>
          <w:p>
            <w:r>
              <w:rPr>
                <w:b w:val="0"/>
                <w:i w:val="0"/>
                <w:color w:val="1F252B"/>
                <w:sz w:val="15"/>
              </w:rPr>
              <w:t>objectives</w:t>
            </w:r>
          </w:p>
        </w:tc>
        <w:tc>
          <w:tcPr>
            <w:tcW w:type="dxa" w:w="7200"/>
            <w:tcMar>
              <w:top w:w="90" w:type="dxa"/>
              <w:start w:w="100" w:type="dxa"/>
              <w:bottom w:w="90" w:type="dxa"/>
              <w:end w:w="100" w:type="dxa"/>
            </w:tcMar>
            <w:shd w:fill="F5F7FA"/>
            <w:vAlign w:val="top"/>
          </w:tcPr>
          <w:p>
            <w:r>
              <w:rPr>
                <w:b w:val="0"/>
                <w:i w:val="0"/>
                <w:color w:val="1F252B"/>
                <w:sz w:val="15"/>
              </w:rPr>
              <w:t>Weighted criteria, nonnegotiables and stakeholder effects</w:t>
            </w:r>
          </w:p>
        </w:tc>
      </w:tr>
      <w:tr>
        <w:tc>
          <w:tcPr>
            <w:tcW w:type="dxa" w:w="2592"/>
            <w:tcMar>
              <w:top w:w="90" w:type="dxa"/>
              <w:start w:w="100" w:type="dxa"/>
              <w:bottom w:w="90" w:type="dxa"/>
              <w:end w:w="100" w:type="dxa"/>
            </w:tcMar>
            <w:vAlign w:val="top"/>
          </w:tcPr>
          <w:p>
            <w:r>
              <w:rPr>
                <w:b w:val="0"/>
                <w:i w:val="0"/>
                <w:color w:val="1F252B"/>
                <w:sz w:val="15"/>
              </w:rPr>
              <w:t>readiness_status</w:t>
            </w:r>
          </w:p>
        </w:tc>
        <w:tc>
          <w:tcPr>
            <w:tcW w:type="dxa" w:w="7200"/>
            <w:tcMar>
              <w:top w:w="90" w:type="dxa"/>
              <w:start w:w="100" w:type="dxa"/>
              <w:bottom w:w="90" w:type="dxa"/>
              <w:end w:w="100" w:type="dxa"/>
            </w:tcMar>
            <w:vAlign w:val="top"/>
          </w:tcPr>
          <w:p>
            <w:r>
              <w:rPr>
                <w:b w:val="0"/>
                <w:i w:val="0"/>
                <w:color w:val="1F252B"/>
                <w:sz w:val="15"/>
              </w:rPr>
              <w:t>ready, ready with conditions, prepare, not ready and reason</w:t>
            </w:r>
          </w:p>
        </w:tc>
      </w:tr>
      <w:tr>
        <w:tc>
          <w:tcPr>
            <w:tcW w:type="dxa" w:w="2592"/>
            <w:tcMar>
              <w:top w:w="90" w:type="dxa"/>
              <w:start w:w="100" w:type="dxa"/>
              <w:bottom w:w="90" w:type="dxa"/>
              <w:end w:w="100" w:type="dxa"/>
            </w:tcMar>
            <w:shd w:fill="F5F7FA"/>
            <w:vAlign w:val="top"/>
          </w:tcPr>
          <w:p>
            <w:r>
              <w:rPr>
                <w:b w:val="0"/>
                <w:i w:val="0"/>
                <w:color w:val="1F252B"/>
                <w:sz w:val="15"/>
              </w:rPr>
              <w:t>decision</w:t>
            </w:r>
          </w:p>
        </w:tc>
        <w:tc>
          <w:tcPr>
            <w:tcW w:type="dxa" w:w="7200"/>
            <w:tcMar>
              <w:top w:w="90" w:type="dxa"/>
              <w:start w:w="100" w:type="dxa"/>
              <w:bottom w:w="90" w:type="dxa"/>
              <w:end w:w="100" w:type="dxa"/>
            </w:tcMar>
            <w:shd w:fill="F5F7FA"/>
            <w:vAlign w:val="top"/>
          </w:tcPr>
          <w:p>
            <w:r>
              <w:rPr>
                <w:b w:val="0"/>
                <w:i w:val="0"/>
                <w:color w:val="1F252B"/>
                <w:sz w:val="15"/>
              </w:rPr>
              <w:t>stay, prepare, continue, move, merge, sell, acquire, join team</w:t>
            </w:r>
          </w:p>
        </w:tc>
      </w:tr>
      <w:tr>
        <w:tc>
          <w:tcPr>
            <w:tcW w:type="dxa" w:w="2592"/>
            <w:tcMar>
              <w:top w:w="90" w:type="dxa"/>
              <w:start w:w="100" w:type="dxa"/>
              <w:bottom w:w="90" w:type="dxa"/>
              <w:end w:w="100" w:type="dxa"/>
            </w:tcMar>
            <w:vAlign w:val="top"/>
          </w:tcPr>
          <w:p>
            <w:r>
              <w:rPr>
                <w:b w:val="0"/>
                <w:i w:val="0"/>
                <w:color w:val="1F252B"/>
                <w:sz w:val="15"/>
              </w:rPr>
              <w:t>next_action</w:t>
            </w:r>
          </w:p>
        </w:tc>
        <w:tc>
          <w:tcPr>
            <w:tcW w:type="dxa" w:w="7200"/>
            <w:tcMar>
              <w:top w:w="90" w:type="dxa"/>
              <w:start w:w="100" w:type="dxa"/>
              <w:bottom w:w="90" w:type="dxa"/>
              <w:end w:w="100" w:type="dxa"/>
            </w:tcMar>
            <w:vAlign w:val="top"/>
          </w:tcPr>
          <w:p>
            <w:r>
              <w:rPr>
                <w:b w:val="0"/>
                <w:i w:val="0"/>
                <w:color w:val="1F252B"/>
                <w:sz w:val="15"/>
              </w:rPr>
              <w:t>Task reference, not free-text-only status</w:t>
            </w:r>
          </w:p>
        </w:tc>
      </w:tr>
      <w:tr>
        <w:tc>
          <w:tcPr>
            <w:tcW w:type="dxa" w:w="2592"/>
            <w:tcMar>
              <w:top w:w="90" w:type="dxa"/>
              <w:start w:w="100" w:type="dxa"/>
              <w:bottom w:w="90" w:type="dxa"/>
              <w:end w:w="100" w:type="dxa"/>
            </w:tcMar>
            <w:shd w:fill="F5F7FA"/>
            <w:vAlign w:val="top"/>
          </w:tcPr>
          <w:p>
            <w:r>
              <w:rPr>
                <w:b w:val="0"/>
                <w:i w:val="0"/>
                <w:color w:val="1F252B"/>
                <w:sz w:val="15"/>
              </w:rPr>
              <w:t>case_risk</w:t>
            </w:r>
          </w:p>
        </w:tc>
        <w:tc>
          <w:tcPr>
            <w:tcW w:type="dxa" w:w="7200"/>
            <w:tcMar>
              <w:top w:w="90" w:type="dxa"/>
              <w:start w:w="100" w:type="dxa"/>
              <w:bottom w:w="90" w:type="dxa"/>
              <w:end w:w="100" w:type="dxa"/>
            </w:tcMar>
            <w:shd w:fill="F5F7FA"/>
            <w:vAlign w:val="top"/>
          </w:tcPr>
          <w:p>
            <w:r>
              <w:rPr>
                <w:b w:val="0"/>
                <w:i w:val="0"/>
                <w:color w:val="1F252B"/>
                <w:sz w:val="15"/>
              </w:rPr>
              <w:t>Low/medium/high with reason and last review</w:t>
            </w:r>
          </w:p>
        </w:tc>
      </w:tr>
      <w:tr>
        <w:tc>
          <w:tcPr>
            <w:tcW w:type="dxa" w:w="2592"/>
            <w:tcMar>
              <w:top w:w="90" w:type="dxa"/>
              <w:start w:w="100" w:type="dxa"/>
              <w:bottom w:w="90" w:type="dxa"/>
              <w:end w:w="100" w:type="dxa"/>
            </w:tcMar>
            <w:vAlign w:val="top"/>
          </w:tcPr>
          <w:p>
            <w:r>
              <w:rPr>
                <w:b w:val="0"/>
                <w:i w:val="0"/>
                <w:color w:val="1F252B"/>
                <w:sz w:val="15"/>
              </w:rPr>
              <w:t>expected_value</w:t>
            </w:r>
          </w:p>
        </w:tc>
        <w:tc>
          <w:tcPr>
            <w:tcW w:type="dxa" w:w="7200"/>
            <w:tcMar>
              <w:top w:w="90" w:type="dxa"/>
              <w:start w:w="100" w:type="dxa"/>
              <w:bottom w:w="90" w:type="dxa"/>
              <w:end w:w="100" w:type="dxa"/>
            </w:tcMar>
            <w:vAlign w:val="top"/>
          </w:tcPr>
          <w:p>
            <w:r>
              <w:rPr>
                <w:b w:val="0"/>
                <w:i w:val="0"/>
                <w:color w:val="1F252B"/>
                <w:sz w:val="15"/>
              </w:rPr>
              <w:t>Expected fee range with probability and timing - internal only</w:t>
            </w:r>
          </w:p>
        </w:tc>
      </w:tr>
    </w:tbl>
    <w:p>
      <w:pPr>
        <w:pStyle w:val="Heading2"/>
      </w:pPr>
      <w:r>
        <w:t>Framework records</w:t>
      </w:r>
    </w:p>
    <w:p>
      <w:pPr>
        <w:pStyle w:val="ListBullet"/>
      </w:pPr>
      <w:r>
        <w:t>Vision Brief and Objectives Scorecard are versioned deliverables.</w:t>
      </w:r>
    </w:p>
    <w:p>
      <w:pPr>
        <w:pStyle w:val="ListBullet"/>
      </w:pPr>
      <w:r>
        <w:t>ROOT and BRANCH are structured assessments with scores plus qualitative rationale.</w:t>
      </w:r>
    </w:p>
    <w:p>
      <w:pPr>
        <w:pStyle w:val="ListBullet"/>
      </w:pPr>
      <w:r>
        <w:t>A final score cannot replace the narrative explanation and evidence.</w:t>
      </w:r>
    </w:p>
    <w:p>
      <w:pPr>
        <w:pStyle w:val="ListBullet"/>
      </w:pPr>
      <w:r>
        <w:t>Current firm is represented as a formal opportunity so it can be compared consistently.</w:t>
      </w:r>
    </w:p>
    <w:p>
      <w:pPr>
        <w:pStyle w:val="Heading1"/>
      </w:pPr>
      <w:r>
        <w:t>06  Firm and Opportunity Model</w:t>
      </w:r>
    </w:p>
    <w:p>
      <w:pPr>
        <w:pStyle w:val="Heading2"/>
      </w:pPr>
      <w:r>
        <w:t>Firm master</w:t>
      </w:r>
    </w:p>
    <w:tbl>
      <w:tblPr>
        <w:tblStyle w:val="TableGrid"/>
        <w:tblW w:type="auto" w:w="0"/>
        <w:jc w:val="center"/>
        <w:tblLayout w:type="fixed"/>
        <w:tblLook w:firstColumn="1" w:firstRow="1" w:lastColumn="0" w:lastRow="0" w:noHBand="0" w:noVBand="1" w:val="04A0"/>
      </w:tblPr>
      <w:tblGrid>
        <w:gridCol w:w="5083"/>
        <w:gridCol w:w="5083"/>
      </w:tblGrid>
      <w:tr>
        <w:tc>
          <w:tcPr>
            <w:tcW w:type="dxa" w:w="2016"/>
            <w:shd w:fill="12263F"/>
            <w:tcMar>
              <w:top w:w="90" w:type="dxa"/>
              <w:start w:w="100" w:type="dxa"/>
              <w:bottom w:w="90" w:type="dxa"/>
              <w:end w:w="100" w:type="dxa"/>
            </w:tcMar>
            <w:vAlign w:val="center"/>
          </w:tcPr>
          <w:p>
            <w:r>
              <w:rPr>
                <w:b/>
                <w:i w:val="0"/>
                <w:color w:val="FFFFFF"/>
                <w:sz w:val="15"/>
              </w:rPr>
              <w:t>Area</w:t>
            </w:r>
          </w:p>
        </w:tc>
        <w:tc>
          <w:tcPr>
            <w:tcW w:type="dxa" w:w="7776"/>
            <w:shd w:fill="12263F"/>
            <w:tcMar>
              <w:top w:w="90" w:type="dxa"/>
              <w:start w:w="100" w:type="dxa"/>
              <w:bottom w:w="90" w:type="dxa"/>
              <w:end w:w="100" w:type="dxa"/>
            </w:tcMar>
            <w:vAlign w:val="center"/>
          </w:tcPr>
          <w:p>
            <w:r>
              <w:rPr>
                <w:b/>
                <w:i w:val="0"/>
                <w:color w:val="FFFFFF"/>
                <w:sz w:val="15"/>
              </w:rPr>
              <w:t>Fields</w:t>
            </w:r>
          </w:p>
        </w:tc>
      </w:tr>
      <w:tr>
        <w:tc>
          <w:tcPr>
            <w:tcW w:type="dxa" w:w="2016"/>
            <w:tcMar>
              <w:top w:w="90" w:type="dxa"/>
              <w:start w:w="100" w:type="dxa"/>
              <w:bottom w:w="90" w:type="dxa"/>
              <w:end w:w="100" w:type="dxa"/>
            </w:tcMar>
            <w:vAlign w:val="top"/>
          </w:tcPr>
          <w:p>
            <w:r>
              <w:rPr>
                <w:b w:val="0"/>
                <w:i w:val="0"/>
                <w:color w:val="1F252B"/>
                <w:sz w:val="15"/>
              </w:rPr>
              <w:t>Identity</w:t>
            </w:r>
          </w:p>
        </w:tc>
        <w:tc>
          <w:tcPr>
            <w:tcW w:type="dxa" w:w="7776"/>
            <w:tcMar>
              <w:top w:w="90" w:type="dxa"/>
              <w:start w:w="100" w:type="dxa"/>
              <w:bottom w:w="90" w:type="dxa"/>
              <w:end w:w="100" w:type="dxa"/>
            </w:tcMar>
            <w:vAlign w:val="top"/>
          </w:tcPr>
          <w:p>
            <w:r>
              <w:rPr>
                <w:b w:val="0"/>
                <w:i w:val="0"/>
                <w:color w:val="1F252B"/>
                <w:sz w:val="15"/>
              </w:rPr>
              <w:t>legal name, brand, CRD/SEC identifiers where relevant, parent, channel, headquarters</w:t>
            </w:r>
          </w:p>
        </w:tc>
      </w:tr>
      <w:tr>
        <w:tc>
          <w:tcPr>
            <w:tcW w:type="dxa" w:w="2016"/>
            <w:tcMar>
              <w:top w:w="90" w:type="dxa"/>
              <w:start w:w="100" w:type="dxa"/>
              <w:bottom w:w="90" w:type="dxa"/>
              <w:end w:w="100" w:type="dxa"/>
            </w:tcMar>
            <w:shd w:fill="F5F7FA"/>
            <w:vAlign w:val="top"/>
          </w:tcPr>
          <w:p>
            <w:r>
              <w:rPr>
                <w:b w:val="0"/>
                <w:i w:val="0"/>
                <w:color w:val="1F252B"/>
                <w:sz w:val="15"/>
              </w:rPr>
              <w:t>Coverage</w:t>
            </w:r>
          </w:p>
        </w:tc>
        <w:tc>
          <w:tcPr>
            <w:tcW w:type="dxa" w:w="7776"/>
            <w:tcMar>
              <w:top w:w="90" w:type="dxa"/>
              <w:start w:w="100" w:type="dxa"/>
              <w:bottom w:w="90" w:type="dxa"/>
              <w:end w:w="100" w:type="dxa"/>
            </w:tcMar>
            <w:shd w:fill="F5F7FA"/>
            <w:vAlign w:val="top"/>
          </w:tcPr>
          <w:p>
            <w:r>
              <w:rPr>
                <w:b w:val="0"/>
                <w:i w:val="0"/>
                <w:color w:val="1F252B"/>
                <w:sz w:val="15"/>
              </w:rPr>
              <w:t>markets, branch presence, advisor profiles, submission restrictions and off-limits rules</w:t>
            </w:r>
          </w:p>
        </w:tc>
      </w:tr>
      <w:tr>
        <w:tc>
          <w:tcPr>
            <w:tcW w:type="dxa" w:w="2016"/>
            <w:tcMar>
              <w:top w:w="90" w:type="dxa"/>
              <w:start w:w="100" w:type="dxa"/>
              <w:bottom w:w="90" w:type="dxa"/>
              <w:end w:w="100" w:type="dxa"/>
            </w:tcMar>
            <w:vAlign w:val="top"/>
          </w:tcPr>
          <w:p>
            <w:r>
              <w:rPr>
                <w:b w:val="0"/>
                <w:i w:val="0"/>
                <w:color w:val="1F252B"/>
                <w:sz w:val="15"/>
              </w:rPr>
              <w:t>Capabilities</w:t>
            </w:r>
          </w:p>
        </w:tc>
        <w:tc>
          <w:tcPr>
            <w:tcW w:type="dxa" w:w="7776"/>
            <w:tcMar>
              <w:top w:w="90" w:type="dxa"/>
              <w:start w:w="100" w:type="dxa"/>
              <w:bottom w:w="90" w:type="dxa"/>
              <w:end w:w="100" w:type="dxa"/>
            </w:tcMar>
            <w:vAlign w:val="top"/>
          </w:tcPr>
          <w:p>
            <w:r>
              <w:rPr>
                <w:b w:val="0"/>
                <w:i w:val="0"/>
                <w:color w:val="1F252B"/>
                <w:sz w:val="15"/>
              </w:rPr>
              <w:t>investments, advisory, banking, lending, trust, alternatives, technology, planning</w:t>
            </w:r>
          </w:p>
        </w:tc>
      </w:tr>
      <w:tr>
        <w:tc>
          <w:tcPr>
            <w:tcW w:type="dxa" w:w="2016"/>
            <w:tcMar>
              <w:top w:w="90" w:type="dxa"/>
              <w:start w:w="100" w:type="dxa"/>
              <w:bottom w:w="90" w:type="dxa"/>
              <w:end w:w="100" w:type="dxa"/>
            </w:tcMar>
            <w:shd w:fill="F5F7FA"/>
            <w:vAlign w:val="top"/>
          </w:tcPr>
          <w:p>
            <w:r>
              <w:rPr>
                <w:b w:val="0"/>
                <w:i w:val="0"/>
                <w:color w:val="1F252B"/>
                <w:sz w:val="15"/>
              </w:rPr>
              <w:t>Economics</w:t>
            </w:r>
          </w:p>
        </w:tc>
        <w:tc>
          <w:tcPr>
            <w:tcW w:type="dxa" w:w="7776"/>
            <w:tcMar>
              <w:top w:w="90" w:type="dxa"/>
              <w:start w:w="100" w:type="dxa"/>
              <w:bottom w:w="90" w:type="dxa"/>
              <w:end w:w="100" w:type="dxa"/>
            </w:tcMar>
            <w:shd w:fill="F5F7FA"/>
            <w:vAlign w:val="top"/>
          </w:tcPr>
          <w:p>
            <w:r>
              <w:rPr>
                <w:b w:val="0"/>
                <w:i w:val="0"/>
                <w:color w:val="1F252B"/>
                <w:sz w:val="15"/>
              </w:rPr>
              <w:t>typical deal structures, payout/grids, expenses, equity, succession - stored as dated intelligence</w:t>
            </w:r>
          </w:p>
        </w:tc>
      </w:tr>
      <w:tr>
        <w:tc>
          <w:tcPr>
            <w:tcW w:type="dxa" w:w="2016"/>
            <w:tcMar>
              <w:top w:w="90" w:type="dxa"/>
              <w:start w:w="100" w:type="dxa"/>
              <w:bottom w:w="90" w:type="dxa"/>
              <w:end w:w="100" w:type="dxa"/>
            </w:tcMar>
            <w:vAlign w:val="top"/>
          </w:tcPr>
          <w:p>
            <w:r>
              <w:rPr>
                <w:b w:val="0"/>
                <w:i w:val="0"/>
                <w:color w:val="1F252B"/>
                <w:sz w:val="15"/>
              </w:rPr>
              <w:t>Relationships</w:t>
            </w:r>
          </w:p>
        </w:tc>
        <w:tc>
          <w:tcPr>
            <w:tcW w:type="dxa" w:w="7776"/>
            <w:tcMar>
              <w:top w:w="90" w:type="dxa"/>
              <w:start w:w="100" w:type="dxa"/>
              <w:bottom w:w="90" w:type="dxa"/>
              <w:end w:w="100" w:type="dxa"/>
            </w:tcMar>
            <w:vAlign w:val="top"/>
          </w:tcPr>
          <w:p>
            <w:r>
              <w:rPr>
                <w:b w:val="0"/>
                <w:i w:val="0"/>
                <w:color w:val="1F252B"/>
                <w:sz w:val="15"/>
              </w:rPr>
              <w:t>firm contacts, contracts, fee schedules, active status and last review</w:t>
            </w:r>
          </w:p>
        </w:tc>
      </w:tr>
    </w:tbl>
    <w:p>
      <w:pPr>
        <w:pStyle w:val="Heading2"/>
      </w:pPr>
      <w:r>
        <w:t>Firm opportunity status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872"/>
            <w:shd w:fill="12263F"/>
            <w:tcMar>
              <w:top w:w="90" w:type="dxa"/>
              <w:start w:w="100" w:type="dxa"/>
              <w:bottom w:w="90" w:type="dxa"/>
              <w:end w:w="100" w:type="dxa"/>
            </w:tcMar>
            <w:vAlign w:val="center"/>
          </w:tcPr>
          <w:p>
            <w:r>
              <w:rPr>
                <w:b/>
                <w:i w:val="0"/>
                <w:color w:val="FFFFFF"/>
                <w:sz w:val="14"/>
              </w:rPr>
              <w:t>Status</w:t>
            </w:r>
          </w:p>
        </w:tc>
        <w:tc>
          <w:tcPr>
            <w:tcW w:type="dxa" w:w="5040"/>
            <w:shd w:fill="12263F"/>
            <w:tcMar>
              <w:top w:w="90" w:type="dxa"/>
              <w:start w:w="100" w:type="dxa"/>
              <w:bottom w:w="90" w:type="dxa"/>
              <w:end w:w="100" w:type="dxa"/>
            </w:tcMar>
            <w:vAlign w:val="center"/>
          </w:tcPr>
          <w:p>
            <w:r>
              <w:rPr>
                <w:b/>
                <w:i w:val="0"/>
                <w:color w:val="FFFFFF"/>
                <w:sz w:val="14"/>
              </w:rPr>
              <w:t>Definition</w:t>
            </w:r>
          </w:p>
        </w:tc>
        <w:tc>
          <w:tcPr>
            <w:tcW w:type="dxa" w:w="2880"/>
            <w:shd w:fill="12263F"/>
            <w:tcMar>
              <w:top w:w="90" w:type="dxa"/>
              <w:start w:w="100" w:type="dxa"/>
              <w:bottom w:w="90" w:type="dxa"/>
              <w:end w:w="100" w:type="dxa"/>
            </w:tcMar>
            <w:vAlign w:val="center"/>
          </w:tcPr>
          <w:p>
            <w:r>
              <w:rPr>
                <w:b/>
                <w:i w:val="0"/>
                <w:color w:val="FFFFFF"/>
                <w:sz w:val="14"/>
              </w:rPr>
              <w:t>Gate</w:t>
            </w:r>
          </w:p>
        </w:tc>
      </w:tr>
      <w:tr>
        <w:tc>
          <w:tcPr>
            <w:tcW w:type="dxa" w:w="1872"/>
            <w:tcMar>
              <w:top w:w="90" w:type="dxa"/>
              <w:start w:w="100" w:type="dxa"/>
              <w:bottom w:w="90" w:type="dxa"/>
              <w:end w:w="100" w:type="dxa"/>
            </w:tcMar>
            <w:vAlign w:val="top"/>
          </w:tcPr>
          <w:p>
            <w:r>
              <w:rPr>
                <w:b w:val="0"/>
                <w:i w:val="0"/>
                <w:color w:val="1F252B"/>
                <w:sz w:val="14"/>
              </w:rPr>
              <w:t>Identified</w:t>
            </w:r>
          </w:p>
        </w:tc>
        <w:tc>
          <w:tcPr>
            <w:tcW w:type="dxa" w:w="5040"/>
            <w:tcMar>
              <w:top w:w="90" w:type="dxa"/>
              <w:start w:w="100" w:type="dxa"/>
              <w:bottom w:w="90" w:type="dxa"/>
              <w:end w:w="100" w:type="dxa"/>
            </w:tcMar>
            <w:vAlign w:val="top"/>
          </w:tcPr>
          <w:p>
            <w:r>
              <w:rPr>
                <w:b w:val="0"/>
                <w:i w:val="0"/>
                <w:color w:val="1F252B"/>
                <w:sz w:val="14"/>
              </w:rPr>
              <w:t>Internal candidate only</w:t>
            </w:r>
          </w:p>
        </w:tc>
        <w:tc>
          <w:tcPr>
            <w:tcW w:type="dxa" w:w="2880"/>
            <w:tcMar>
              <w:top w:w="90" w:type="dxa"/>
              <w:start w:w="100" w:type="dxa"/>
              <w:bottom w:w="90" w:type="dxa"/>
              <w:end w:w="100" w:type="dxa"/>
            </w:tcMar>
            <w:vAlign w:val="top"/>
          </w:tcPr>
          <w:p>
            <w:r>
              <w:rPr>
                <w:b w:val="0"/>
                <w:i w:val="0"/>
                <w:color w:val="1F252B"/>
                <w:sz w:val="14"/>
              </w:rPr>
              <w:t>Written reason tied to objectives</w:t>
            </w:r>
          </w:p>
        </w:tc>
      </w:tr>
      <w:tr>
        <w:tc>
          <w:tcPr>
            <w:tcW w:type="dxa" w:w="1872"/>
            <w:tcMar>
              <w:top w:w="90" w:type="dxa"/>
              <w:start w:w="100" w:type="dxa"/>
              <w:bottom w:w="90" w:type="dxa"/>
              <w:end w:w="100" w:type="dxa"/>
            </w:tcMar>
            <w:shd w:fill="F5F7FA"/>
            <w:vAlign w:val="top"/>
          </w:tcPr>
          <w:p>
            <w:r>
              <w:rPr>
                <w:b w:val="0"/>
                <w:i w:val="0"/>
                <w:color w:val="1F252B"/>
                <w:sz w:val="14"/>
              </w:rPr>
              <w:t>Advisor approved</w:t>
            </w:r>
          </w:p>
        </w:tc>
        <w:tc>
          <w:tcPr>
            <w:tcW w:type="dxa" w:w="5040"/>
            <w:tcMar>
              <w:top w:w="90" w:type="dxa"/>
              <w:start w:w="100" w:type="dxa"/>
              <w:bottom w:w="90" w:type="dxa"/>
              <w:end w:w="100" w:type="dxa"/>
            </w:tcMar>
            <w:shd w:fill="F5F7FA"/>
            <w:vAlign w:val="top"/>
          </w:tcPr>
          <w:p>
            <w:r>
              <w:rPr>
                <w:b w:val="0"/>
                <w:i w:val="0"/>
                <w:color w:val="1F252B"/>
                <w:sz w:val="14"/>
              </w:rPr>
              <w:t>Advisor authorizes consideration</w:t>
            </w:r>
          </w:p>
        </w:tc>
        <w:tc>
          <w:tcPr>
            <w:tcW w:type="dxa" w:w="2880"/>
            <w:tcMar>
              <w:top w:w="90" w:type="dxa"/>
              <w:start w:w="100" w:type="dxa"/>
              <w:bottom w:w="90" w:type="dxa"/>
              <w:end w:w="100" w:type="dxa"/>
            </w:tcMar>
            <w:shd w:fill="F5F7FA"/>
            <w:vAlign w:val="top"/>
          </w:tcPr>
          <w:p>
            <w:r>
              <w:rPr>
                <w:b w:val="0"/>
                <w:i w:val="0"/>
                <w:color w:val="1F252B"/>
                <w:sz w:val="14"/>
              </w:rPr>
              <w:t>Consent recorded</w:t>
            </w:r>
          </w:p>
        </w:tc>
      </w:tr>
      <w:tr>
        <w:tc>
          <w:tcPr>
            <w:tcW w:type="dxa" w:w="1872"/>
            <w:tcMar>
              <w:top w:w="90" w:type="dxa"/>
              <w:start w:w="100" w:type="dxa"/>
              <w:bottom w:w="90" w:type="dxa"/>
              <w:end w:w="100" w:type="dxa"/>
            </w:tcMar>
            <w:vAlign w:val="top"/>
          </w:tcPr>
          <w:p>
            <w:r>
              <w:rPr>
                <w:b w:val="0"/>
                <w:i w:val="0"/>
                <w:color w:val="1F252B"/>
                <w:sz w:val="14"/>
              </w:rPr>
              <w:t>Blind check</w:t>
            </w:r>
          </w:p>
        </w:tc>
        <w:tc>
          <w:tcPr>
            <w:tcW w:type="dxa" w:w="5040"/>
            <w:tcMar>
              <w:top w:w="90" w:type="dxa"/>
              <w:start w:w="100" w:type="dxa"/>
              <w:bottom w:w="90" w:type="dxa"/>
              <w:end w:w="100" w:type="dxa"/>
            </w:tcMar>
            <w:vAlign w:val="top"/>
          </w:tcPr>
          <w:p>
            <w:r>
              <w:rPr>
                <w:b w:val="0"/>
                <w:i w:val="0"/>
                <w:color w:val="1F252B"/>
                <w:sz w:val="14"/>
              </w:rPr>
              <w:t>Limited nonidentifying market check</w:t>
            </w:r>
          </w:p>
        </w:tc>
        <w:tc>
          <w:tcPr>
            <w:tcW w:type="dxa" w:w="2880"/>
            <w:tcMar>
              <w:top w:w="90" w:type="dxa"/>
              <w:start w:w="100" w:type="dxa"/>
              <w:bottom w:w="90" w:type="dxa"/>
              <w:end w:w="100" w:type="dxa"/>
            </w:tcMar>
            <w:vAlign w:val="top"/>
          </w:tcPr>
          <w:p>
            <w:r>
              <w:rPr>
                <w:b w:val="0"/>
                <w:i w:val="0"/>
                <w:color w:val="1F252B"/>
                <w:sz w:val="14"/>
              </w:rPr>
              <w:t>No advisor identity shared</w:t>
            </w:r>
          </w:p>
        </w:tc>
      </w:tr>
      <w:tr>
        <w:tc>
          <w:tcPr>
            <w:tcW w:type="dxa" w:w="1872"/>
            <w:tcMar>
              <w:top w:w="90" w:type="dxa"/>
              <w:start w:w="100" w:type="dxa"/>
              <w:bottom w:w="90" w:type="dxa"/>
              <w:end w:w="100" w:type="dxa"/>
            </w:tcMar>
            <w:shd w:fill="F5F7FA"/>
            <w:vAlign w:val="top"/>
          </w:tcPr>
          <w:p>
            <w:r>
              <w:rPr>
                <w:b w:val="0"/>
                <w:i w:val="0"/>
                <w:color w:val="1F252B"/>
                <w:sz w:val="14"/>
              </w:rPr>
              <w:t>Submitted</w:t>
            </w:r>
          </w:p>
        </w:tc>
        <w:tc>
          <w:tcPr>
            <w:tcW w:type="dxa" w:w="5040"/>
            <w:tcMar>
              <w:top w:w="90" w:type="dxa"/>
              <w:start w:w="100" w:type="dxa"/>
              <w:bottom w:w="90" w:type="dxa"/>
              <w:end w:w="100" w:type="dxa"/>
            </w:tcMar>
            <w:shd w:fill="F5F7FA"/>
            <w:vAlign w:val="top"/>
          </w:tcPr>
          <w:p>
            <w:r>
              <w:rPr>
                <w:b w:val="0"/>
                <w:i w:val="0"/>
                <w:color w:val="1F252B"/>
                <w:sz w:val="14"/>
              </w:rPr>
              <w:t>Named lead sent</w:t>
            </w:r>
          </w:p>
        </w:tc>
        <w:tc>
          <w:tcPr>
            <w:tcW w:type="dxa" w:w="2880"/>
            <w:tcMar>
              <w:top w:w="90" w:type="dxa"/>
              <w:start w:w="100" w:type="dxa"/>
              <w:bottom w:w="90" w:type="dxa"/>
              <w:end w:w="100" w:type="dxa"/>
            </w:tcMar>
            <w:shd w:fill="F5F7FA"/>
            <w:vAlign w:val="top"/>
          </w:tcPr>
          <w:p>
            <w:r>
              <w:rPr>
                <w:b w:val="0"/>
                <w:i w:val="0"/>
                <w:color w:val="1F252B"/>
                <w:sz w:val="14"/>
              </w:rPr>
              <w:t>Submission packet and authorization stored</w:t>
            </w:r>
          </w:p>
        </w:tc>
      </w:tr>
      <w:tr>
        <w:tc>
          <w:tcPr>
            <w:tcW w:type="dxa" w:w="1872"/>
            <w:tcMar>
              <w:top w:w="90" w:type="dxa"/>
              <w:start w:w="100" w:type="dxa"/>
              <w:bottom w:w="90" w:type="dxa"/>
              <w:end w:w="100" w:type="dxa"/>
            </w:tcMar>
            <w:vAlign w:val="top"/>
          </w:tcPr>
          <w:p>
            <w:r>
              <w:rPr>
                <w:b w:val="0"/>
                <w:i w:val="0"/>
                <w:color w:val="1F252B"/>
                <w:sz w:val="14"/>
              </w:rPr>
              <w:t>Firm reviewing</w:t>
            </w:r>
          </w:p>
        </w:tc>
        <w:tc>
          <w:tcPr>
            <w:tcW w:type="dxa" w:w="5040"/>
            <w:tcMar>
              <w:top w:w="90" w:type="dxa"/>
              <w:start w:w="100" w:type="dxa"/>
              <w:bottom w:w="90" w:type="dxa"/>
              <w:end w:w="100" w:type="dxa"/>
            </w:tcMar>
            <w:vAlign w:val="top"/>
          </w:tcPr>
          <w:p>
            <w:r>
              <w:rPr>
                <w:b w:val="0"/>
                <w:i w:val="0"/>
                <w:color w:val="1F252B"/>
                <w:sz w:val="14"/>
              </w:rPr>
              <w:t>Firm has acknowledged</w:t>
            </w:r>
          </w:p>
        </w:tc>
        <w:tc>
          <w:tcPr>
            <w:tcW w:type="dxa" w:w="2880"/>
            <w:tcMar>
              <w:top w:w="90" w:type="dxa"/>
              <w:start w:w="100" w:type="dxa"/>
              <w:bottom w:w="90" w:type="dxa"/>
              <w:end w:w="100" w:type="dxa"/>
            </w:tcMar>
            <w:vAlign w:val="top"/>
          </w:tcPr>
          <w:p>
            <w:r>
              <w:rPr>
                <w:b w:val="0"/>
                <w:i w:val="0"/>
                <w:color w:val="1F252B"/>
                <w:sz w:val="14"/>
              </w:rPr>
              <w:t>Next response date</w:t>
            </w:r>
          </w:p>
        </w:tc>
      </w:tr>
      <w:tr>
        <w:tc>
          <w:tcPr>
            <w:tcW w:type="dxa" w:w="1872"/>
            <w:tcMar>
              <w:top w:w="90" w:type="dxa"/>
              <w:start w:w="100" w:type="dxa"/>
              <w:bottom w:w="90" w:type="dxa"/>
              <w:end w:w="100" w:type="dxa"/>
            </w:tcMar>
            <w:shd w:fill="F5F7FA"/>
            <w:vAlign w:val="top"/>
          </w:tcPr>
          <w:p>
            <w:r>
              <w:rPr>
                <w:b w:val="0"/>
                <w:i w:val="0"/>
                <w:color w:val="1F252B"/>
                <w:sz w:val="14"/>
              </w:rPr>
              <w:t>Firm interested</w:t>
            </w:r>
          </w:p>
        </w:tc>
        <w:tc>
          <w:tcPr>
            <w:tcW w:type="dxa" w:w="5040"/>
            <w:tcMar>
              <w:top w:w="90" w:type="dxa"/>
              <w:start w:w="100" w:type="dxa"/>
              <w:bottom w:w="90" w:type="dxa"/>
              <w:end w:w="100" w:type="dxa"/>
            </w:tcMar>
            <w:shd w:fill="F5F7FA"/>
            <w:vAlign w:val="top"/>
          </w:tcPr>
          <w:p>
            <w:r>
              <w:rPr>
                <w:b w:val="0"/>
                <w:i w:val="0"/>
                <w:color w:val="1F252B"/>
                <w:sz w:val="14"/>
              </w:rPr>
              <w:t>Mutual exploration possible</w:t>
            </w:r>
          </w:p>
        </w:tc>
        <w:tc>
          <w:tcPr>
            <w:tcW w:type="dxa" w:w="2880"/>
            <w:tcMar>
              <w:top w:w="90" w:type="dxa"/>
              <w:start w:w="100" w:type="dxa"/>
              <w:bottom w:w="90" w:type="dxa"/>
              <w:end w:w="100" w:type="dxa"/>
            </w:tcMar>
            <w:shd w:fill="F5F7FA"/>
            <w:vAlign w:val="top"/>
          </w:tcPr>
          <w:p>
            <w:r>
              <w:rPr>
                <w:b w:val="0"/>
                <w:i w:val="0"/>
                <w:color w:val="1F252B"/>
                <w:sz w:val="14"/>
              </w:rPr>
              <w:t>Intro meeting scheduled or planned</w:t>
            </w:r>
          </w:p>
        </w:tc>
      </w:tr>
      <w:tr>
        <w:tc>
          <w:tcPr>
            <w:tcW w:type="dxa" w:w="1872"/>
            <w:tcMar>
              <w:top w:w="90" w:type="dxa"/>
              <w:start w:w="100" w:type="dxa"/>
              <w:bottom w:w="90" w:type="dxa"/>
              <w:end w:w="100" w:type="dxa"/>
            </w:tcMar>
            <w:vAlign w:val="top"/>
          </w:tcPr>
          <w:p>
            <w:r>
              <w:rPr>
                <w:b w:val="0"/>
                <w:i w:val="0"/>
                <w:color w:val="1F252B"/>
                <w:sz w:val="14"/>
              </w:rPr>
              <w:t>Meeting complete</w:t>
            </w:r>
          </w:p>
        </w:tc>
        <w:tc>
          <w:tcPr>
            <w:tcW w:type="dxa" w:w="5040"/>
            <w:tcMar>
              <w:top w:w="90" w:type="dxa"/>
              <w:start w:w="100" w:type="dxa"/>
              <w:bottom w:w="90" w:type="dxa"/>
              <w:end w:w="100" w:type="dxa"/>
            </w:tcMar>
            <w:vAlign w:val="top"/>
          </w:tcPr>
          <w:p>
            <w:r>
              <w:rPr>
                <w:b w:val="0"/>
                <w:i w:val="0"/>
                <w:color w:val="1F252B"/>
                <w:sz w:val="14"/>
              </w:rPr>
              <w:t>Initial meeting occurred</w:t>
            </w:r>
          </w:p>
        </w:tc>
        <w:tc>
          <w:tcPr>
            <w:tcW w:type="dxa" w:w="2880"/>
            <w:tcMar>
              <w:top w:w="90" w:type="dxa"/>
              <w:start w:w="100" w:type="dxa"/>
              <w:bottom w:w="90" w:type="dxa"/>
              <w:end w:w="100" w:type="dxa"/>
            </w:tcMar>
            <w:vAlign w:val="top"/>
          </w:tcPr>
          <w:p>
            <w:r>
              <w:rPr>
                <w:b w:val="0"/>
                <w:i w:val="0"/>
                <w:color w:val="1F252B"/>
                <w:sz w:val="14"/>
              </w:rPr>
              <w:t>Debrief and advance/decline decision</w:t>
            </w:r>
          </w:p>
        </w:tc>
      </w:tr>
      <w:tr>
        <w:tc>
          <w:tcPr>
            <w:tcW w:type="dxa" w:w="1872"/>
            <w:tcMar>
              <w:top w:w="90" w:type="dxa"/>
              <w:start w:w="100" w:type="dxa"/>
              <w:bottom w:w="90" w:type="dxa"/>
              <w:end w:w="100" w:type="dxa"/>
            </w:tcMar>
            <w:shd w:fill="F5F7FA"/>
            <w:vAlign w:val="top"/>
          </w:tcPr>
          <w:p>
            <w:r>
              <w:rPr>
                <w:b w:val="0"/>
                <w:i w:val="0"/>
                <w:color w:val="1F252B"/>
                <w:sz w:val="14"/>
              </w:rPr>
              <w:t>Due diligence</w:t>
            </w:r>
          </w:p>
        </w:tc>
        <w:tc>
          <w:tcPr>
            <w:tcW w:type="dxa" w:w="5040"/>
            <w:tcMar>
              <w:top w:w="90" w:type="dxa"/>
              <w:start w:w="100" w:type="dxa"/>
              <w:bottom w:w="90" w:type="dxa"/>
              <w:end w:w="100" w:type="dxa"/>
            </w:tcMar>
            <w:shd w:fill="F5F7FA"/>
            <w:vAlign w:val="top"/>
          </w:tcPr>
          <w:p>
            <w:r>
              <w:rPr>
                <w:b w:val="0"/>
                <w:i w:val="0"/>
                <w:color w:val="1F252B"/>
                <w:sz w:val="14"/>
              </w:rPr>
              <w:t>Substantive testing underway</w:t>
            </w:r>
          </w:p>
        </w:tc>
        <w:tc>
          <w:tcPr>
            <w:tcW w:type="dxa" w:w="2880"/>
            <w:tcMar>
              <w:top w:w="90" w:type="dxa"/>
              <w:start w:w="100" w:type="dxa"/>
              <w:bottom w:w="90" w:type="dxa"/>
              <w:end w:w="100" w:type="dxa"/>
            </w:tcMar>
            <w:shd w:fill="F5F7FA"/>
            <w:vAlign w:val="top"/>
          </w:tcPr>
          <w:p>
            <w:r>
              <w:rPr>
                <w:b w:val="0"/>
                <w:i w:val="0"/>
                <w:color w:val="1F252B"/>
                <w:sz w:val="14"/>
              </w:rPr>
              <w:t>BRANCH issues and owners tracked</w:t>
            </w:r>
          </w:p>
        </w:tc>
      </w:tr>
      <w:tr>
        <w:tc>
          <w:tcPr>
            <w:tcW w:type="dxa" w:w="1872"/>
            <w:tcMar>
              <w:top w:w="90" w:type="dxa"/>
              <w:start w:w="100" w:type="dxa"/>
              <w:bottom w:w="90" w:type="dxa"/>
              <w:end w:w="100" w:type="dxa"/>
            </w:tcMar>
            <w:vAlign w:val="top"/>
          </w:tcPr>
          <w:p>
            <w:r>
              <w:rPr>
                <w:b w:val="0"/>
                <w:i w:val="0"/>
                <w:color w:val="1F252B"/>
                <w:sz w:val="14"/>
              </w:rPr>
              <w:t>Proposal requested</w:t>
            </w:r>
          </w:p>
        </w:tc>
        <w:tc>
          <w:tcPr>
            <w:tcW w:type="dxa" w:w="5040"/>
            <w:tcMar>
              <w:top w:w="90" w:type="dxa"/>
              <w:start w:w="100" w:type="dxa"/>
              <w:bottom w:w="90" w:type="dxa"/>
              <w:end w:w="100" w:type="dxa"/>
            </w:tcMar>
            <w:vAlign w:val="top"/>
          </w:tcPr>
          <w:p>
            <w:r>
              <w:rPr>
                <w:b w:val="0"/>
                <w:i w:val="0"/>
                <w:color w:val="1F252B"/>
                <w:sz w:val="14"/>
              </w:rPr>
              <w:t>Firm preparing economics</w:t>
            </w:r>
          </w:p>
        </w:tc>
        <w:tc>
          <w:tcPr>
            <w:tcW w:type="dxa" w:w="2880"/>
            <w:tcMar>
              <w:top w:w="90" w:type="dxa"/>
              <w:start w:w="100" w:type="dxa"/>
              <w:bottom w:w="90" w:type="dxa"/>
              <w:end w:w="100" w:type="dxa"/>
            </w:tcMar>
            <w:vAlign w:val="top"/>
          </w:tcPr>
          <w:p>
            <w:r>
              <w:rPr>
                <w:b w:val="0"/>
                <w:i w:val="0"/>
                <w:color w:val="1F252B"/>
                <w:sz w:val="14"/>
              </w:rPr>
              <w:t>Data request scope approved</w:t>
            </w:r>
          </w:p>
        </w:tc>
      </w:tr>
      <w:tr>
        <w:tc>
          <w:tcPr>
            <w:tcW w:type="dxa" w:w="1872"/>
            <w:tcMar>
              <w:top w:w="90" w:type="dxa"/>
              <w:start w:w="100" w:type="dxa"/>
              <w:bottom w:w="90" w:type="dxa"/>
              <w:end w:w="100" w:type="dxa"/>
            </w:tcMar>
            <w:shd w:fill="F5F7FA"/>
            <w:vAlign w:val="top"/>
          </w:tcPr>
          <w:p>
            <w:r>
              <w:rPr>
                <w:b w:val="0"/>
                <w:i w:val="0"/>
                <w:color w:val="1F252B"/>
                <w:sz w:val="14"/>
              </w:rPr>
              <w:t>Proposal received</w:t>
            </w:r>
          </w:p>
        </w:tc>
        <w:tc>
          <w:tcPr>
            <w:tcW w:type="dxa" w:w="5040"/>
            <w:tcMar>
              <w:top w:w="90" w:type="dxa"/>
              <w:start w:w="100" w:type="dxa"/>
              <w:bottom w:w="90" w:type="dxa"/>
              <w:end w:w="100" w:type="dxa"/>
            </w:tcMar>
            <w:shd w:fill="F5F7FA"/>
            <w:vAlign w:val="top"/>
          </w:tcPr>
          <w:p>
            <w:r>
              <w:rPr>
                <w:b w:val="0"/>
                <w:i w:val="0"/>
                <w:color w:val="1F252B"/>
                <w:sz w:val="14"/>
              </w:rPr>
              <w:t>Written terms available</w:t>
            </w:r>
          </w:p>
        </w:tc>
        <w:tc>
          <w:tcPr>
            <w:tcW w:type="dxa" w:w="2880"/>
            <w:tcMar>
              <w:top w:w="90" w:type="dxa"/>
              <w:start w:w="100" w:type="dxa"/>
              <w:bottom w:w="90" w:type="dxa"/>
              <w:end w:w="100" w:type="dxa"/>
            </w:tcMar>
            <w:shd w:fill="F5F7FA"/>
            <w:vAlign w:val="top"/>
          </w:tcPr>
          <w:p>
            <w:r>
              <w:rPr>
                <w:b w:val="0"/>
                <w:i w:val="0"/>
                <w:color w:val="1F252B"/>
                <w:sz w:val="14"/>
              </w:rPr>
              <w:t>Document stored and review task created</w:t>
            </w:r>
          </w:p>
        </w:tc>
      </w:tr>
      <w:tr>
        <w:tc>
          <w:tcPr>
            <w:tcW w:type="dxa" w:w="1872"/>
            <w:tcMar>
              <w:top w:w="90" w:type="dxa"/>
              <w:start w:w="100" w:type="dxa"/>
              <w:bottom w:w="90" w:type="dxa"/>
              <w:end w:w="100" w:type="dxa"/>
            </w:tcMar>
            <w:vAlign w:val="top"/>
          </w:tcPr>
          <w:p>
            <w:r>
              <w:rPr>
                <w:b w:val="0"/>
                <w:i w:val="0"/>
                <w:color w:val="1F252B"/>
                <w:sz w:val="14"/>
              </w:rPr>
              <w:t>Finalist</w:t>
            </w:r>
          </w:p>
        </w:tc>
        <w:tc>
          <w:tcPr>
            <w:tcW w:type="dxa" w:w="5040"/>
            <w:tcMar>
              <w:top w:w="90" w:type="dxa"/>
              <w:start w:w="100" w:type="dxa"/>
              <w:bottom w:w="90" w:type="dxa"/>
              <w:end w:w="100" w:type="dxa"/>
            </w:tcMar>
            <w:vAlign w:val="top"/>
          </w:tcPr>
          <w:p>
            <w:r>
              <w:rPr>
                <w:b w:val="0"/>
                <w:i w:val="0"/>
                <w:color w:val="1F252B"/>
                <w:sz w:val="14"/>
              </w:rPr>
              <w:t>Genuine decision candidate</w:t>
            </w:r>
          </w:p>
        </w:tc>
        <w:tc>
          <w:tcPr>
            <w:tcW w:type="dxa" w:w="2880"/>
            <w:tcMar>
              <w:top w:w="90" w:type="dxa"/>
              <w:start w:w="100" w:type="dxa"/>
              <w:bottom w:w="90" w:type="dxa"/>
              <w:end w:w="100" w:type="dxa"/>
            </w:tcMar>
            <w:vAlign w:val="top"/>
          </w:tcPr>
          <w:p>
            <w:r>
              <w:rPr>
                <w:b w:val="0"/>
                <w:i w:val="0"/>
                <w:color w:val="1F252B"/>
                <w:sz w:val="14"/>
              </w:rPr>
              <w:t>Key diligence and economics substantially complete</w:t>
            </w:r>
          </w:p>
        </w:tc>
      </w:tr>
      <w:tr>
        <w:tc>
          <w:tcPr>
            <w:tcW w:type="dxa" w:w="1872"/>
            <w:tcMar>
              <w:top w:w="90" w:type="dxa"/>
              <w:start w:w="100" w:type="dxa"/>
              <w:bottom w:w="90" w:type="dxa"/>
              <w:end w:w="100" w:type="dxa"/>
            </w:tcMar>
            <w:shd w:fill="F5F7FA"/>
            <w:vAlign w:val="top"/>
          </w:tcPr>
          <w:p>
            <w:r>
              <w:rPr>
                <w:b w:val="0"/>
                <w:i w:val="0"/>
                <w:color w:val="1F252B"/>
                <w:sz w:val="14"/>
              </w:rPr>
              <w:t>Selected</w:t>
            </w:r>
          </w:p>
        </w:tc>
        <w:tc>
          <w:tcPr>
            <w:tcW w:type="dxa" w:w="5040"/>
            <w:tcMar>
              <w:top w:w="90" w:type="dxa"/>
              <w:start w:w="100" w:type="dxa"/>
              <w:bottom w:w="90" w:type="dxa"/>
              <w:end w:w="100" w:type="dxa"/>
            </w:tcMar>
            <w:shd w:fill="F5F7FA"/>
            <w:vAlign w:val="top"/>
          </w:tcPr>
          <w:p>
            <w:r>
              <w:rPr>
                <w:b w:val="0"/>
                <w:i w:val="0"/>
                <w:color w:val="1F252B"/>
                <w:sz w:val="14"/>
              </w:rPr>
              <w:t>Advisor chose firm</w:t>
            </w:r>
          </w:p>
        </w:tc>
        <w:tc>
          <w:tcPr>
            <w:tcW w:type="dxa" w:w="2880"/>
            <w:tcMar>
              <w:top w:w="90" w:type="dxa"/>
              <w:start w:w="100" w:type="dxa"/>
              <w:bottom w:w="90" w:type="dxa"/>
              <w:end w:w="100" w:type="dxa"/>
            </w:tcMar>
            <w:shd w:fill="F5F7FA"/>
            <w:vAlign w:val="top"/>
          </w:tcPr>
          <w:p>
            <w:r>
              <w:rPr>
                <w:b w:val="0"/>
                <w:i w:val="0"/>
                <w:color w:val="1F252B"/>
                <w:sz w:val="14"/>
              </w:rPr>
              <w:t>Pre-transition conditions documented</w:t>
            </w:r>
          </w:p>
        </w:tc>
      </w:tr>
      <w:tr>
        <w:tc>
          <w:tcPr>
            <w:tcW w:type="dxa" w:w="1872"/>
            <w:tcMar>
              <w:top w:w="90" w:type="dxa"/>
              <w:start w:w="100" w:type="dxa"/>
              <w:bottom w:w="90" w:type="dxa"/>
              <w:end w:w="100" w:type="dxa"/>
            </w:tcMar>
            <w:vAlign w:val="top"/>
          </w:tcPr>
          <w:p>
            <w:r>
              <w:rPr>
                <w:b w:val="0"/>
                <w:i w:val="0"/>
                <w:color w:val="1F252B"/>
                <w:sz w:val="14"/>
              </w:rPr>
              <w:t>Declined / withdrawn / hold</w:t>
            </w:r>
          </w:p>
        </w:tc>
        <w:tc>
          <w:tcPr>
            <w:tcW w:type="dxa" w:w="5040"/>
            <w:tcMar>
              <w:top w:w="90" w:type="dxa"/>
              <w:start w:w="100" w:type="dxa"/>
              <w:bottom w:w="90" w:type="dxa"/>
              <w:end w:w="100" w:type="dxa"/>
            </w:tcMar>
            <w:vAlign w:val="top"/>
          </w:tcPr>
          <w:p>
            <w:r>
              <w:rPr>
                <w:b w:val="0"/>
                <w:i w:val="0"/>
                <w:color w:val="1F252B"/>
                <w:sz w:val="14"/>
              </w:rPr>
              <w:t>No longer active</w:t>
            </w:r>
          </w:p>
        </w:tc>
        <w:tc>
          <w:tcPr>
            <w:tcW w:type="dxa" w:w="2880"/>
            <w:tcMar>
              <w:top w:w="90" w:type="dxa"/>
              <w:start w:w="100" w:type="dxa"/>
              <w:bottom w:w="90" w:type="dxa"/>
              <w:end w:w="100" w:type="dxa"/>
            </w:tcMar>
            <w:vAlign w:val="top"/>
          </w:tcPr>
          <w:p>
            <w:r>
              <w:rPr>
                <w:b w:val="0"/>
                <w:i w:val="0"/>
                <w:color w:val="1F252B"/>
                <w:sz w:val="14"/>
              </w:rPr>
              <w:t>Reason and future relevance recorded</w:t>
            </w:r>
          </w:p>
        </w:tc>
      </w:tr>
    </w:tbl>
    <w:p>
      <w:pPr>
        <w:pStyle w:val="Heading1"/>
      </w:pPr>
      <w:r>
        <w:t>07  Meetings, Tasks and Deliverables</w:t>
      </w:r>
    </w:p>
    <w:p>
      <w:pPr>
        <w:pStyle w:val="Heading2"/>
      </w:pPr>
      <w:r>
        <w:t>Meeting record</w:t>
      </w:r>
    </w:p>
    <w:p>
      <w:pPr>
        <w:pStyle w:val="ListBullet"/>
      </w:pPr>
      <w:r>
        <w:t>Meeting type, scheduled/completed dates, participants and opportunity.</w:t>
      </w:r>
    </w:p>
    <w:p>
      <w:pPr>
        <w:pStyle w:val="ListBullet"/>
      </w:pPr>
      <w:r>
        <w:t>Objective, prepared questions and documents used.</w:t>
      </w:r>
    </w:p>
    <w:p>
      <w:pPr>
        <w:pStyle w:val="ListBullet"/>
      </w:pPr>
      <w:r>
        <w:t>Advisor statements, firm representations and VYNE analysis stored separately where practical.</w:t>
      </w:r>
    </w:p>
    <w:p>
      <w:pPr>
        <w:pStyle w:val="ListBullet"/>
      </w:pPr>
      <w:r>
        <w:t>Decisions, commitments, open questions and next actions.</w:t>
      </w:r>
    </w:p>
    <w:p>
      <w:pPr>
        <w:pStyle w:val="ListBullet"/>
      </w:pPr>
      <w:r>
        <w:t>Follow-up sent date and advisor approval/correction when material.</w:t>
      </w:r>
    </w:p>
    <w:p>
      <w:pPr>
        <w:pStyle w:val="Heading2"/>
      </w:pPr>
      <w:r>
        <w:t>Task rules</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12263F"/>
            <w:tcMar>
              <w:top w:w="90" w:type="dxa"/>
              <w:start w:w="100" w:type="dxa"/>
              <w:bottom w:w="90" w:type="dxa"/>
              <w:end w:w="100" w:type="dxa"/>
            </w:tcMar>
            <w:vAlign w:val="center"/>
          </w:tcPr>
          <w:p>
            <w:r>
              <w:rPr>
                <w:b/>
                <w:i w:val="0"/>
                <w:color w:val="FFFFFF"/>
                <w:sz w:val="15"/>
              </w:rPr>
              <w:t>Rule</w:t>
            </w:r>
          </w:p>
        </w:tc>
        <w:tc>
          <w:tcPr>
            <w:tcW w:type="dxa" w:w="8136"/>
            <w:shd w:fill="12263F"/>
            <w:tcMar>
              <w:top w:w="90" w:type="dxa"/>
              <w:start w:w="100" w:type="dxa"/>
              <w:bottom w:w="90" w:type="dxa"/>
              <w:end w:w="100" w:type="dxa"/>
            </w:tcMar>
            <w:vAlign w:val="center"/>
          </w:tcPr>
          <w:p>
            <w:r>
              <w:rPr>
                <w:b/>
                <w:i w:val="0"/>
                <w:color w:val="FFFFFF"/>
                <w:sz w:val="15"/>
              </w:rPr>
              <w:t>Requirement</w:t>
            </w:r>
          </w:p>
        </w:tc>
      </w:tr>
      <w:tr>
        <w:tc>
          <w:tcPr>
            <w:tcW w:type="dxa" w:w="1800"/>
            <w:tcMar>
              <w:top w:w="90" w:type="dxa"/>
              <w:start w:w="100" w:type="dxa"/>
              <w:bottom w:w="90" w:type="dxa"/>
              <w:end w:w="100" w:type="dxa"/>
            </w:tcMar>
            <w:vAlign w:val="top"/>
          </w:tcPr>
          <w:p>
            <w:r>
              <w:rPr>
                <w:b w:val="0"/>
                <w:i w:val="0"/>
                <w:color w:val="1F252B"/>
                <w:sz w:val="15"/>
              </w:rPr>
              <w:t>Ownership</w:t>
            </w:r>
          </w:p>
        </w:tc>
        <w:tc>
          <w:tcPr>
            <w:tcW w:type="dxa" w:w="8136"/>
            <w:tcMar>
              <w:top w:w="90" w:type="dxa"/>
              <w:start w:w="100" w:type="dxa"/>
              <w:bottom w:w="90" w:type="dxa"/>
              <w:end w:w="100" w:type="dxa"/>
            </w:tcMar>
            <w:vAlign w:val="top"/>
          </w:tcPr>
          <w:p>
            <w:r>
              <w:rPr>
                <w:b w:val="0"/>
                <w:i w:val="0"/>
                <w:color w:val="1F252B"/>
                <w:sz w:val="15"/>
              </w:rPr>
              <w:t>Every active task has one accountable owner.</w:t>
            </w:r>
          </w:p>
        </w:tc>
      </w:tr>
      <w:tr>
        <w:tc>
          <w:tcPr>
            <w:tcW w:type="dxa" w:w="1800"/>
            <w:tcMar>
              <w:top w:w="90" w:type="dxa"/>
              <w:start w:w="100" w:type="dxa"/>
              <w:bottom w:w="90" w:type="dxa"/>
              <w:end w:w="100" w:type="dxa"/>
            </w:tcMar>
            <w:shd w:fill="F5F7FA"/>
            <w:vAlign w:val="top"/>
          </w:tcPr>
          <w:p>
            <w:r>
              <w:rPr>
                <w:b w:val="0"/>
                <w:i w:val="0"/>
                <w:color w:val="1F252B"/>
                <w:sz w:val="15"/>
              </w:rPr>
              <w:t>Deadline</w:t>
            </w:r>
          </w:p>
        </w:tc>
        <w:tc>
          <w:tcPr>
            <w:tcW w:type="dxa" w:w="8136"/>
            <w:tcMar>
              <w:top w:w="90" w:type="dxa"/>
              <w:start w:w="100" w:type="dxa"/>
              <w:bottom w:w="90" w:type="dxa"/>
              <w:end w:w="100" w:type="dxa"/>
            </w:tcMar>
            <w:shd w:fill="F5F7FA"/>
            <w:vAlign w:val="top"/>
          </w:tcPr>
          <w:p>
            <w:r>
              <w:rPr>
                <w:b w:val="0"/>
                <w:i w:val="0"/>
                <w:color w:val="1F252B"/>
                <w:sz w:val="15"/>
              </w:rPr>
              <w:t>Every active case has a dated next action.</w:t>
            </w:r>
          </w:p>
        </w:tc>
      </w:tr>
      <w:tr>
        <w:tc>
          <w:tcPr>
            <w:tcW w:type="dxa" w:w="1800"/>
            <w:tcMar>
              <w:top w:w="90" w:type="dxa"/>
              <w:start w:w="100" w:type="dxa"/>
              <w:bottom w:w="90" w:type="dxa"/>
              <w:end w:w="100" w:type="dxa"/>
            </w:tcMar>
            <w:vAlign w:val="top"/>
          </w:tcPr>
          <w:p>
            <w:r>
              <w:rPr>
                <w:b w:val="0"/>
                <w:i w:val="0"/>
                <w:color w:val="1F252B"/>
                <w:sz w:val="15"/>
              </w:rPr>
              <w:t>Completion evidence</w:t>
            </w:r>
          </w:p>
        </w:tc>
        <w:tc>
          <w:tcPr>
            <w:tcW w:type="dxa" w:w="8136"/>
            <w:tcMar>
              <w:top w:w="90" w:type="dxa"/>
              <w:start w:w="100" w:type="dxa"/>
              <w:bottom w:w="90" w:type="dxa"/>
              <w:end w:w="100" w:type="dxa"/>
            </w:tcMar>
            <w:vAlign w:val="top"/>
          </w:tcPr>
          <w:p>
            <w:r>
              <w:rPr>
                <w:b w:val="0"/>
                <w:i w:val="0"/>
                <w:color w:val="1F252B"/>
                <w:sz w:val="15"/>
              </w:rPr>
              <w:t>Material tasks reference the email, meeting, document or outcome that completes them.</w:t>
            </w:r>
          </w:p>
        </w:tc>
      </w:tr>
      <w:tr>
        <w:tc>
          <w:tcPr>
            <w:tcW w:type="dxa" w:w="1800"/>
            <w:tcMar>
              <w:top w:w="90" w:type="dxa"/>
              <w:start w:w="100" w:type="dxa"/>
              <w:bottom w:w="90" w:type="dxa"/>
              <w:end w:w="100" w:type="dxa"/>
            </w:tcMar>
            <w:shd w:fill="F5F7FA"/>
            <w:vAlign w:val="top"/>
          </w:tcPr>
          <w:p>
            <w:r>
              <w:rPr>
                <w:b w:val="0"/>
                <w:i w:val="0"/>
                <w:color w:val="1F252B"/>
                <w:sz w:val="15"/>
              </w:rPr>
              <w:t>Escalation</w:t>
            </w:r>
          </w:p>
        </w:tc>
        <w:tc>
          <w:tcPr>
            <w:tcW w:type="dxa" w:w="8136"/>
            <w:tcMar>
              <w:top w:w="90" w:type="dxa"/>
              <w:start w:w="100" w:type="dxa"/>
              <w:bottom w:w="90" w:type="dxa"/>
              <w:end w:w="100" w:type="dxa"/>
            </w:tcMar>
            <w:shd w:fill="F5F7FA"/>
            <w:vAlign w:val="top"/>
          </w:tcPr>
          <w:p>
            <w:r>
              <w:rPr>
                <w:b w:val="0"/>
                <w:i w:val="0"/>
                <w:color w:val="1F252B"/>
                <w:sz w:val="15"/>
              </w:rPr>
              <w:t>Overdue critical tasks appear in the Chief of Staff brief.</w:t>
            </w:r>
          </w:p>
        </w:tc>
      </w:tr>
      <w:tr>
        <w:tc>
          <w:tcPr>
            <w:tcW w:type="dxa" w:w="1800"/>
            <w:tcMar>
              <w:top w:w="90" w:type="dxa"/>
              <w:start w:w="100" w:type="dxa"/>
              <w:bottom w:w="90" w:type="dxa"/>
              <w:end w:w="100" w:type="dxa"/>
            </w:tcMar>
            <w:vAlign w:val="top"/>
          </w:tcPr>
          <w:p>
            <w:r>
              <w:rPr>
                <w:b w:val="0"/>
                <w:i w:val="0"/>
                <w:color w:val="1F252B"/>
                <w:sz w:val="15"/>
              </w:rPr>
              <w:t>No check-in tasks</w:t>
            </w:r>
          </w:p>
        </w:tc>
        <w:tc>
          <w:tcPr>
            <w:tcW w:type="dxa" w:w="8136"/>
            <w:tcMar>
              <w:top w:w="90" w:type="dxa"/>
              <w:start w:w="100" w:type="dxa"/>
              <w:bottom w:w="90" w:type="dxa"/>
              <w:end w:w="100" w:type="dxa"/>
            </w:tcMar>
            <w:vAlign w:val="top"/>
          </w:tcPr>
          <w:p>
            <w:r>
              <w:rPr>
                <w:b w:val="0"/>
                <w:i w:val="0"/>
                <w:color w:val="1F252B"/>
                <w:sz w:val="15"/>
              </w:rPr>
              <w:t>Tasks should specify the value or decision sought, not merely “follow up.”</w:t>
            </w:r>
          </w:p>
        </w:tc>
      </w:tr>
    </w:tbl>
    <w:p>
      <w:pPr>
        <w:pStyle w:val="Heading2"/>
      </w:pPr>
      <w:r>
        <w:t>Deliverable metadata</w:t>
      </w:r>
    </w:p>
    <w:p>
      <w:pPr>
        <w:pStyle w:val="ListBullet"/>
      </w:pPr>
      <w:r>
        <w:t>Type, version, status, creator, reviewer, approval date and source records.</w:t>
      </w:r>
    </w:p>
    <w:p>
      <w:pPr>
        <w:pStyle w:val="ListBullet"/>
      </w:pPr>
      <w:r>
        <w:t>Advisor-visible versus internal-only classification.</w:t>
      </w:r>
    </w:p>
    <w:p>
      <w:pPr>
        <w:pStyle w:val="ListBullet"/>
      </w:pPr>
      <w:r>
        <w:t>Assumptions and disclaimers stored with economic and portability outputs.</w:t>
      </w:r>
    </w:p>
    <w:p>
      <w:pPr>
        <w:pStyle w:val="ListBullet"/>
      </w:pPr>
      <w:r>
        <w:t>Superseded deliverables remain auditable but are not shown as current.</w:t>
      </w:r>
    </w:p>
    <w:p>
      <w:pPr>
        <w:pStyle w:val="Heading1"/>
      </w:pPr>
      <w:r>
        <w:t>08  Firm Intelligence and Source Control</w:t>
      </w:r>
    </w:p>
    <w:tbl>
      <w:tblPr>
        <w:tblW w:type="auto" w:w="0"/>
        <w:jc w:val="center"/>
        <w:tblLayout w:type="fixed"/>
        <w:tblLook w:firstColumn="1" w:firstRow="1" w:lastColumn="0" w:lastRow="0" w:noHBand="0" w:noVBand="1" w:val="04A0"/>
      </w:tblPr>
      <w:tblGrid>
        <w:gridCol w:w="9648"/>
      </w:tblGrid>
      <w:tr>
        <w:tc>
          <w:tcPr>
            <w:tcW w:type="dxa" w:w="10166"/>
            <w:shd w:fill="EAF0F6"/>
            <w:tcMar>
              <w:top w:w="130" w:type="dxa"/>
              <w:start w:w="170" w:type="dxa"/>
              <w:bottom w:w="130" w:type="dxa"/>
              <w:end w:w="170" w:type="dxa"/>
            </w:tcMar>
            <w:tcBorders>
              <w:top w:val="single" w:sz="8" w:color="12263F"/>
              <w:bottom w:val="single" w:sz="8" w:color="12263F"/>
              <w:left w:val="single" w:sz="8" w:color="12263F"/>
              <w:right w:val="single" w:sz="8" w:color="12263F"/>
            </w:tcBorders>
          </w:tcPr>
          <w:p>
            <w:r>
              <w:rPr>
                <w:b/>
                <w:i w:val="0"/>
                <w:color w:val="12263F"/>
                <w:sz w:val="20"/>
              </w:rPr>
              <w:t>Core rule</w:t>
            </w:r>
          </w:p>
          <w:p>
            <w:r>
              <w:rPr>
                <w:b w:val="0"/>
                <w:i w:val="0"/>
                <w:color w:val="1F252B"/>
                <w:sz w:val="19"/>
              </w:rPr>
              <w:t>A firm statement is not “data” merely because an advisor or firm representative said it. VYNE must record who said it, when, in what context, whether it is documented and how confident VYNE is that it applies to the current case.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c>
          <w:tcPr>
            <w:tcW w:type="dxa" w:w="2520"/>
            <w:shd w:fill="12263F"/>
            <w:tcMar>
              <w:top w:w="90" w:type="dxa"/>
              <w:start w:w="100" w:type="dxa"/>
              <w:bottom w:w="90" w:type="dxa"/>
              <w:end w:w="100" w:type="dxa"/>
            </w:tcMar>
            <w:vAlign w:val="center"/>
          </w:tcPr>
          <w:p>
            <w:r>
              <w:rPr>
                <w:b/>
                <w:i w:val="0"/>
                <w:color w:val="FFFFFF"/>
                <w:sz w:val="15"/>
              </w:rPr>
              <w:t>Field</w:t>
            </w:r>
          </w:p>
        </w:tc>
        <w:tc>
          <w:tcPr>
            <w:tcW w:type="dxa" w:w="7416"/>
            <w:shd w:fill="12263F"/>
            <w:tcMar>
              <w:top w:w="90" w:type="dxa"/>
              <w:start w:w="100" w:type="dxa"/>
              <w:bottom w:w="90" w:type="dxa"/>
              <w:end w:w="100" w:type="dxa"/>
            </w:tcMar>
            <w:vAlign w:val="center"/>
          </w:tcPr>
          <w:p>
            <w:r>
              <w:rPr>
                <w:b/>
                <w:i w:val="0"/>
                <w:color w:val="FFFFFF"/>
                <w:sz w:val="15"/>
              </w:rPr>
              <w:t>Purpose</w:t>
            </w:r>
          </w:p>
        </w:tc>
      </w:tr>
      <w:tr>
        <w:tc>
          <w:tcPr>
            <w:tcW w:type="dxa" w:w="2520"/>
            <w:tcMar>
              <w:top w:w="90" w:type="dxa"/>
              <w:start w:w="100" w:type="dxa"/>
              <w:bottom w:w="90" w:type="dxa"/>
              <w:end w:w="100" w:type="dxa"/>
            </w:tcMar>
            <w:vAlign w:val="top"/>
          </w:tcPr>
          <w:p>
            <w:r>
              <w:rPr>
                <w:b w:val="0"/>
                <w:i w:val="0"/>
                <w:color w:val="1F252B"/>
                <w:sz w:val="15"/>
              </w:rPr>
              <w:t>topic</w:t>
            </w:r>
          </w:p>
        </w:tc>
        <w:tc>
          <w:tcPr>
            <w:tcW w:type="dxa" w:w="7416"/>
            <w:tcMar>
              <w:top w:w="90" w:type="dxa"/>
              <w:start w:w="100" w:type="dxa"/>
              <w:bottom w:w="90" w:type="dxa"/>
              <w:end w:w="100" w:type="dxa"/>
            </w:tcMar>
            <w:vAlign w:val="top"/>
          </w:tcPr>
          <w:p>
            <w:r>
              <w:rPr>
                <w:b w:val="0"/>
                <w:i w:val="0"/>
                <w:color w:val="1F252B"/>
                <w:sz w:val="15"/>
              </w:rPr>
              <w:t>deal, payout, product, leadership, transition, culture, equity, succession, restriction</w:t>
            </w:r>
          </w:p>
        </w:tc>
      </w:tr>
      <w:tr>
        <w:tc>
          <w:tcPr>
            <w:tcW w:type="dxa" w:w="2520"/>
            <w:tcMar>
              <w:top w:w="90" w:type="dxa"/>
              <w:start w:w="100" w:type="dxa"/>
              <w:bottom w:w="90" w:type="dxa"/>
              <w:end w:w="100" w:type="dxa"/>
            </w:tcMar>
            <w:shd w:fill="F5F7FA"/>
            <w:vAlign w:val="top"/>
          </w:tcPr>
          <w:p>
            <w:r>
              <w:rPr>
                <w:b w:val="0"/>
                <w:i w:val="0"/>
                <w:color w:val="1F252B"/>
                <w:sz w:val="15"/>
              </w:rPr>
              <w:t>statement</w:t>
            </w:r>
          </w:p>
        </w:tc>
        <w:tc>
          <w:tcPr>
            <w:tcW w:type="dxa" w:w="7416"/>
            <w:tcMar>
              <w:top w:w="90" w:type="dxa"/>
              <w:start w:w="100" w:type="dxa"/>
              <w:bottom w:w="90" w:type="dxa"/>
              <w:end w:w="100" w:type="dxa"/>
            </w:tcMar>
            <w:shd w:fill="F5F7FA"/>
            <w:vAlign w:val="top"/>
          </w:tcPr>
          <w:p>
            <w:r>
              <w:rPr>
                <w:b w:val="0"/>
                <w:i w:val="0"/>
                <w:color w:val="1F252B"/>
                <w:sz w:val="15"/>
              </w:rPr>
              <w:t>Atomic claim written without unnecessary advisor identity</w:t>
            </w:r>
          </w:p>
        </w:tc>
      </w:tr>
      <w:tr>
        <w:tc>
          <w:tcPr>
            <w:tcW w:type="dxa" w:w="2520"/>
            <w:tcMar>
              <w:top w:w="90" w:type="dxa"/>
              <w:start w:w="100" w:type="dxa"/>
              <w:bottom w:w="90" w:type="dxa"/>
              <w:end w:w="100" w:type="dxa"/>
            </w:tcMar>
            <w:vAlign w:val="top"/>
          </w:tcPr>
          <w:p>
            <w:r>
              <w:rPr>
                <w:b w:val="0"/>
                <w:i w:val="0"/>
                <w:color w:val="1F252B"/>
                <w:sz w:val="15"/>
              </w:rPr>
              <w:t>source_type</w:t>
            </w:r>
          </w:p>
        </w:tc>
        <w:tc>
          <w:tcPr>
            <w:tcW w:type="dxa" w:w="7416"/>
            <w:tcMar>
              <w:top w:w="90" w:type="dxa"/>
              <w:start w:w="100" w:type="dxa"/>
              <w:bottom w:w="90" w:type="dxa"/>
              <w:end w:w="100" w:type="dxa"/>
            </w:tcMar>
            <w:vAlign w:val="top"/>
          </w:tcPr>
          <w:p>
            <w:r>
              <w:rPr>
                <w:b w:val="0"/>
                <w:i w:val="0"/>
                <w:color w:val="1F252B"/>
                <w:sz w:val="15"/>
              </w:rPr>
              <w:t>firm document, firm contact, advisor, public filing, website, VYNE inference</w:t>
            </w:r>
          </w:p>
        </w:tc>
      </w:tr>
      <w:tr>
        <w:tc>
          <w:tcPr>
            <w:tcW w:type="dxa" w:w="2520"/>
            <w:tcMar>
              <w:top w:w="90" w:type="dxa"/>
              <w:start w:w="100" w:type="dxa"/>
              <w:bottom w:w="90" w:type="dxa"/>
              <w:end w:w="100" w:type="dxa"/>
            </w:tcMar>
            <w:shd w:fill="F5F7FA"/>
            <w:vAlign w:val="top"/>
          </w:tcPr>
          <w:p>
            <w:r>
              <w:rPr>
                <w:b w:val="0"/>
                <w:i w:val="0"/>
                <w:color w:val="1F252B"/>
                <w:sz w:val="15"/>
              </w:rPr>
              <w:t>source_reference</w:t>
            </w:r>
          </w:p>
        </w:tc>
        <w:tc>
          <w:tcPr>
            <w:tcW w:type="dxa" w:w="7416"/>
            <w:tcMar>
              <w:top w:w="90" w:type="dxa"/>
              <w:start w:w="100" w:type="dxa"/>
              <w:bottom w:w="90" w:type="dxa"/>
              <w:end w:w="100" w:type="dxa"/>
            </w:tcMar>
            <w:shd w:fill="F5F7FA"/>
            <w:vAlign w:val="top"/>
          </w:tcPr>
          <w:p>
            <w:r>
              <w:rPr>
                <w:b w:val="0"/>
                <w:i w:val="0"/>
                <w:color w:val="1F252B"/>
                <w:sz w:val="15"/>
              </w:rPr>
              <w:t>Document ID, URL, meeting or person</w:t>
            </w:r>
          </w:p>
        </w:tc>
      </w:tr>
      <w:tr>
        <w:tc>
          <w:tcPr>
            <w:tcW w:type="dxa" w:w="2520"/>
            <w:tcMar>
              <w:top w:w="90" w:type="dxa"/>
              <w:start w:w="100" w:type="dxa"/>
              <w:bottom w:w="90" w:type="dxa"/>
              <w:end w:w="100" w:type="dxa"/>
            </w:tcMar>
            <w:vAlign w:val="top"/>
          </w:tcPr>
          <w:p>
            <w:r>
              <w:rPr>
                <w:b w:val="0"/>
                <w:i w:val="0"/>
                <w:color w:val="1F252B"/>
                <w:sz w:val="15"/>
              </w:rPr>
              <w:t>effective_date / observed_date</w:t>
            </w:r>
          </w:p>
        </w:tc>
        <w:tc>
          <w:tcPr>
            <w:tcW w:type="dxa" w:w="7416"/>
            <w:tcMar>
              <w:top w:w="90" w:type="dxa"/>
              <w:start w:w="100" w:type="dxa"/>
              <w:bottom w:w="90" w:type="dxa"/>
              <w:end w:w="100" w:type="dxa"/>
            </w:tcMar>
            <w:vAlign w:val="top"/>
          </w:tcPr>
          <w:p>
            <w:r>
              <w:rPr>
                <w:b w:val="0"/>
                <w:i w:val="0"/>
                <w:color w:val="1F252B"/>
                <w:sz w:val="15"/>
              </w:rPr>
              <w:t>Separates when it applied from when learned</w:t>
            </w:r>
          </w:p>
        </w:tc>
      </w:tr>
      <w:tr>
        <w:tc>
          <w:tcPr>
            <w:tcW w:type="dxa" w:w="2520"/>
            <w:tcMar>
              <w:top w:w="90" w:type="dxa"/>
              <w:start w:w="100" w:type="dxa"/>
              <w:bottom w:w="90" w:type="dxa"/>
              <w:end w:w="100" w:type="dxa"/>
            </w:tcMar>
            <w:shd w:fill="F5F7FA"/>
            <w:vAlign w:val="top"/>
          </w:tcPr>
          <w:p>
            <w:r>
              <w:rPr>
                <w:b w:val="0"/>
                <w:i w:val="0"/>
                <w:color w:val="1F252B"/>
                <w:sz w:val="15"/>
              </w:rPr>
              <w:t>scope</w:t>
            </w:r>
          </w:p>
        </w:tc>
        <w:tc>
          <w:tcPr>
            <w:tcW w:type="dxa" w:w="7416"/>
            <w:tcMar>
              <w:top w:w="90" w:type="dxa"/>
              <w:start w:w="100" w:type="dxa"/>
              <w:bottom w:w="90" w:type="dxa"/>
              <w:end w:w="100" w:type="dxa"/>
            </w:tcMar>
            <w:shd w:fill="F5F7FA"/>
            <w:vAlign w:val="top"/>
          </w:tcPr>
          <w:p>
            <w:r>
              <w:rPr>
                <w:b w:val="0"/>
                <w:i w:val="0"/>
                <w:color w:val="1F252B"/>
                <w:sz w:val="15"/>
              </w:rPr>
              <w:t>national, market, branch, advisor segment, specific case</w:t>
            </w:r>
          </w:p>
        </w:tc>
      </w:tr>
      <w:tr>
        <w:tc>
          <w:tcPr>
            <w:tcW w:type="dxa" w:w="2520"/>
            <w:tcMar>
              <w:top w:w="90" w:type="dxa"/>
              <w:start w:w="100" w:type="dxa"/>
              <w:bottom w:w="90" w:type="dxa"/>
              <w:end w:w="100" w:type="dxa"/>
            </w:tcMar>
            <w:vAlign w:val="top"/>
          </w:tcPr>
          <w:p>
            <w:r>
              <w:rPr>
                <w:b w:val="0"/>
                <w:i w:val="0"/>
                <w:color w:val="1F252B"/>
                <w:sz w:val="15"/>
              </w:rPr>
              <w:t>confidence</w:t>
            </w:r>
          </w:p>
        </w:tc>
        <w:tc>
          <w:tcPr>
            <w:tcW w:type="dxa" w:w="7416"/>
            <w:tcMar>
              <w:top w:w="90" w:type="dxa"/>
              <w:start w:w="100" w:type="dxa"/>
              <w:bottom w:w="90" w:type="dxa"/>
              <w:end w:w="100" w:type="dxa"/>
            </w:tcMar>
            <w:vAlign w:val="top"/>
          </w:tcPr>
          <w:p>
            <w:r>
              <w:rPr>
                <w:b w:val="0"/>
                <w:i w:val="0"/>
                <w:color w:val="1F252B"/>
                <w:sz w:val="15"/>
              </w:rPr>
              <w:t>verified, strong, provisional, conflicting, stale</w:t>
            </w:r>
          </w:p>
        </w:tc>
      </w:tr>
      <w:tr>
        <w:tc>
          <w:tcPr>
            <w:tcW w:type="dxa" w:w="2520"/>
            <w:tcMar>
              <w:top w:w="90" w:type="dxa"/>
              <w:start w:w="100" w:type="dxa"/>
              <w:bottom w:w="90" w:type="dxa"/>
              <w:end w:w="100" w:type="dxa"/>
            </w:tcMar>
            <w:shd w:fill="F5F7FA"/>
            <w:vAlign w:val="top"/>
          </w:tcPr>
          <w:p>
            <w:r>
              <w:rPr>
                <w:b w:val="0"/>
                <w:i w:val="0"/>
                <w:color w:val="1F252B"/>
                <w:sz w:val="15"/>
              </w:rPr>
              <w:t>visibility</w:t>
            </w:r>
          </w:p>
        </w:tc>
        <w:tc>
          <w:tcPr>
            <w:tcW w:type="dxa" w:w="7416"/>
            <w:tcMar>
              <w:top w:w="90" w:type="dxa"/>
              <w:start w:w="100" w:type="dxa"/>
              <w:bottom w:w="90" w:type="dxa"/>
              <w:end w:w="100" w:type="dxa"/>
            </w:tcMar>
            <w:shd w:fill="F5F7FA"/>
            <w:vAlign w:val="top"/>
          </w:tcPr>
          <w:p>
            <w:r>
              <w:rPr>
                <w:b w:val="0"/>
                <w:i w:val="0"/>
                <w:color w:val="1F252B"/>
                <w:sz w:val="15"/>
              </w:rPr>
              <w:t>internal only, advisor-safe, public approved</w:t>
            </w:r>
          </w:p>
        </w:tc>
      </w:tr>
      <w:tr>
        <w:tc>
          <w:tcPr>
            <w:tcW w:type="dxa" w:w="2520"/>
            <w:tcMar>
              <w:top w:w="90" w:type="dxa"/>
              <w:start w:w="100" w:type="dxa"/>
              <w:bottom w:w="90" w:type="dxa"/>
              <w:end w:w="100" w:type="dxa"/>
            </w:tcMar>
            <w:vAlign w:val="top"/>
          </w:tcPr>
          <w:p>
            <w:r>
              <w:rPr>
                <w:b w:val="0"/>
                <w:i w:val="0"/>
                <w:color w:val="1F252B"/>
                <w:sz w:val="15"/>
              </w:rPr>
              <w:t>review_date</w:t>
            </w:r>
          </w:p>
        </w:tc>
        <w:tc>
          <w:tcPr>
            <w:tcW w:type="dxa" w:w="7416"/>
            <w:tcMar>
              <w:top w:w="90" w:type="dxa"/>
              <w:start w:w="100" w:type="dxa"/>
              <w:bottom w:w="90" w:type="dxa"/>
              <w:end w:w="100" w:type="dxa"/>
            </w:tcMar>
            <w:vAlign w:val="top"/>
          </w:tcPr>
          <w:p>
            <w:r>
              <w:rPr>
                <w:b w:val="0"/>
                <w:i w:val="0"/>
                <w:color w:val="1F252B"/>
                <w:sz w:val="15"/>
              </w:rPr>
              <w:t>When the item must be revalidated</w:t>
            </w:r>
          </w:p>
        </w:tc>
      </w:tr>
    </w:tbl>
    <w:p>
      <w:pPr>
        <w:pStyle w:val="Heading2"/>
      </w:pPr>
      <w:r>
        <w:t>Conflict handling</w:t>
      </w:r>
    </w:p>
    <w:p>
      <w:pPr>
        <w:pStyle w:val="ListBullet"/>
      </w:pPr>
      <w:r>
        <w:t>Do not overwrite conflicting information; keep both records and flag the conflict.</w:t>
      </w:r>
    </w:p>
    <w:p>
      <w:pPr>
        <w:pStyle w:val="ListBullet"/>
      </w:pPr>
      <w:r>
        <w:t>A newer statement does not automatically supersede a documented contract.</w:t>
      </w:r>
    </w:p>
    <w:p>
      <w:pPr>
        <w:pStyle w:val="ListBullet"/>
      </w:pPr>
      <w:r>
        <w:t>Case-specific exceptions remain scoped to that case and should not become a market benchmark.</w:t>
      </w:r>
    </w:p>
    <w:p>
      <w:pPr>
        <w:pStyle w:val="ListBullet"/>
      </w:pPr>
      <w:r>
        <w:t>Public content requires a separate publication approval even if intelligence is advisor-safe.</w:t>
      </w:r>
    </w:p>
    <w:p>
      <w:pPr>
        <w:pStyle w:val="Heading1"/>
      </w:pPr>
      <w:r>
        <w:t>09  Economics, Contracts and Fee Tracking</w:t>
      </w:r>
    </w:p>
    <w:p>
      <w:pPr>
        <w:pStyle w:val="Heading2"/>
      </w:pPr>
      <w:r>
        <w:t>Economic model structure</w:t>
      </w:r>
    </w:p>
    <w:tbl>
      <w:tblPr>
        <w:tblStyle w:val="TableGrid"/>
        <w:tblW w:type="auto" w:w="0"/>
        <w:jc w:val="center"/>
        <w:tblLayout w:type="fixed"/>
        <w:tblLook w:firstColumn="1" w:firstRow="1" w:lastColumn="0" w:lastRow="0" w:noHBand="0" w:noVBand="1" w:val="04A0"/>
      </w:tblPr>
      <w:tblGrid>
        <w:gridCol w:w="5083"/>
        <w:gridCol w:w="5083"/>
      </w:tblGrid>
      <w:tr>
        <w:tc>
          <w:tcPr>
            <w:tcW w:type="dxa" w:w="2088"/>
            <w:shd w:fill="12263F"/>
            <w:tcMar>
              <w:top w:w="90" w:type="dxa"/>
              <w:start w:w="100" w:type="dxa"/>
              <w:bottom w:w="90" w:type="dxa"/>
              <w:end w:w="100" w:type="dxa"/>
            </w:tcMar>
            <w:vAlign w:val="center"/>
          </w:tcPr>
          <w:p>
            <w:r>
              <w:rPr>
                <w:b/>
                <w:i w:val="0"/>
                <w:color w:val="FFFFFF"/>
                <w:sz w:val="15"/>
              </w:rPr>
              <w:t>Object</w:t>
            </w:r>
          </w:p>
        </w:tc>
        <w:tc>
          <w:tcPr>
            <w:tcW w:type="dxa" w:w="7848"/>
            <w:shd w:fill="12263F"/>
            <w:tcMar>
              <w:top w:w="90" w:type="dxa"/>
              <w:start w:w="100" w:type="dxa"/>
              <w:bottom w:w="90" w:type="dxa"/>
              <w:end w:w="100" w:type="dxa"/>
            </w:tcMar>
            <w:vAlign w:val="center"/>
          </w:tcPr>
          <w:p>
            <w:r>
              <w:rPr>
                <w:b/>
                <w:i w:val="0"/>
                <w:color w:val="FFFFFF"/>
                <w:sz w:val="15"/>
              </w:rPr>
              <w:t>Fields</w:t>
            </w:r>
          </w:p>
        </w:tc>
      </w:tr>
      <w:tr>
        <w:tc>
          <w:tcPr>
            <w:tcW w:type="dxa" w:w="2088"/>
            <w:tcMar>
              <w:top w:w="90" w:type="dxa"/>
              <w:start w:w="100" w:type="dxa"/>
              <w:bottom w:w="90" w:type="dxa"/>
              <w:end w:w="100" w:type="dxa"/>
            </w:tcMar>
            <w:vAlign w:val="top"/>
          </w:tcPr>
          <w:p>
            <w:r>
              <w:rPr>
                <w:b w:val="0"/>
                <w:i w:val="0"/>
                <w:color w:val="1F252B"/>
                <w:sz w:val="15"/>
              </w:rPr>
              <w:t>Current baseline</w:t>
            </w:r>
          </w:p>
        </w:tc>
        <w:tc>
          <w:tcPr>
            <w:tcW w:type="dxa" w:w="7848"/>
            <w:tcMar>
              <w:top w:w="90" w:type="dxa"/>
              <w:start w:w="100" w:type="dxa"/>
              <w:bottom w:w="90" w:type="dxa"/>
              <w:end w:w="100" w:type="dxa"/>
            </w:tcMar>
            <w:vAlign w:val="top"/>
          </w:tcPr>
          <w:p>
            <w:r>
              <w:rPr>
                <w:b w:val="0"/>
                <w:i w:val="0"/>
                <w:color w:val="1F252B"/>
                <w:sz w:val="15"/>
              </w:rPr>
              <w:t>production, payout, bonuses, benefits, deferred comp, expenses, growth and as-of dates</w:t>
            </w:r>
          </w:p>
        </w:tc>
      </w:tr>
      <w:tr>
        <w:tc>
          <w:tcPr>
            <w:tcW w:type="dxa" w:w="2088"/>
            <w:tcMar>
              <w:top w:w="90" w:type="dxa"/>
              <w:start w:w="100" w:type="dxa"/>
              <w:bottom w:w="90" w:type="dxa"/>
              <w:end w:w="100" w:type="dxa"/>
            </w:tcMar>
            <w:shd w:fill="F5F7FA"/>
            <w:vAlign w:val="top"/>
          </w:tcPr>
          <w:p>
            <w:r>
              <w:rPr>
                <w:b w:val="0"/>
                <w:i w:val="0"/>
                <w:color w:val="1F252B"/>
                <w:sz w:val="15"/>
              </w:rPr>
              <w:t>Proposal component</w:t>
            </w:r>
          </w:p>
        </w:tc>
        <w:tc>
          <w:tcPr>
            <w:tcW w:type="dxa" w:w="7848"/>
            <w:tcMar>
              <w:top w:w="90" w:type="dxa"/>
              <w:start w:w="100" w:type="dxa"/>
              <w:bottom w:w="90" w:type="dxa"/>
              <w:end w:w="100" w:type="dxa"/>
            </w:tcMar>
            <w:shd w:fill="F5F7FA"/>
            <w:vAlign w:val="top"/>
          </w:tcPr>
          <w:p>
            <w:r>
              <w:rPr>
                <w:b w:val="0"/>
                <w:i w:val="0"/>
                <w:color w:val="1F252B"/>
                <w:sz w:val="15"/>
              </w:rPr>
              <w:t>type, amount/rate, guarantee, condition, hurdle, period, forgiveness, clawback, source clause</w:t>
            </w:r>
          </w:p>
        </w:tc>
      </w:tr>
      <w:tr>
        <w:tc>
          <w:tcPr>
            <w:tcW w:type="dxa" w:w="2088"/>
            <w:tcMar>
              <w:top w:w="90" w:type="dxa"/>
              <w:start w:w="100" w:type="dxa"/>
              <w:bottom w:w="90" w:type="dxa"/>
              <w:end w:w="100" w:type="dxa"/>
            </w:tcMar>
            <w:vAlign w:val="top"/>
          </w:tcPr>
          <w:p>
            <w:r>
              <w:rPr>
                <w:b w:val="0"/>
                <w:i w:val="0"/>
                <w:color w:val="1F252B"/>
                <w:sz w:val="15"/>
              </w:rPr>
              <w:t>Scenario</w:t>
            </w:r>
          </w:p>
        </w:tc>
        <w:tc>
          <w:tcPr>
            <w:tcW w:type="dxa" w:w="7848"/>
            <w:tcMar>
              <w:top w:w="90" w:type="dxa"/>
              <w:start w:w="100" w:type="dxa"/>
              <w:bottom w:w="90" w:type="dxa"/>
              <w:end w:w="100" w:type="dxa"/>
            </w:tcMar>
            <w:vAlign w:val="top"/>
          </w:tcPr>
          <w:p>
            <w:r>
              <w:rPr>
                <w:b w:val="0"/>
                <w:i w:val="0"/>
                <w:color w:val="1F252B"/>
                <w:sz w:val="15"/>
              </w:rPr>
              <w:t>downside/base/upside assumptions and probability if used</w:t>
            </w:r>
          </w:p>
        </w:tc>
      </w:tr>
      <w:tr>
        <w:tc>
          <w:tcPr>
            <w:tcW w:type="dxa" w:w="2088"/>
            <w:tcMar>
              <w:top w:w="90" w:type="dxa"/>
              <w:start w:w="100" w:type="dxa"/>
              <w:bottom w:w="90" w:type="dxa"/>
              <w:end w:w="100" w:type="dxa"/>
            </w:tcMar>
            <w:shd w:fill="F5F7FA"/>
            <w:vAlign w:val="top"/>
          </w:tcPr>
          <w:p>
            <w:r>
              <w:rPr>
                <w:b w:val="0"/>
                <w:i w:val="0"/>
                <w:color w:val="1F252B"/>
                <w:sz w:val="15"/>
              </w:rPr>
              <w:t>Output</w:t>
            </w:r>
          </w:p>
        </w:tc>
        <w:tc>
          <w:tcPr>
            <w:tcW w:type="dxa" w:w="7848"/>
            <w:tcMar>
              <w:top w:w="90" w:type="dxa"/>
              <w:start w:w="100" w:type="dxa"/>
              <w:bottom w:w="90" w:type="dxa"/>
              <w:end w:w="100" w:type="dxa"/>
            </w:tcMar>
            <w:shd w:fill="F5F7FA"/>
            <w:vAlign w:val="top"/>
          </w:tcPr>
          <w:p>
            <w:r>
              <w:rPr>
                <w:b w:val="0"/>
                <w:i w:val="0"/>
                <w:color w:val="1F252B"/>
                <w:sz w:val="15"/>
              </w:rPr>
              <w:t>annual cash flow, cumulative economics, break-even, estimated enterprise value and sensitivities</w:t>
            </w:r>
          </w:p>
        </w:tc>
      </w:tr>
      <w:tr>
        <w:tc>
          <w:tcPr>
            <w:tcW w:type="dxa" w:w="2088"/>
            <w:tcMar>
              <w:top w:w="90" w:type="dxa"/>
              <w:start w:w="100" w:type="dxa"/>
              <w:bottom w:w="90" w:type="dxa"/>
              <w:end w:w="100" w:type="dxa"/>
            </w:tcMar>
            <w:vAlign w:val="top"/>
          </w:tcPr>
          <w:p>
            <w:r>
              <w:rPr>
                <w:b w:val="0"/>
                <w:i w:val="0"/>
                <w:color w:val="1F252B"/>
                <w:sz w:val="15"/>
              </w:rPr>
              <w:t>Review</w:t>
            </w:r>
          </w:p>
        </w:tc>
        <w:tc>
          <w:tcPr>
            <w:tcW w:type="dxa" w:w="7848"/>
            <w:tcMar>
              <w:top w:w="90" w:type="dxa"/>
              <w:start w:w="100" w:type="dxa"/>
              <w:bottom w:w="90" w:type="dxa"/>
              <w:end w:w="100" w:type="dxa"/>
            </w:tcMar>
            <w:vAlign w:val="top"/>
          </w:tcPr>
          <w:p>
            <w:r>
              <w:rPr>
                <w:b w:val="0"/>
                <w:i w:val="0"/>
                <w:color w:val="1F252B"/>
                <w:sz w:val="15"/>
              </w:rPr>
              <w:t>creator, reviewer, advisor-visible status and disclaimer</w:t>
            </w:r>
          </w:p>
        </w:tc>
      </w:tr>
    </w:tbl>
    <w:p>
      <w:pPr>
        <w:pStyle w:val="Heading2"/>
      </w:pPr>
      <w:r>
        <w:t>Firm contract and fee objects</w:t>
      </w:r>
    </w:p>
    <w:tbl>
      <w:tblPr>
        <w:tblStyle w:val="TableGrid"/>
        <w:tblW w:type="auto" w:w="0"/>
        <w:jc w:val="center"/>
        <w:tblLayout w:type="fixed"/>
        <w:tblLook w:firstColumn="1" w:firstRow="1" w:lastColumn="0" w:lastRow="0" w:noHBand="0" w:noVBand="1" w:val="04A0"/>
      </w:tblPr>
      <w:tblGrid>
        <w:gridCol w:w="5083"/>
        <w:gridCol w:w="5083"/>
      </w:tblGrid>
      <w:tr>
        <w:tc>
          <w:tcPr>
            <w:tcW w:type="dxa" w:w="2232"/>
            <w:shd w:fill="12263F"/>
            <w:tcMar>
              <w:top w:w="90" w:type="dxa"/>
              <w:start w:w="100" w:type="dxa"/>
              <w:bottom w:w="90" w:type="dxa"/>
              <w:end w:w="100" w:type="dxa"/>
            </w:tcMar>
            <w:vAlign w:val="center"/>
          </w:tcPr>
          <w:p>
            <w:r>
              <w:rPr>
                <w:b/>
                <w:i w:val="0"/>
                <w:color w:val="FFFFFF"/>
                <w:sz w:val="15"/>
              </w:rPr>
              <w:t>Record</w:t>
            </w:r>
          </w:p>
        </w:tc>
        <w:tc>
          <w:tcPr>
            <w:tcW w:type="dxa" w:w="7704"/>
            <w:shd w:fill="12263F"/>
            <w:tcMar>
              <w:top w:w="90" w:type="dxa"/>
              <w:start w:w="100" w:type="dxa"/>
              <w:bottom w:w="90" w:type="dxa"/>
              <w:end w:w="100" w:type="dxa"/>
            </w:tcMar>
            <w:vAlign w:val="center"/>
          </w:tcPr>
          <w:p>
            <w:r>
              <w:rPr>
                <w:b/>
                <w:i w:val="0"/>
                <w:color w:val="FFFFFF"/>
                <w:sz w:val="15"/>
              </w:rPr>
              <w:t>Purpose</w:t>
            </w:r>
          </w:p>
        </w:tc>
      </w:tr>
      <w:tr>
        <w:tc>
          <w:tcPr>
            <w:tcW w:type="dxa" w:w="2232"/>
            <w:tcMar>
              <w:top w:w="90" w:type="dxa"/>
              <w:start w:w="100" w:type="dxa"/>
              <w:bottom w:w="90" w:type="dxa"/>
              <w:end w:w="100" w:type="dxa"/>
            </w:tcMar>
            <w:vAlign w:val="top"/>
          </w:tcPr>
          <w:p>
            <w:r>
              <w:rPr>
                <w:b w:val="0"/>
                <w:i w:val="0"/>
                <w:color w:val="1F252B"/>
                <w:sz w:val="15"/>
              </w:rPr>
              <w:t>firm_agreement</w:t>
            </w:r>
          </w:p>
        </w:tc>
        <w:tc>
          <w:tcPr>
            <w:tcW w:type="dxa" w:w="7704"/>
            <w:tcMar>
              <w:top w:w="90" w:type="dxa"/>
              <w:start w:w="100" w:type="dxa"/>
              <w:bottom w:w="90" w:type="dxa"/>
              <w:end w:w="100" w:type="dxa"/>
            </w:tcMar>
            <w:vAlign w:val="top"/>
          </w:tcPr>
          <w:p>
            <w:r>
              <w:rPr>
                <w:b w:val="0"/>
                <w:i w:val="0"/>
                <w:color w:val="1F252B"/>
                <w:sz w:val="15"/>
              </w:rPr>
              <w:t>Effective dates, fee tiers, eligible hires, exclusions, invoice triggers and clawbacks</w:t>
            </w:r>
          </w:p>
        </w:tc>
      </w:tr>
      <w:tr>
        <w:tc>
          <w:tcPr>
            <w:tcW w:type="dxa" w:w="2232"/>
            <w:tcMar>
              <w:top w:w="90" w:type="dxa"/>
              <w:start w:w="100" w:type="dxa"/>
              <w:bottom w:w="90" w:type="dxa"/>
              <w:end w:w="100" w:type="dxa"/>
            </w:tcMar>
            <w:shd w:fill="F5F7FA"/>
            <w:vAlign w:val="top"/>
          </w:tcPr>
          <w:p>
            <w:r>
              <w:rPr>
                <w:b w:val="0"/>
                <w:i w:val="0"/>
                <w:color w:val="1F252B"/>
                <w:sz w:val="15"/>
              </w:rPr>
              <w:t>placement</w:t>
            </w:r>
          </w:p>
        </w:tc>
        <w:tc>
          <w:tcPr>
            <w:tcW w:type="dxa" w:w="7704"/>
            <w:tcMar>
              <w:top w:w="90" w:type="dxa"/>
              <w:start w:w="100" w:type="dxa"/>
              <w:bottom w:w="90" w:type="dxa"/>
              <w:end w:w="100" w:type="dxa"/>
            </w:tcMar>
            <w:shd w:fill="F5F7FA"/>
            <w:vAlign w:val="top"/>
          </w:tcPr>
          <w:p>
            <w:r>
              <w:rPr>
                <w:b w:val="0"/>
                <w:i w:val="0"/>
                <w:color w:val="1F252B"/>
                <w:sz w:val="15"/>
              </w:rPr>
              <w:t>Advisor, firm, join date, verified T12 basis and fee eligibility</w:t>
            </w:r>
          </w:p>
        </w:tc>
      </w:tr>
      <w:tr>
        <w:tc>
          <w:tcPr>
            <w:tcW w:type="dxa" w:w="2232"/>
            <w:tcMar>
              <w:top w:w="90" w:type="dxa"/>
              <w:start w:w="100" w:type="dxa"/>
              <w:bottom w:w="90" w:type="dxa"/>
              <w:end w:w="100" w:type="dxa"/>
            </w:tcMar>
            <w:vAlign w:val="top"/>
          </w:tcPr>
          <w:p>
            <w:r>
              <w:rPr>
                <w:b w:val="0"/>
                <w:i w:val="0"/>
                <w:color w:val="1F252B"/>
                <w:sz w:val="15"/>
              </w:rPr>
              <w:t>fee_event</w:t>
            </w:r>
          </w:p>
        </w:tc>
        <w:tc>
          <w:tcPr>
            <w:tcW w:type="dxa" w:w="7704"/>
            <w:tcMar>
              <w:top w:w="90" w:type="dxa"/>
              <w:start w:w="100" w:type="dxa"/>
              <w:bottom w:w="90" w:type="dxa"/>
              <w:end w:w="100" w:type="dxa"/>
            </w:tcMar>
            <w:vAlign w:val="top"/>
          </w:tcPr>
          <w:p>
            <w:r>
              <w:rPr>
                <w:b w:val="0"/>
                <w:i w:val="0"/>
                <w:color w:val="1F252B"/>
                <w:sz w:val="15"/>
              </w:rPr>
              <w:t>Initial fee, step-up, adjustment, clawback or write-off</w:t>
            </w:r>
          </w:p>
        </w:tc>
      </w:tr>
      <w:tr>
        <w:tc>
          <w:tcPr>
            <w:tcW w:type="dxa" w:w="2232"/>
            <w:tcMar>
              <w:top w:w="90" w:type="dxa"/>
              <w:start w:w="100" w:type="dxa"/>
              <w:bottom w:w="90" w:type="dxa"/>
              <w:end w:w="100" w:type="dxa"/>
            </w:tcMar>
            <w:shd w:fill="F5F7FA"/>
            <w:vAlign w:val="top"/>
          </w:tcPr>
          <w:p>
            <w:r>
              <w:rPr>
                <w:b w:val="0"/>
                <w:i w:val="0"/>
                <w:color w:val="1F252B"/>
                <w:sz w:val="15"/>
              </w:rPr>
              <w:t>invoice</w:t>
            </w:r>
          </w:p>
        </w:tc>
        <w:tc>
          <w:tcPr>
            <w:tcW w:type="dxa" w:w="7704"/>
            <w:tcMar>
              <w:top w:w="90" w:type="dxa"/>
              <w:start w:w="100" w:type="dxa"/>
              <w:bottom w:w="90" w:type="dxa"/>
              <w:end w:w="100" w:type="dxa"/>
            </w:tcMar>
            <w:shd w:fill="F5F7FA"/>
            <w:vAlign w:val="top"/>
          </w:tcPr>
          <w:p>
            <w:r>
              <w:rPr>
                <w:b w:val="0"/>
                <w:i w:val="0"/>
                <w:color w:val="1F252B"/>
                <w:sz w:val="15"/>
              </w:rPr>
              <w:t>Amount, date, due date, status and document</w:t>
            </w:r>
          </w:p>
        </w:tc>
      </w:tr>
      <w:tr>
        <w:tc>
          <w:tcPr>
            <w:tcW w:type="dxa" w:w="2232"/>
            <w:tcMar>
              <w:top w:w="90" w:type="dxa"/>
              <w:start w:w="100" w:type="dxa"/>
              <w:bottom w:w="90" w:type="dxa"/>
              <w:end w:w="100" w:type="dxa"/>
            </w:tcMar>
            <w:vAlign w:val="top"/>
          </w:tcPr>
          <w:p>
            <w:r>
              <w:rPr>
                <w:b w:val="0"/>
                <w:i w:val="0"/>
                <w:color w:val="1F252B"/>
                <w:sz w:val="15"/>
              </w:rPr>
              <w:t>payment</w:t>
            </w:r>
          </w:p>
        </w:tc>
        <w:tc>
          <w:tcPr>
            <w:tcW w:type="dxa" w:w="7704"/>
            <w:tcMar>
              <w:top w:w="90" w:type="dxa"/>
              <w:start w:w="100" w:type="dxa"/>
              <w:bottom w:w="90" w:type="dxa"/>
              <w:end w:w="100" w:type="dxa"/>
            </w:tcMar>
            <w:vAlign w:val="top"/>
          </w:tcPr>
          <w:p>
            <w:r>
              <w:rPr>
                <w:b w:val="0"/>
                <w:i w:val="0"/>
                <w:color w:val="1F252B"/>
                <w:sz w:val="15"/>
              </w:rPr>
              <w:t>Amount, receipt date, allocation and bank reference</w:t>
            </w:r>
          </w:p>
        </w:tc>
      </w:tr>
      <w:tr>
        <w:tc>
          <w:tcPr>
            <w:tcW w:type="dxa" w:w="2232"/>
            <w:tcMar>
              <w:top w:w="90" w:type="dxa"/>
              <w:start w:w="100" w:type="dxa"/>
              <w:bottom w:w="90" w:type="dxa"/>
              <w:end w:w="100" w:type="dxa"/>
            </w:tcMar>
            <w:shd w:fill="F5F7FA"/>
            <w:vAlign w:val="top"/>
          </w:tcPr>
          <w:p>
            <w:r>
              <w:rPr>
                <w:b w:val="0"/>
                <w:i w:val="0"/>
                <w:color w:val="1F252B"/>
                <w:sz w:val="15"/>
              </w:rPr>
              <w:t>recruiter_commission</w:t>
            </w:r>
          </w:p>
        </w:tc>
        <w:tc>
          <w:tcPr>
            <w:tcW w:type="dxa" w:w="7704"/>
            <w:tcMar>
              <w:top w:w="90" w:type="dxa"/>
              <w:start w:w="100" w:type="dxa"/>
              <w:bottom w:w="90" w:type="dxa"/>
              <w:end w:w="100" w:type="dxa"/>
            </w:tcMar>
            <w:shd w:fill="F5F7FA"/>
            <w:vAlign w:val="top"/>
          </w:tcPr>
          <w:p>
            <w:r>
              <w:rPr>
                <w:b w:val="0"/>
                <w:i w:val="0"/>
                <w:color w:val="1F252B"/>
                <w:sz w:val="15"/>
              </w:rPr>
              <w:t>Source rule, tier, amount, payment date and clawback exposure</w:t>
            </w:r>
          </w:p>
        </w:tc>
      </w:tr>
    </w:tbl>
    <w:p>
      <w:pPr>
        <w:pStyle w:val="Heading2"/>
      </w:pPr>
      <w:r>
        <w:t>Controls</w:t>
      </w:r>
    </w:p>
    <w:p>
      <w:pPr>
        <w:pStyle w:val="ListBullet"/>
      </w:pPr>
      <w:r>
        <w:t>Fee calculations reference the agreement version effective for the placement.</w:t>
      </w:r>
    </w:p>
    <w:p>
      <w:pPr>
        <w:pStyle w:val="ListBullet"/>
      </w:pPr>
      <w:r>
        <w:t>Expected revenue is not recorded as earned revenue.</w:t>
      </w:r>
    </w:p>
    <w:p>
      <w:pPr>
        <w:pStyle w:val="ListBullet"/>
      </w:pPr>
      <w:r>
        <w:t>Step-up and clawback windows generate dated tasks.</w:t>
      </w:r>
    </w:p>
    <w:p>
      <w:pPr>
        <w:pStyle w:val="ListBullet"/>
      </w:pPr>
      <w:r>
        <w:t>Advisor-facing materials do not expose VYNE internal fee forecasts.</w:t>
      </w:r>
    </w:p>
    <w:p>
      <w:pPr>
        <w:pStyle w:val="Heading1"/>
      </w:pPr>
      <w:r>
        <w:t>10  Portability and Book Analytics</w:t>
      </w:r>
    </w:p>
    <w:p>
      <w:pPr>
        <w:pStyle w:val="Heading2"/>
      </w:pPr>
      <w:r>
        <w:t>Initial de-identified position model</w:t>
      </w:r>
    </w:p>
    <w:tbl>
      <w:tblPr>
        <w:tblStyle w:val="TableGrid"/>
        <w:tblW w:type="auto" w:w="0"/>
        <w:jc w:val="center"/>
        <w:tblLayout w:type="fixed"/>
        <w:tblLook w:firstColumn="1" w:firstRow="1" w:lastColumn="0" w:lastRow="0" w:noHBand="0" w:noVBand="1" w:val="04A0"/>
      </w:tblPr>
      <w:tblGrid>
        <w:gridCol w:w="5083"/>
        <w:gridCol w:w="5083"/>
      </w:tblGrid>
      <w:tr>
        <w:tc>
          <w:tcPr>
            <w:tcW w:type="dxa" w:w="2880"/>
            <w:shd w:fill="12263F"/>
            <w:tcMar>
              <w:top w:w="90" w:type="dxa"/>
              <w:start w:w="100" w:type="dxa"/>
              <w:bottom w:w="90" w:type="dxa"/>
              <w:end w:w="100" w:type="dxa"/>
            </w:tcMar>
            <w:vAlign w:val="center"/>
          </w:tcPr>
          <w:p>
            <w:r>
              <w:rPr>
                <w:b/>
                <w:i w:val="0"/>
                <w:color w:val="FFFFFF"/>
                <w:sz w:val="15"/>
              </w:rPr>
              <w:t>Field</w:t>
            </w:r>
          </w:p>
        </w:tc>
        <w:tc>
          <w:tcPr>
            <w:tcW w:type="dxa" w:w="7056"/>
            <w:shd w:fill="12263F"/>
            <w:tcMar>
              <w:top w:w="90" w:type="dxa"/>
              <w:start w:w="100" w:type="dxa"/>
              <w:bottom w:w="90" w:type="dxa"/>
              <w:end w:w="100" w:type="dxa"/>
            </w:tcMar>
            <w:vAlign w:val="center"/>
          </w:tcPr>
          <w:p>
            <w:r>
              <w:rPr>
                <w:b/>
                <w:i w:val="0"/>
                <w:color w:val="FFFFFF"/>
                <w:sz w:val="15"/>
              </w:rPr>
              <w:t>Example purpose</w:t>
            </w:r>
          </w:p>
        </w:tc>
      </w:tr>
      <w:tr>
        <w:tc>
          <w:tcPr>
            <w:tcW w:type="dxa" w:w="2880"/>
            <w:tcMar>
              <w:top w:w="90" w:type="dxa"/>
              <w:start w:w="100" w:type="dxa"/>
              <w:bottom w:w="90" w:type="dxa"/>
              <w:end w:w="100" w:type="dxa"/>
            </w:tcMar>
            <w:vAlign w:val="top"/>
          </w:tcPr>
          <w:p>
            <w:r>
              <w:rPr>
                <w:b w:val="0"/>
                <w:i w:val="0"/>
                <w:color w:val="1F252B"/>
                <w:sz w:val="15"/>
              </w:rPr>
              <w:t>position_key</w:t>
            </w:r>
          </w:p>
        </w:tc>
        <w:tc>
          <w:tcPr>
            <w:tcW w:type="dxa" w:w="7056"/>
            <w:tcMar>
              <w:top w:w="90" w:type="dxa"/>
              <w:start w:w="100" w:type="dxa"/>
              <w:bottom w:w="90" w:type="dxa"/>
              <w:end w:w="100" w:type="dxa"/>
            </w:tcMar>
            <w:vAlign w:val="top"/>
          </w:tcPr>
          <w:p>
            <w:r>
              <w:rPr>
                <w:b w:val="0"/>
                <w:i w:val="0"/>
                <w:color w:val="1F252B"/>
                <w:sz w:val="15"/>
              </w:rPr>
              <w:t>Random local identifier; not client name or account number</w:t>
            </w:r>
          </w:p>
        </w:tc>
      </w:tr>
      <w:tr>
        <w:tc>
          <w:tcPr>
            <w:tcW w:type="dxa" w:w="2880"/>
            <w:tcMar>
              <w:top w:w="90" w:type="dxa"/>
              <w:start w:w="100" w:type="dxa"/>
              <w:bottom w:w="90" w:type="dxa"/>
              <w:end w:w="100" w:type="dxa"/>
            </w:tcMar>
            <w:shd w:fill="F5F7FA"/>
            <w:vAlign w:val="top"/>
          </w:tcPr>
          <w:p>
            <w:r>
              <w:rPr>
                <w:b w:val="0"/>
                <w:i w:val="0"/>
                <w:color w:val="1F252B"/>
                <w:sz w:val="15"/>
              </w:rPr>
              <w:t>account_category</w:t>
            </w:r>
          </w:p>
        </w:tc>
        <w:tc>
          <w:tcPr>
            <w:tcW w:type="dxa" w:w="7056"/>
            <w:tcMar>
              <w:top w:w="90" w:type="dxa"/>
              <w:start w:w="100" w:type="dxa"/>
              <w:bottom w:w="90" w:type="dxa"/>
              <w:end w:w="100" w:type="dxa"/>
            </w:tcMar>
            <w:shd w:fill="F5F7FA"/>
            <w:vAlign w:val="top"/>
          </w:tcPr>
          <w:p>
            <w:r>
              <w:rPr>
                <w:b w:val="0"/>
                <w:i w:val="0"/>
                <w:color w:val="1F252B"/>
                <w:sz w:val="15"/>
              </w:rPr>
              <w:t>advisory, brokerage, retirement, trust, institutional</w:t>
            </w:r>
          </w:p>
        </w:tc>
      </w:tr>
      <w:tr>
        <w:tc>
          <w:tcPr>
            <w:tcW w:type="dxa" w:w="2880"/>
            <w:tcMar>
              <w:top w:w="90" w:type="dxa"/>
              <w:start w:w="100" w:type="dxa"/>
              <w:bottom w:w="90" w:type="dxa"/>
              <w:end w:w="100" w:type="dxa"/>
            </w:tcMar>
            <w:vAlign w:val="top"/>
          </w:tcPr>
          <w:p>
            <w:r>
              <w:rPr>
                <w:b w:val="0"/>
                <w:i w:val="0"/>
                <w:color w:val="1F252B"/>
                <w:sz w:val="15"/>
              </w:rPr>
              <w:t>product_type and security identifier</w:t>
            </w:r>
          </w:p>
        </w:tc>
        <w:tc>
          <w:tcPr>
            <w:tcW w:type="dxa" w:w="7056"/>
            <w:tcMar>
              <w:top w:w="90" w:type="dxa"/>
              <w:start w:w="100" w:type="dxa"/>
              <w:bottom w:w="90" w:type="dxa"/>
              <w:end w:w="100" w:type="dxa"/>
            </w:tcMar>
            <w:vAlign w:val="top"/>
          </w:tcPr>
          <w:p>
            <w:r>
              <w:rPr>
                <w:b w:val="0"/>
                <w:i w:val="0"/>
                <w:color w:val="1F252B"/>
                <w:sz w:val="15"/>
              </w:rPr>
              <w:t>Compatibility and conversion logic</w:t>
            </w:r>
          </w:p>
        </w:tc>
      </w:tr>
      <w:tr>
        <w:tc>
          <w:tcPr>
            <w:tcW w:type="dxa" w:w="2880"/>
            <w:tcMar>
              <w:top w:w="90" w:type="dxa"/>
              <w:start w:w="100" w:type="dxa"/>
              <w:bottom w:w="90" w:type="dxa"/>
              <w:end w:w="100" w:type="dxa"/>
            </w:tcMar>
            <w:shd w:fill="F5F7FA"/>
            <w:vAlign w:val="top"/>
          </w:tcPr>
          <w:p>
            <w:r>
              <w:rPr>
                <w:b w:val="0"/>
                <w:i w:val="0"/>
                <w:color w:val="1F252B"/>
                <w:sz w:val="15"/>
              </w:rPr>
              <w:t>market_value and revenue</w:t>
            </w:r>
          </w:p>
        </w:tc>
        <w:tc>
          <w:tcPr>
            <w:tcW w:type="dxa" w:w="7056"/>
            <w:tcMar>
              <w:top w:w="90" w:type="dxa"/>
              <w:start w:w="100" w:type="dxa"/>
              <w:bottom w:w="90" w:type="dxa"/>
              <w:end w:w="100" w:type="dxa"/>
            </w:tcMar>
            <w:shd w:fill="F5F7FA"/>
            <w:vAlign w:val="top"/>
          </w:tcPr>
          <w:p>
            <w:r>
              <w:rPr>
                <w:b w:val="0"/>
                <w:i w:val="0"/>
                <w:color w:val="1F252B"/>
                <w:sz w:val="15"/>
              </w:rPr>
              <w:t>Asset and revenue portability scenarios</w:t>
            </w:r>
          </w:p>
        </w:tc>
      </w:tr>
      <w:tr>
        <w:tc>
          <w:tcPr>
            <w:tcW w:type="dxa" w:w="2880"/>
            <w:tcMar>
              <w:top w:w="90" w:type="dxa"/>
              <w:start w:w="100" w:type="dxa"/>
              <w:bottom w:w="90" w:type="dxa"/>
              <w:end w:w="100" w:type="dxa"/>
            </w:tcMar>
            <w:vAlign w:val="top"/>
          </w:tcPr>
          <w:p>
            <w:r>
              <w:rPr>
                <w:b w:val="0"/>
                <w:i w:val="0"/>
                <w:color w:val="1F252B"/>
                <w:sz w:val="15"/>
              </w:rPr>
              <w:t>lending / banking flag</w:t>
            </w:r>
          </w:p>
        </w:tc>
        <w:tc>
          <w:tcPr>
            <w:tcW w:type="dxa" w:w="7056"/>
            <w:tcMar>
              <w:top w:w="90" w:type="dxa"/>
              <w:start w:w="100" w:type="dxa"/>
              <w:bottom w:w="90" w:type="dxa"/>
              <w:end w:w="100" w:type="dxa"/>
            </w:tcMar>
            <w:vAlign w:val="top"/>
          </w:tcPr>
          <w:p>
            <w:r>
              <w:rPr>
                <w:b w:val="0"/>
                <w:i w:val="0"/>
                <w:color w:val="1F252B"/>
                <w:sz w:val="15"/>
              </w:rPr>
              <w:t>Dependency and replacement risk</w:t>
            </w:r>
          </w:p>
        </w:tc>
      </w:tr>
      <w:tr>
        <w:tc>
          <w:tcPr>
            <w:tcW w:type="dxa" w:w="2880"/>
            <w:tcMar>
              <w:top w:w="90" w:type="dxa"/>
              <w:start w:w="100" w:type="dxa"/>
              <w:bottom w:w="90" w:type="dxa"/>
              <w:end w:w="100" w:type="dxa"/>
            </w:tcMar>
            <w:shd w:fill="F5F7FA"/>
            <w:vAlign w:val="top"/>
          </w:tcPr>
          <w:p>
            <w:r>
              <w:rPr>
                <w:b w:val="0"/>
                <w:i w:val="0"/>
                <w:color w:val="1F252B"/>
                <w:sz w:val="15"/>
              </w:rPr>
              <w:t>alternative / annuity / insurance flag</w:t>
            </w:r>
          </w:p>
        </w:tc>
        <w:tc>
          <w:tcPr>
            <w:tcW w:type="dxa" w:w="7056"/>
            <w:tcMar>
              <w:top w:w="90" w:type="dxa"/>
              <w:start w:w="100" w:type="dxa"/>
              <w:bottom w:w="90" w:type="dxa"/>
              <w:end w:w="100" w:type="dxa"/>
            </w:tcMar>
            <w:shd w:fill="F5F7FA"/>
            <w:vAlign w:val="top"/>
          </w:tcPr>
          <w:p>
            <w:r>
              <w:rPr>
                <w:b w:val="0"/>
                <w:i w:val="0"/>
                <w:color w:val="1F252B"/>
                <w:sz w:val="15"/>
              </w:rPr>
              <w:t>Transfer restrictions and process complexity</w:t>
            </w:r>
          </w:p>
        </w:tc>
      </w:tr>
      <w:tr>
        <w:tc>
          <w:tcPr>
            <w:tcW w:type="dxa" w:w="2880"/>
            <w:tcMar>
              <w:top w:w="90" w:type="dxa"/>
              <w:start w:w="100" w:type="dxa"/>
              <w:bottom w:w="90" w:type="dxa"/>
              <w:end w:w="100" w:type="dxa"/>
            </w:tcMar>
            <w:vAlign w:val="top"/>
          </w:tcPr>
          <w:p>
            <w:r>
              <w:rPr>
                <w:b w:val="0"/>
                <w:i w:val="0"/>
                <w:color w:val="1F252B"/>
                <w:sz w:val="15"/>
              </w:rPr>
              <w:t>restricted / proprietary flag</w:t>
            </w:r>
          </w:p>
        </w:tc>
        <w:tc>
          <w:tcPr>
            <w:tcW w:type="dxa" w:w="7056"/>
            <w:tcMar>
              <w:top w:w="90" w:type="dxa"/>
              <w:start w:w="100" w:type="dxa"/>
              <w:bottom w:w="90" w:type="dxa"/>
              <w:end w:w="100" w:type="dxa"/>
            </w:tcMar>
            <w:vAlign w:val="top"/>
          </w:tcPr>
          <w:p>
            <w:r>
              <w:rPr>
                <w:b w:val="0"/>
                <w:i w:val="0"/>
                <w:color w:val="1F252B"/>
                <w:sz w:val="15"/>
              </w:rPr>
              <w:t>Potential stranded asset</w:t>
            </w:r>
          </w:p>
        </w:tc>
      </w:tr>
      <w:tr>
        <w:tc>
          <w:tcPr>
            <w:tcW w:type="dxa" w:w="2880"/>
            <w:tcMar>
              <w:top w:w="90" w:type="dxa"/>
              <w:start w:w="100" w:type="dxa"/>
              <w:bottom w:w="90" w:type="dxa"/>
              <w:end w:w="100" w:type="dxa"/>
            </w:tcMar>
            <w:shd w:fill="F5F7FA"/>
            <w:vAlign w:val="top"/>
          </w:tcPr>
          <w:p>
            <w:r>
              <w:rPr>
                <w:b w:val="0"/>
                <w:i w:val="0"/>
                <w:color w:val="1F252B"/>
                <w:sz w:val="15"/>
              </w:rPr>
              <w:t>concentration bucket</w:t>
            </w:r>
          </w:p>
        </w:tc>
        <w:tc>
          <w:tcPr>
            <w:tcW w:type="dxa" w:w="7056"/>
            <w:tcMar>
              <w:top w:w="90" w:type="dxa"/>
              <w:start w:w="100" w:type="dxa"/>
              <w:bottom w:w="90" w:type="dxa"/>
              <w:end w:w="100" w:type="dxa"/>
            </w:tcMar>
            <w:shd w:fill="F5F7FA"/>
            <w:vAlign w:val="top"/>
          </w:tcPr>
          <w:p>
            <w:r>
              <w:rPr>
                <w:b w:val="0"/>
                <w:i w:val="0"/>
                <w:color w:val="1F252B"/>
                <w:sz w:val="15"/>
              </w:rPr>
              <w:t>Client and revenue concentration without identity</w:t>
            </w:r>
          </w:p>
        </w:tc>
      </w:tr>
      <w:tr>
        <w:tc>
          <w:tcPr>
            <w:tcW w:type="dxa" w:w="2880"/>
            <w:tcMar>
              <w:top w:w="90" w:type="dxa"/>
              <w:start w:w="100" w:type="dxa"/>
              <w:bottom w:w="90" w:type="dxa"/>
              <w:end w:w="100" w:type="dxa"/>
            </w:tcMar>
            <w:vAlign w:val="top"/>
          </w:tcPr>
          <w:p>
            <w:r>
              <w:rPr>
                <w:b w:val="0"/>
                <w:i w:val="0"/>
                <w:color w:val="1F252B"/>
                <w:sz w:val="15"/>
              </w:rPr>
              <w:t>data_source and as_of_date</w:t>
            </w:r>
          </w:p>
        </w:tc>
        <w:tc>
          <w:tcPr>
            <w:tcW w:type="dxa" w:w="7056"/>
            <w:tcMar>
              <w:top w:w="90" w:type="dxa"/>
              <w:start w:w="100" w:type="dxa"/>
              <w:bottom w:w="90" w:type="dxa"/>
              <w:end w:w="100" w:type="dxa"/>
            </w:tcMar>
            <w:vAlign w:val="top"/>
          </w:tcPr>
          <w:p>
            <w:r>
              <w:rPr>
                <w:b w:val="0"/>
                <w:i w:val="0"/>
                <w:color w:val="1F252B"/>
                <w:sz w:val="15"/>
              </w:rPr>
              <w:t>Quality and currency</w:t>
            </w:r>
          </w:p>
        </w:tc>
      </w:tr>
    </w:tbl>
    <w:p>
      <w:pPr>
        <w:pStyle w:val="Heading2"/>
      </w:pPr>
      <w:r>
        <w:t>Analysis objects</w:t>
      </w:r>
    </w:p>
    <w:p>
      <w:pPr>
        <w:pStyle w:val="ListBullet"/>
      </w:pPr>
      <w:r>
        <w:t>Firm product compatibility rule with source, effective date and confidence.</w:t>
      </w:r>
    </w:p>
    <w:p>
      <w:pPr>
        <w:pStyle w:val="ListBullet"/>
      </w:pPr>
      <w:r>
        <w:t>Position-to-rule result: portable, conditional, replacement needed, likely nonportable, unknown.</w:t>
      </w:r>
    </w:p>
    <w:p>
      <w:pPr>
        <w:pStyle w:val="ListBullet"/>
      </w:pPr>
      <w:r>
        <w:t>Scenario assumptions for client decisions, timing and revenue transfer.</w:t>
      </w:r>
    </w:p>
    <w:p>
      <w:pPr>
        <w:pStyle w:val="ListBullet"/>
      </w:pPr>
      <w:r>
        <w:t>Aggregate outputs only unless a separately approved client-data model exists.</w:t>
      </w:r>
    </w:p>
    <w:p>
      <w:pPr>
        <w:pStyle w:val="ListBullet"/>
      </w:pPr>
      <w:r>
        <w:t>Every result displays uncertainty and unresolved classifications.</w:t>
      </w:r>
    </w:p>
    <w:p>
      <w:pPr>
        <w:pStyle w:val="Heading1"/>
      </w:pPr>
      <w:r>
        <w:t>11  Continuity and Talent Matching</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shd w:fill="12263F"/>
            <w:tcMar>
              <w:top w:w="90" w:type="dxa"/>
              <w:start w:w="100" w:type="dxa"/>
              <w:bottom w:w="90" w:type="dxa"/>
              <w:end w:w="100" w:type="dxa"/>
            </w:tcMar>
            <w:vAlign w:val="center"/>
          </w:tcPr>
          <w:p>
            <w:r>
              <w:rPr>
                <w:b/>
                <w:i w:val="0"/>
                <w:color w:val="FFFFFF"/>
                <w:sz w:val="15"/>
              </w:rPr>
              <w:t>Object</w:t>
            </w:r>
          </w:p>
        </w:tc>
        <w:tc>
          <w:tcPr>
            <w:tcW w:type="dxa" w:w="7560"/>
            <w:shd w:fill="12263F"/>
            <w:tcMar>
              <w:top w:w="90" w:type="dxa"/>
              <w:start w:w="100" w:type="dxa"/>
              <w:bottom w:w="90" w:type="dxa"/>
              <w:end w:w="100" w:type="dxa"/>
            </w:tcMar>
            <w:vAlign w:val="center"/>
          </w:tcPr>
          <w:p>
            <w:r>
              <w:rPr>
                <w:b/>
                <w:i w:val="0"/>
                <w:color w:val="FFFFFF"/>
                <w:sz w:val="15"/>
              </w:rPr>
              <w:t>Key fields</w:t>
            </w:r>
          </w:p>
        </w:tc>
      </w:tr>
      <w:tr>
        <w:tc>
          <w:tcPr>
            <w:tcW w:type="dxa" w:w="2376"/>
            <w:tcMar>
              <w:top w:w="90" w:type="dxa"/>
              <w:start w:w="100" w:type="dxa"/>
              <w:bottom w:w="90" w:type="dxa"/>
              <w:end w:w="100" w:type="dxa"/>
            </w:tcMar>
            <w:vAlign w:val="top"/>
          </w:tcPr>
          <w:p>
            <w:r>
              <w:rPr>
                <w:b w:val="0"/>
                <w:i w:val="0"/>
                <w:color w:val="1F252B"/>
                <w:sz w:val="15"/>
              </w:rPr>
              <w:t>continuity_opportunity</w:t>
            </w:r>
          </w:p>
        </w:tc>
        <w:tc>
          <w:tcPr>
            <w:tcW w:type="dxa" w:w="7560"/>
            <w:tcMar>
              <w:top w:w="90" w:type="dxa"/>
              <w:start w:w="100" w:type="dxa"/>
              <w:bottom w:w="90" w:type="dxa"/>
              <w:end w:w="100" w:type="dxa"/>
            </w:tcMar>
            <w:vAlign w:val="top"/>
          </w:tcPr>
          <w:p>
            <w:r>
              <w:rPr>
                <w:b w:val="0"/>
                <w:i w:val="0"/>
                <w:color w:val="1F252B"/>
                <w:sz w:val="15"/>
              </w:rPr>
              <w:t>type, market, practice range, business mix, timeline, preferred model, anonymity status</w:t>
            </w:r>
          </w:p>
        </w:tc>
      </w:tr>
      <w:tr>
        <w:tc>
          <w:tcPr>
            <w:tcW w:type="dxa" w:w="2376"/>
            <w:tcMar>
              <w:top w:w="90" w:type="dxa"/>
              <w:start w:w="100" w:type="dxa"/>
              <w:bottom w:w="90" w:type="dxa"/>
              <w:end w:w="100" w:type="dxa"/>
            </w:tcMar>
            <w:shd w:fill="F5F7FA"/>
            <w:vAlign w:val="top"/>
          </w:tcPr>
          <w:p>
            <w:r>
              <w:rPr>
                <w:b w:val="0"/>
                <w:i w:val="0"/>
                <w:color w:val="1F252B"/>
                <w:sz w:val="15"/>
              </w:rPr>
              <w:t>participant_profile</w:t>
            </w:r>
          </w:p>
        </w:tc>
        <w:tc>
          <w:tcPr>
            <w:tcW w:type="dxa" w:w="7560"/>
            <w:tcMar>
              <w:top w:w="90" w:type="dxa"/>
              <w:start w:w="100" w:type="dxa"/>
              <w:bottom w:w="90" w:type="dxa"/>
              <w:end w:w="100" w:type="dxa"/>
            </w:tcMar>
            <w:shd w:fill="F5F7FA"/>
            <w:vAlign w:val="top"/>
          </w:tcPr>
          <w:p>
            <w:r>
              <w:rPr>
                <w:b w:val="0"/>
                <w:i w:val="0"/>
                <w:color w:val="1F252B"/>
                <w:sz w:val="15"/>
              </w:rPr>
              <w:t>buyer/seller/successor/junior/team role, verified identity, preferences and constraints</w:t>
            </w:r>
          </w:p>
        </w:tc>
      </w:tr>
      <w:tr>
        <w:tc>
          <w:tcPr>
            <w:tcW w:type="dxa" w:w="2376"/>
            <w:tcMar>
              <w:top w:w="90" w:type="dxa"/>
              <w:start w:w="100" w:type="dxa"/>
              <w:bottom w:w="90" w:type="dxa"/>
              <w:end w:w="100" w:type="dxa"/>
            </w:tcMar>
            <w:vAlign w:val="top"/>
          </w:tcPr>
          <w:p>
            <w:r>
              <w:rPr>
                <w:b w:val="0"/>
                <w:i w:val="0"/>
                <w:color w:val="1F252B"/>
                <w:sz w:val="15"/>
              </w:rPr>
              <w:t>match</w:t>
            </w:r>
          </w:p>
        </w:tc>
        <w:tc>
          <w:tcPr>
            <w:tcW w:type="dxa" w:w="7560"/>
            <w:tcMar>
              <w:top w:w="90" w:type="dxa"/>
              <w:start w:w="100" w:type="dxa"/>
              <w:bottom w:w="90" w:type="dxa"/>
              <w:end w:w="100" w:type="dxa"/>
            </w:tcMar>
            <w:vAlign w:val="top"/>
          </w:tcPr>
          <w:p>
            <w:r>
              <w:rPr>
                <w:b w:val="0"/>
                <w:i w:val="0"/>
                <w:color w:val="1F252B"/>
                <w:sz w:val="15"/>
              </w:rPr>
              <w:t>compatibility dimensions, score, rationale, conflicts and approval status</w:t>
            </w:r>
          </w:p>
        </w:tc>
      </w:tr>
      <w:tr>
        <w:tc>
          <w:tcPr>
            <w:tcW w:type="dxa" w:w="2376"/>
            <w:tcMar>
              <w:top w:w="90" w:type="dxa"/>
              <w:start w:w="100" w:type="dxa"/>
              <w:bottom w:w="90" w:type="dxa"/>
              <w:end w:w="100" w:type="dxa"/>
            </w:tcMar>
            <w:shd w:fill="F5F7FA"/>
            <w:vAlign w:val="top"/>
          </w:tcPr>
          <w:p>
            <w:r>
              <w:rPr>
                <w:b w:val="0"/>
                <w:i w:val="0"/>
                <w:color w:val="1F252B"/>
                <w:sz w:val="15"/>
              </w:rPr>
              <w:t>introduction</w:t>
            </w:r>
          </w:p>
        </w:tc>
        <w:tc>
          <w:tcPr>
            <w:tcW w:type="dxa" w:w="7560"/>
            <w:tcMar>
              <w:top w:w="90" w:type="dxa"/>
              <w:start w:w="100" w:type="dxa"/>
              <w:bottom w:w="90" w:type="dxa"/>
              <w:end w:w="100" w:type="dxa"/>
            </w:tcMar>
            <w:shd w:fill="F5F7FA"/>
            <w:vAlign w:val="top"/>
          </w:tcPr>
          <w:p>
            <w:r>
              <w:rPr>
                <w:b w:val="0"/>
                <w:i w:val="0"/>
                <w:color w:val="1F252B"/>
                <w:sz w:val="15"/>
              </w:rPr>
              <w:t>mutual consent, confidentiality, date, participants and outcome</w:t>
            </w:r>
          </w:p>
        </w:tc>
      </w:tr>
      <w:tr>
        <w:tc>
          <w:tcPr>
            <w:tcW w:type="dxa" w:w="2376"/>
            <w:tcMar>
              <w:top w:w="90" w:type="dxa"/>
              <w:start w:w="100" w:type="dxa"/>
              <w:bottom w:w="90" w:type="dxa"/>
              <w:end w:w="100" w:type="dxa"/>
            </w:tcMar>
            <w:vAlign w:val="top"/>
          </w:tcPr>
          <w:p>
            <w:r>
              <w:rPr>
                <w:b w:val="0"/>
                <w:i w:val="0"/>
                <w:color w:val="1F252B"/>
                <w:sz w:val="15"/>
              </w:rPr>
              <w:t>transaction_path</w:t>
            </w:r>
          </w:p>
        </w:tc>
        <w:tc>
          <w:tcPr>
            <w:tcW w:type="dxa" w:w="7560"/>
            <w:tcMar>
              <w:top w:w="90" w:type="dxa"/>
              <w:start w:w="100" w:type="dxa"/>
              <w:bottom w:w="90" w:type="dxa"/>
              <w:end w:w="100" w:type="dxa"/>
            </w:tcMar>
            <w:vAlign w:val="top"/>
          </w:tcPr>
          <w:p>
            <w:r>
              <w:rPr>
                <w:b w:val="0"/>
                <w:i w:val="0"/>
                <w:color w:val="1F252B"/>
                <w:sz w:val="15"/>
              </w:rPr>
              <w:t>stay, move together, join team, acquire, merge, phased succession</w:t>
            </w:r>
          </w:p>
        </w:tc>
      </w:tr>
    </w:tbl>
    <w:p>
      <w:pPr>
        <w:pStyle w:val="Heading2"/>
      </w:pPr>
      <w:r>
        <w:t>Launch boundary</w:t>
      </w:r>
    </w:p>
    <w:p>
      <w:pPr>
        <w:pStyle w:val="BodyText"/>
      </w:pPr>
      <w:r>
        <w:t>The first version should be a private concierge workflow. Do not publish an open listing board until VYNE has verified supply, confidentiality controls, conflict rules and enough density to create credible matches.</w:t>
      </w:r>
    </w:p>
    <w:p>
      <w:pPr>
        <w:pStyle w:val="Heading1"/>
      </w:pPr>
      <w:r>
        <w:t>12  Consents, Documents and Permissions</w:t>
      </w:r>
    </w:p>
    <w:p>
      <w:pPr>
        <w:pStyle w:val="Heading2"/>
      </w:pPr>
      <w:r>
        <w:t>Consent records</w:t>
      </w:r>
    </w:p>
    <w:tbl>
      <w:tblPr>
        <w:tblStyle w:val="TableGrid"/>
        <w:tblW w:type="auto" w:w="0"/>
        <w:jc w:val="center"/>
        <w:tblLayout w:type="fixed"/>
        <w:tblLook w:firstColumn="1" w:firstRow="1" w:lastColumn="0" w:lastRow="0" w:noHBand="0" w:noVBand="1" w:val="04A0"/>
      </w:tblPr>
      <w:tblGrid>
        <w:gridCol w:w="5083"/>
        <w:gridCol w:w="5083"/>
      </w:tblGrid>
      <w:tr>
        <w:tc>
          <w:tcPr>
            <w:tcW w:type="dxa" w:w="2232"/>
            <w:shd w:fill="12263F"/>
            <w:tcMar>
              <w:top w:w="90" w:type="dxa"/>
              <w:start w:w="100" w:type="dxa"/>
              <w:bottom w:w="90" w:type="dxa"/>
              <w:end w:w="100" w:type="dxa"/>
            </w:tcMar>
            <w:vAlign w:val="center"/>
          </w:tcPr>
          <w:p>
            <w:r>
              <w:rPr>
                <w:b/>
                <w:i w:val="0"/>
                <w:color w:val="FFFFFF"/>
                <w:sz w:val="15"/>
              </w:rPr>
              <w:t>Consent type</w:t>
            </w:r>
          </w:p>
        </w:tc>
        <w:tc>
          <w:tcPr>
            <w:tcW w:type="dxa" w:w="7704"/>
            <w:shd w:fill="12263F"/>
            <w:tcMar>
              <w:top w:w="90" w:type="dxa"/>
              <w:start w:w="100" w:type="dxa"/>
              <w:bottom w:w="90" w:type="dxa"/>
              <w:end w:w="100" w:type="dxa"/>
            </w:tcMar>
            <w:vAlign w:val="center"/>
          </w:tcPr>
          <w:p>
            <w:r>
              <w:rPr>
                <w:b/>
                <w:i w:val="0"/>
                <w:color w:val="FFFFFF"/>
                <w:sz w:val="15"/>
              </w:rPr>
              <w:t>Required details</w:t>
            </w:r>
          </w:p>
        </w:tc>
      </w:tr>
      <w:tr>
        <w:tc>
          <w:tcPr>
            <w:tcW w:type="dxa" w:w="2232"/>
            <w:tcMar>
              <w:top w:w="90" w:type="dxa"/>
              <w:start w:w="100" w:type="dxa"/>
              <w:bottom w:w="90" w:type="dxa"/>
              <w:end w:w="100" w:type="dxa"/>
            </w:tcMar>
            <w:vAlign w:val="top"/>
          </w:tcPr>
          <w:p>
            <w:r>
              <w:rPr>
                <w:b w:val="0"/>
                <w:i w:val="0"/>
                <w:color w:val="1F252B"/>
                <w:sz w:val="15"/>
              </w:rPr>
              <w:t>Marketing</w:t>
            </w:r>
          </w:p>
        </w:tc>
        <w:tc>
          <w:tcPr>
            <w:tcW w:type="dxa" w:w="7704"/>
            <w:tcMar>
              <w:top w:w="90" w:type="dxa"/>
              <w:start w:w="100" w:type="dxa"/>
              <w:bottom w:w="90" w:type="dxa"/>
              <w:end w:w="100" w:type="dxa"/>
            </w:tcMar>
            <w:vAlign w:val="top"/>
          </w:tcPr>
          <w:p>
            <w:r>
              <w:rPr>
                <w:b w:val="0"/>
                <w:i w:val="0"/>
                <w:color w:val="1F252B"/>
                <w:sz w:val="15"/>
              </w:rPr>
              <w:t>channel, wording/version, granted date, source, withdrawn date</w:t>
            </w:r>
          </w:p>
        </w:tc>
      </w:tr>
      <w:tr>
        <w:tc>
          <w:tcPr>
            <w:tcW w:type="dxa" w:w="2232"/>
            <w:tcMar>
              <w:top w:w="90" w:type="dxa"/>
              <w:start w:w="100" w:type="dxa"/>
              <w:bottom w:w="90" w:type="dxa"/>
              <w:end w:w="100" w:type="dxa"/>
            </w:tcMar>
            <w:shd w:fill="F5F7FA"/>
            <w:vAlign w:val="top"/>
          </w:tcPr>
          <w:p>
            <w:r>
              <w:rPr>
                <w:b w:val="0"/>
                <w:i w:val="0"/>
                <w:color w:val="1F252B"/>
                <w:sz w:val="15"/>
              </w:rPr>
              <w:t>Advisor verification</w:t>
            </w:r>
          </w:p>
        </w:tc>
        <w:tc>
          <w:tcPr>
            <w:tcW w:type="dxa" w:w="7704"/>
            <w:tcMar>
              <w:top w:w="90" w:type="dxa"/>
              <w:start w:w="100" w:type="dxa"/>
              <w:bottom w:w="90" w:type="dxa"/>
              <w:end w:w="100" w:type="dxa"/>
            </w:tcMar>
            <w:shd w:fill="F5F7FA"/>
            <w:vAlign w:val="top"/>
          </w:tcPr>
          <w:p>
            <w:r>
              <w:rPr>
                <w:b w:val="0"/>
                <w:i w:val="0"/>
                <w:color w:val="1F252B"/>
                <w:sz w:val="15"/>
              </w:rPr>
              <w:t>purpose, verification data, reviewer and result</w:t>
            </w:r>
          </w:p>
        </w:tc>
      </w:tr>
      <w:tr>
        <w:tc>
          <w:tcPr>
            <w:tcW w:type="dxa" w:w="2232"/>
            <w:tcMar>
              <w:top w:w="90" w:type="dxa"/>
              <w:start w:w="100" w:type="dxa"/>
              <w:bottom w:w="90" w:type="dxa"/>
              <w:end w:w="100" w:type="dxa"/>
            </w:tcMar>
            <w:vAlign w:val="top"/>
          </w:tcPr>
          <w:p>
            <w:r>
              <w:rPr>
                <w:b w:val="0"/>
                <w:i w:val="0"/>
                <w:color w:val="1F252B"/>
                <w:sz w:val="15"/>
              </w:rPr>
              <w:t>Named firm submission</w:t>
            </w:r>
          </w:p>
        </w:tc>
        <w:tc>
          <w:tcPr>
            <w:tcW w:type="dxa" w:w="7704"/>
            <w:tcMar>
              <w:top w:w="90" w:type="dxa"/>
              <w:start w:w="100" w:type="dxa"/>
              <w:bottom w:w="90" w:type="dxa"/>
              <w:end w:w="100" w:type="dxa"/>
            </w:tcMar>
            <w:vAlign w:val="top"/>
          </w:tcPr>
          <w:p>
            <w:r>
              <w:rPr>
                <w:b w:val="0"/>
                <w:i w:val="0"/>
                <w:color w:val="1F252B"/>
                <w:sz w:val="15"/>
              </w:rPr>
              <w:t>firm, information scope, authorization date and method</w:t>
            </w:r>
          </w:p>
        </w:tc>
      </w:tr>
      <w:tr>
        <w:tc>
          <w:tcPr>
            <w:tcW w:type="dxa" w:w="2232"/>
            <w:tcMar>
              <w:top w:w="90" w:type="dxa"/>
              <w:start w:w="100" w:type="dxa"/>
              <w:bottom w:w="90" w:type="dxa"/>
              <w:end w:w="100" w:type="dxa"/>
            </w:tcMar>
            <w:shd w:fill="F5F7FA"/>
            <w:vAlign w:val="top"/>
          </w:tcPr>
          <w:p>
            <w:r>
              <w:rPr>
                <w:b w:val="0"/>
                <w:i w:val="0"/>
                <w:color w:val="1F252B"/>
                <w:sz w:val="15"/>
              </w:rPr>
              <w:t>Secure analysis</w:t>
            </w:r>
          </w:p>
        </w:tc>
        <w:tc>
          <w:tcPr>
            <w:tcW w:type="dxa" w:w="7704"/>
            <w:tcMar>
              <w:top w:w="90" w:type="dxa"/>
              <w:start w:w="100" w:type="dxa"/>
              <w:bottom w:w="90" w:type="dxa"/>
              <w:end w:w="100" w:type="dxa"/>
            </w:tcMar>
            <w:shd w:fill="F5F7FA"/>
            <w:vAlign w:val="top"/>
          </w:tcPr>
          <w:p>
            <w:r>
              <w:rPr>
                <w:b w:val="0"/>
                <w:i w:val="0"/>
                <w:color w:val="1F252B"/>
                <w:sz w:val="15"/>
              </w:rPr>
              <w:t>documents/data allowed, purpose, retention and sharing</w:t>
            </w:r>
          </w:p>
        </w:tc>
      </w:tr>
      <w:tr>
        <w:tc>
          <w:tcPr>
            <w:tcW w:type="dxa" w:w="2232"/>
            <w:tcMar>
              <w:top w:w="90" w:type="dxa"/>
              <w:start w:w="100" w:type="dxa"/>
              <w:bottom w:w="90" w:type="dxa"/>
              <w:end w:w="100" w:type="dxa"/>
            </w:tcMar>
            <w:vAlign w:val="top"/>
          </w:tcPr>
          <w:p>
            <w:r>
              <w:rPr>
                <w:b w:val="0"/>
                <w:i w:val="0"/>
                <w:color w:val="1F252B"/>
                <w:sz w:val="15"/>
              </w:rPr>
              <w:t>Placement announcement</w:t>
            </w:r>
          </w:p>
        </w:tc>
        <w:tc>
          <w:tcPr>
            <w:tcW w:type="dxa" w:w="7704"/>
            <w:tcMar>
              <w:top w:w="90" w:type="dxa"/>
              <w:start w:w="100" w:type="dxa"/>
              <w:bottom w:w="90" w:type="dxa"/>
              <w:end w:w="100" w:type="dxa"/>
            </w:tcMar>
            <w:vAlign w:val="top"/>
          </w:tcPr>
          <w:p>
            <w:r>
              <w:rPr>
                <w:b w:val="0"/>
                <w:i w:val="0"/>
                <w:color w:val="1F252B"/>
                <w:sz w:val="15"/>
              </w:rPr>
              <w:t>advisor and firm approval, approved text and channels</w:t>
            </w:r>
          </w:p>
        </w:tc>
      </w:tr>
    </w:tbl>
    <w:p>
      <w:pPr>
        <w:pStyle w:val="Heading2"/>
      </w:pPr>
      <w:r>
        <w:t>Role model</w:t>
      </w:r>
    </w:p>
    <w:tbl>
      <w:tblPr>
        <w:tblStyle w:val="TableGrid"/>
        <w:tblW w:type="auto" w:w="0"/>
        <w:jc w:val="center"/>
        <w:tblLayout w:type="fixed"/>
        <w:tblLook w:firstColumn="1" w:firstRow="1" w:lastColumn="0" w:lastRow="0" w:noHBand="0" w:noVBand="1" w:val="04A0"/>
      </w:tblPr>
      <w:tblGrid>
        <w:gridCol w:w="5083"/>
        <w:gridCol w:w="5083"/>
      </w:tblGrid>
      <w:tr>
        <w:tc>
          <w:tcPr>
            <w:tcW w:type="dxa" w:w="2232"/>
            <w:shd w:fill="12263F"/>
            <w:tcMar>
              <w:top w:w="90" w:type="dxa"/>
              <w:start w:w="100" w:type="dxa"/>
              <w:bottom w:w="90" w:type="dxa"/>
              <w:end w:w="100" w:type="dxa"/>
            </w:tcMar>
            <w:vAlign w:val="center"/>
          </w:tcPr>
          <w:p>
            <w:r>
              <w:rPr>
                <w:b/>
                <w:i w:val="0"/>
                <w:color w:val="FFFFFF"/>
                <w:sz w:val="15"/>
              </w:rPr>
              <w:t>Role</w:t>
            </w:r>
          </w:p>
        </w:tc>
        <w:tc>
          <w:tcPr>
            <w:tcW w:type="dxa" w:w="7704"/>
            <w:shd w:fill="12263F"/>
            <w:tcMar>
              <w:top w:w="90" w:type="dxa"/>
              <w:start w:w="100" w:type="dxa"/>
              <w:bottom w:w="90" w:type="dxa"/>
              <w:end w:w="100" w:type="dxa"/>
            </w:tcMar>
            <w:vAlign w:val="center"/>
          </w:tcPr>
          <w:p>
            <w:r>
              <w:rPr>
                <w:b/>
                <w:i w:val="0"/>
                <w:color w:val="FFFFFF"/>
                <w:sz w:val="15"/>
              </w:rPr>
              <w:t>Typical access</w:t>
            </w:r>
          </w:p>
        </w:tc>
      </w:tr>
      <w:tr>
        <w:tc>
          <w:tcPr>
            <w:tcW w:type="dxa" w:w="2232"/>
            <w:tcMar>
              <w:top w:w="90" w:type="dxa"/>
              <w:start w:w="100" w:type="dxa"/>
              <w:bottom w:w="90" w:type="dxa"/>
              <w:end w:w="100" w:type="dxa"/>
            </w:tcMar>
            <w:vAlign w:val="top"/>
          </w:tcPr>
          <w:p>
            <w:r>
              <w:rPr>
                <w:b w:val="0"/>
                <w:i w:val="0"/>
                <w:color w:val="1F252B"/>
                <w:sz w:val="15"/>
              </w:rPr>
              <w:t>Founder / case lead</w:t>
            </w:r>
          </w:p>
        </w:tc>
        <w:tc>
          <w:tcPr>
            <w:tcW w:type="dxa" w:w="7704"/>
            <w:tcMar>
              <w:top w:w="90" w:type="dxa"/>
              <w:start w:w="100" w:type="dxa"/>
              <w:bottom w:w="90" w:type="dxa"/>
              <w:end w:w="100" w:type="dxa"/>
            </w:tcMar>
            <w:vAlign w:val="top"/>
          </w:tcPr>
          <w:p>
            <w:r>
              <w:rPr>
                <w:b w:val="0"/>
                <w:i w:val="0"/>
                <w:color w:val="1F252B"/>
                <w:sz w:val="15"/>
              </w:rPr>
              <w:t>Assigned advisor cases, firm relationships and approved business reporting</w:t>
            </w:r>
          </w:p>
        </w:tc>
      </w:tr>
      <w:tr>
        <w:tc>
          <w:tcPr>
            <w:tcW w:type="dxa" w:w="2232"/>
            <w:tcMar>
              <w:top w:w="90" w:type="dxa"/>
              <w:start w:w="100" w:type="dxa"/>
              <w:bottom w:w="90" w:type="dxa"/>
              <w:end w:w="100" w:type="dxa"/>
            </w:tcMar>
            <w:shd w:fill="F5F7FA"/>
            <w:vAlign w:val="top"/>
          </w:tcPr>
          <w:p>
            <w:r>
              <w:rPr>
                <w:b w:val="0"/>
                <w:i w:val="0"/>
                <w:color w:val="1F252B"/>
                <w:sz w:val="15"/>
              </w:rPr>
              <w:t>Consultant</w:t>
            </w:r>
          </w:p>
        </w:tc>
        <w:tc>
          <w:tcPr>
            <w:tcW w:type="dxa" w:w="7704"/>
            <w:tcMar>
              <w:top w:w="90" w:type="dxa"/>
              <w:start w:w="100" w:type="dxa"/>
              <w:bottom w:w="90" w:type="dxa"/>
              <w:end w:w="100" w:type="dxa"/>
            </w:tcMar>
            <w:shd w:fill="F5F7FA"/>
            <w:vAlign w:val="top"/>
          </w:tcPr>
          <w:p>
            <w:r>
              <w:rPr>
                <w:b w:val="0"/>
                <w:i w:val="0"/>
                <w:color w:val="1F252B"/>
                <w:sz w:val="15"/>
              </w:rPr>
              <w:t>Assigned cases and limited firm intelligence</w:t>
            </w:r>
          </w:p>
        </w:tc>
      </w:tr>
      <w:tr>
        <w:tc>
          <w:tcPr>
            <w:tcW w:type="dxa" w:w="2232"/>
            <w:tcMar>
              <w:top w:w="90" w:type="dxa"/>
              <w:start w:w="100" w:type="dxa"/>
              <w:bottom w:w="90" w:type="dxa"/>
              <w:end w:w="100" w:type="dxa"/>
            </w:tcMar>
            <w:vAlign w:val="top"/>
          </w:tcPr>
          <w:p>
            <w:r>
              <w:rPr>
                <w:b w:val="0"/>
                <w:i w:val="0"/>
                <w:color w:val="1F252B"/>
                <w:sz w:val="15"/>
              </w:rPr>
              <w:t>Research / content</w:t>
            </w:r>
          </w:p>
        </w:tc>
        <w:tc>
          <w:tcPr>
            <w:tcW w:type="dxa" w:w="7704"/>
            <w:tcMar>
              <w:top w:w="90" w:type="dxa"/>
              <w:start w:w="100" w:type="dxa"/>
              <w:bottom w:w="90" w:type="dxa"/>
              <w:end w:w="100" w:type="dxa"/>
            </w:tcMar>
            <w:vAlign w:val="top"/>
          </w:tcPr>
          <w:p>
            <w:r>
              <w:rPr>
                <w:b w:val="0"/>
                <w:i w:val="0"/>
                <w:color w:val="1F252B"/>
                <w:sz w:val="15"/>
              </w:rPr>
              <w:t>De-identified intelligence and public content; no active-case documents by default</w:t>
            </w:r>
          </w:p>
        </w:tc>
      </w:tr>
      <w:tr>
        <w:tc>
          <w:tcPr>
            <w:tcW w:type="dxa" w:w="2232"/>
            <w:tcMar>
              <w:top w:w="90" w:type="dxa"/>
              <w:start w:w="100" w:type="dxa"/>
              <w:bottom w:w="90" w:type="dxa"/>
              <w:end w:w="100" w:type="dxa"/>
            </w:tcMar>
            <w:shd w:fill="F5F7FA"/>
            <w:vAlign w:val="top"/>
          </w:tcPr>
          <w:p>
            <w:r>
              <w:rPr>
                <w:b w:val="0"/>
                <w:i w:val="0"/>
                <w:color w:val="1F252B"/>
                <w:sz w:val="15"/>
              </w:rPr>
              <w:t>Finance</w:t>
            </w:r>
          </w:p>
        </w:tc>
        <w:tc>
          <w:tcPr>
            <w:tcW w:type="dxa" w:w="7704"/>
            <w:tcMar>
              <w:top w:w="90" w:type="dxa"/>
              <w:start w:w="100" w:type="dxa"/>
              <w:bottom w:w="90" w:type="dxa"/>
              <w:end w:w="100" w:type="dxa"/>
            </w:tcMar>
            <w:shd w:fill="F5F7FA"/>
            <w:vAlign w:val="top"/>
          </w:tcPr>
          <w:p>
            <w:r>
              <w:rPr>
                <w:b w:val="0"/>
                <w:i w:val="0"/>
                <w:color w:val="1F252B"/>
                <w:sz w:val="15"/>
              </w:rPr>
              <w:t>Agreements, placements, invoices and payment records; limited advisor narrative</w:t>
            </w:r>
          </w:p>
        </w:tc>
      </w:tr>
      <w:tr>
        <w:tc>
          <w:tcPr>
            <w:tcW w:type="dxa" w:w="2232"/>
            <w:tcMar>
              <w:top w:w="90" w:type="dxa"/>
              <w:start w:w="100" w:type="dxa"/>
              <w:bottom w:w="90" w:type="dxa"/>
              <w:end w:w="100" w:type="dxa"/>
            </w:tcMar>
            <w:vAlign w:val="top"/>
          </w:tcPr>
          <w:p>
            <w:r>
              <w:rPr>
                <w:b w:val="0"/>
                <w:i w:val="0"/>
                <w:color w:val="1F252B"/>
                <w:sz w:val="15"/>
              </w:rPr>
              <w:t>Security/admin</w:t>
            </w:r>
          </w:p>
        </w:tc>
        <w:tc>
          <w:tcPr>
            <w:tcW w:type="dxa" w:w="7704"/>
            <w:tcMar>
              <w:top w:w="90" w:type="dxa"/>
              <w:start w:w="100" w:type="dxa"/>
              <w:bottom w:w="90" w:type="dxa"/>
              <w:end w:w="100" w:type="dxa"/>
            </w:tcMar>
            <w:vAlign w:val="top"/>
          </w:tcPr>
          <w:p>
            <w:r>
              <w:rPr>
                <w:b w:val="0"/>
                <w:i w:val="0"/>
                <w:color w:val="1F252B"/>
                <w:sz w:val="15"/>
              </w:rPr>
              <w:t>Technical administration with monitored emergency access</w:t>
            </w:r>
          </w:p>
        </w:tc>
      </w:tr>
      <w:tr>
        <w:tc>
          <w:tcPr>
            <w:tcW w:type="dxa" w:w="2232"/>
            <w:tcMar>
              <w:top w:w="90" w:type="dxa"/>
              <w:start w:w="100" w:type="dxa"/>
              <w:bottom w:w="90" w:type="dxa"/>
              <w:end w:w="100" w:type="dxa"/>
            </w:tcMar>
            <w:shd w:fill="F5F7FA"/>
            <w:vAlign w:val="top"/>
          </w:tcPr>
          <w:p>
            <w:r>
              <w:rPr>
                <w:b w:val="0"/>
                <w:i w:val="0"/>
                <w:color w:val="1F252B"/>
                <w:sz w:val="15"/>
              </w:rPr>
              <w:t>AI agent service</w:t>
            </w:r>
          </w:p>
        </w:tc>
        <w:tc>
          <w:tcPr>
            <w:tcW w:type="dxa" w:w="7704"/>
            <w:tcMar>
              <w:top w:w="90" w:type="dxa"/>
              <w:start w:w="100" w:type="dxa"/>
              <w:bottom w:w="90" w:type="dxa"/>
              <w:end w:w="100" w:type="dxa"/>
            </w:tcMar>
            <w:shd w:fill="F5F7FA"/>
            <w:vAlign w:val="top"/>
          </w:tcPr>
          <w:p>
            <w:r>
              <w:rPr>
                <w:b w:val="0"/>
                <w:i w:val="0"/>
                <w:color w:val="1F252B"/>
                <w:sz w:val="15"/>
              </w:rPr>
              <w:t>Explicitly scoped records and actions for each run</w:t>
            </w:r>
          </w:p>
        </w:tc>
      </w:tr>
    </w:tbl>
    <w:p>
      <w:pPr>
        <w:pStyle w:val="Heading1"/>
      </w:pPr>
      <w:r>
        <w:t>13  Workflow State Machine and Stage Gates</w:t>
      </w:r>
    </w:p>
    <w:p>
      <w:pPr>
        <w:pStyle w:val="Heading2"/>
      </w:pPr>
      <w:r>
        <w:t>Case-stage gate examples</w:t>
      </w:r>
    </w:p>
    <w:tbl>
      <w:tblPr>
        <w:tblStyle w:val="TableGrid"/>
        <w:tblW w:type="auto" w:w="0"/>
        <w:jc w:val="center"/>
        <w:tblLayout w:type="fixed"/>
        <w:tblLook w:firstColumn="1" w:firstRow="1" w:lastColumn="0" w:lastRow="0" w:noHBand="0" w:noVBand="1" w:val="04A0"/>
      </w:tblPr>
      <w:tblGrid>
        <w:gridCol w:w="5083"/>
        <w:gridCol w:w="5083"/>
      </w:tblGrid>
      <w:tr>
        <w:tc>
          <w:tcPr>
            <w:tcW w:type="dxa" w:w="2592"/>
            <w:shd w:fill="12263F"/>
            <w:tcMar>
              <w:top w:w="90" w:type="dxa"/>
              <w:start w:w="100" w:type="dxa"/>
              <w:bottom w:w="90" w:type="dxa"/>
              <w:end w:w="100" w:type="dxa"/>
            </w:tcMar>
            <w:vAlign w:val="center"/>
          </w:tcPr>
          <w:p>
            <w:r>
              <w:rPr>
                <w:b/>
                <w:i w:val="0"/>
                <w:color w:val="FFFFFF"/>
                <w:sz w:val="15"/>
              </w:rPr>
              <w:t>Stage</w:t>
            </w:r>
          </w:p>
        </w:tc>
        <w:tc>
          <w:tcPr>
            <w:tcW w:type="dxa" w:w="7344"/>
            <w:shd w:fill="12263F"/>
            <w:tcMar>
              <w:top w:w="90" w:type="dxa"/>
              <w:start w:w="100" w:type="dxa"/>
              <w:bottom w:w="90" w:type="dxa"/>
              <w:end w:w="100" w:type="dxa"/>
            </w:tcMar>
            <w:vAlign w:val="center"/>
          </w:tcPr>
          <w:p>
            <w:r>
              <w:rPr>
                <w:b/>
                <w:i w:val="0"/>
                <w:color w:val="FFFFFF"/>
                <w:sz w:val="15"/>
              </w:rPr>
              <w:t>Required before advancing</w:t>
            </w:r>
          </w:p>
        </w:tc>
      </w:tr>
      <w:tr>
        <w:tc>
          <w:tcPr>
            <w:tcW w:type="dxa" w:w="2592"/>
            <w:tcMar>
              <w:top w:w="90" w:type="dxa"/>
              <w:start w:w="100" w:type="dxa"/>
              <w:bottom w:w="90" w:type="dxa"/>
              <w:end w:w="100" w:type="dxa"/>
            </w:tcMar>
            <w:vAlign w:val="top"/>
          </w:tcPr>
          <w:p>
            <w:r>
              <w:rPr>
                <w:b w:val="0"/>
                <w:i w:val="0"/>
                <w:color w:val="1F252B"/>
                <w:sz w:val="15"/>
              </w:rPr>
              <w:t>Understand -&gt; Vision</w:t>
            </w:r>
          </w:p>
        </w:tc>
        <w:tc>
          <w:tcPr>
            <w:tcW w:type="dxa" w:w="7344"/>
            <w:tcMar>
              <w:top w:w="90" w:type="dxa"/>
              <w:start w:w="100" w:type="dxa"/>
              <w:bottom w:w="90" w:type="dxa"/>
              <w:end w:w="100" w:type="dxa"/>
            </w:tcMar>
            <w:vAlign w:val="top"/>
          </w:tcPr>
          <w:p>
            <w:r>
              <w:rPr>
                <w:b w:val="0"/>
                <w:i w:val="0"/>
                <w:color w:val="1F252B"/>
                <w:sz w:val="15"/>
              </w:rPr>
              <w:t>Qualified question, advisor profile and mutual fit</w:t>
            </w:r>
          </w:p>
        </w:tc>
      </w:tr>
      <w:tr>
        <w:tc>
          <w:tcPr>
            <w:tcW w:type="dxa" w:w="2592"/>
            <w:tcMar>
              <w:top w:w="90" w:type="dxa"/>
              <w:start w:w="100" w:type="dxa"/>
              <w:bottom w:w="90" w:type="dxa"/>
              <w:end w:w="100" w:type="dxa"/>
            </w:tcMar>
            <w:shd w:fill="F5F7FA"/>
            <w:vAlign w:val="top"/>
          </w:tcPr>
          <w:p>
            <w:r>
              <w:rPr>
                <w:b w:val="0"/>
                <w:i w:val="0"/>
                <w:color w:val="1F252B"/>
                <w:sz w:val="15"/>
              </w:rPr>
              <w:t>Vision -&gt; Objectives</w:t>
            </w:r>
          </w:p>
        </w:tc>
        <w:tc>
          <w:tcPr>
            <w:tcW w:type="dxa" w:w="7344"/>
            <w:tcMar>
              <w:top w:w="90" w:type="dxa"/>
              <w:start w:w="100" w:type="dxa"/>
              <w:bottom w:w="90" w:type="dxa"/>
              <w:end w:w="100" w:type="dxa"/>
            </w:tcMar>
            <w:shd w:fill="F5F7FA"/>
            <w:vAlign w:val="top"/>
          </w:tcPr>
          <w:p>
            <w:r>
              <w:rPr>
                <w:b w:val="0"/>
                <w:i w:val="0"/>
                <w:color w:val="1F252B"/>
                <w:sz w:val="15"/>
              </w:rPr>
              <w:t>Vision Brief reviewed and corrected</w:t>
            </w:r>
          </w:p>
        </w:tc>
      </w:tr>
      <w:tr>
        <w:tc>
          <w:tcPr>
            <w:tcW w:type="dxa" w:w="2592"/>
            <w:tcMar>
              <w:top w:w="90" w:type="dxa"/>
              <w:start w:w="100" w:type="dxa"/>
              <w:bottom w:w="90" w:type="dxa"/>
              <w:end w:w="100" w:type="dxa"/>
            </w:tcMar>
            <w:vAlign w:val="top"/>
          </w:tcPr>
          <w:p>
            <w:r>
              <w:rPr>
                <w:b w:val="0"/>
                <w:i w:val="0"/>
                <w:color w:val="1F252B"/>
                <w:sz w:val="15"/>
              </w:rPr>
              <w:t>Objectives -&gt; Readiness</w:t>
            </w:r>
          </w:p>
        </w:tc>
        <w:tc>
          <w:tcPr>
            <w:tcW w:type="dxa" w:w="7344"/>
            <w:tcMar>
              <w:top w:w="90" w:type="dxa"/>
              <w:start w:w="100" w:type="dxa"/>
              <w:bottom w:w="90" w:type="dxa"/>
              <w:end w:w="100" w:type="dxa"/>
            </w:tcMar>
            <w:vAlign w:val="top"/>
          </w:tcPr>
          <w:p>
            <w:r>
              <w:rPr>
                <w:b w:val="0"/>
                <w:i w:val="0"/>
                <w:color w:val="1F252B"/>
                <w:sz w:val="15"/>
              </w:rPr>
              <w:t>Objectives and nonnegotiables approved</w:t>
            </w:r>
          </w:p>
        </w:tc>
      </w:tr>
      <w:tr>
        <w:tc>
          <w:tcPr>
            <w:tcW w:type="dxa" w:w="2592"/>
            <w:tcMar>
              <w:top w:w="90" w:type="dxa"/>
              <w:start w:w="100" w:type="dxa"/>
              <w:bottom w:w="90" w:type="dxa"/>
              <w:end w:w="100" w:type="dxa"/>
            </w:tcMar>
            <w:shd w:fill="F5F7FA"/>
            <w:vAlign w:val="top"/>
          </w:tcPr>
          <w:p>
            <w:r>
              <w:rPr>
                <w:b w:val="0"/>
                <w:i w:val="0"/>
                <w:color w:val="1F252B"/>
                <w:sz w:val="15"/>
              </w:rPr>
              <w:t>Readiness -&gt; Navigate</w:t>
            </w:r>
          </w:p>
        </w:tc>
        <w:tc>
          <w:tcPr>
            <w:tcW w:type="dxa" w:w="7344"/>
            <w:tcMar>
              <w:top w:w="90" w:type="dxa"/>
              <w:start w:w="100" w:type="dxa"/>
              <w:bottom w:w="90" w:type="dxa"/>
              <w:end w:w="100" w:type="dxa"/>
            </w:tcMar>
            <w:shd w:fill="F5F7FA"/>
            <w:vAlign w:val="top"/>
          </w:tcPr>
          <w:p>
            <w:r>
              <w:rPr>
                <w:b w:val="0"/>
                <w:i w:val="0"/>
                <w:color w:val="1F252B"/>
                <w:sz w:val="15"/>
              </w:rPr>
              <w:t>Readiness conclusion, conditions and data scope</w:t>
            </w:r>
          </w:p>
        </w:tc>
      </w:tr>
      <w:tr>
        <w:tc>
          <w:tcPr>
            <w:tcW w:type="dxa" w:w="2592"/>
            <w:tcMar>
              <w:top w:w="90" w:type="dxa"/>
              <w:start w:w="100" w:type="dxa"/>
              <w:bottom w:w="90" w:type="dxa"/>
              <w:end w:w="100" w:type="dxa"/>
            </w:tcMar>
            <w:vAlign w:val="top"/>
          </w:tcPr>
          <w:p>
            <w:r>
              <w:rPr>
                <w:b w:val="0"/>
                <w:i w:val="0"/>
                <w:color w:val="1F252B"/>
                <w:sz w:val="15"/>
              </w:rPr>
              <w:t>Navigate -&gt; Submission</w:t>
            </w:r>
          </w:p>
        </w:tc>
        <w:tc>
          <w:tcPr>
            <w:tcW w:type="dxa" w:w="7344"/>
            <w:tcMar>
              <w:top w:w="90" w:type="dxa"/>
              <w:start w:w="100" w:type="dxa"/>
              <w:bottom w:w="90" w:type="dxa"/>
              <w:end w:w="100" w:type="dxa"/>
            </w:tcMar>
            <w:vAlign w:val="top"/>
          </w:tcPr>
          <w:p>
            <w:r>
              <w:rPr>
                <w:b w:val="0"/>
                <w:i w:val="0"/>
                <w:color w:val="1F252B"/>
                <w:sz w:val="15"/>
              </w:rPr>
              <w:t>Curated rationale and advisor authorization for each firm</w:t>
            </w:r>
          </w:p>
        </w:tc>
      </w:tr>
      <w:tr>
        <w:tc>
          <w:tcPr>
            <w:tcW w:type="dxa" w:w="2592"/>
            <w:tcMar>
              <w:top w:w="90" w:type="dxa"/>
              <w:start w:w="100" w:type="dxa"/>
              <w:bottom w:w="90" w:type="dxa"/>
              <w:end w:w="100" w:type="dxa"/>
            </w:tcMar>
            <w:shd w:fill="F5F7FA"/>
            <w:vAlign w:val="top"/>
          </w:tcPr>
          <w:p>
            <w:r>
              <w:rPr>
                <w:b w:val="0"/>
                <w:i w:val="0"/>
                <w:color w:val="1F252B"/>
                <w:sz w:val="15"/>
              </w:rPr>
              <w:t>Due diligence -&gt; Economics</w:t>
            </w:r>
          </w:p>
        </w:tc>
        <w:tc>
          <w:tcPr>
            <w:tcW w:type="dxa" w:w="7344"/>
            <w:tcMar>
              <w:top w:w="90" w:type="dxa"/>
              <w:start w:w="100" w:type="dxa"/>
              <w:bottom w:w="90" w:type="dxa"/>
              <w:end w:w="100" w:type="dxa"/>
            </w:tcMar>
            <w:shd w:fill="F5F7FA"/>
            <w:vAlign w:val="top"/>
          </w:tcPr>
          <w:p>
            <w:r>
              <w:rPr>
                <w:b w:val="0"/>
                <w:i w:val="0"/>
                <w:color w:val="1F252B"/>
                <w:sz w:val="15"/>
              </w:rPr>
              <w:t>Advisor and firm mutual interest plus enough written information</w:t>
            </w:r>
          </w:p>
        </w:tc>
      </w:tr>
      <w:tr>
        <w:tc>
          <w:tcPr>
            <w:tcW w:type="dxa" w:w="2592"/>
            <w:tcMar>
              <w:top w:w="90" w:type="dxa"/>
              <w:start w:w="100" w:type="dxa"/>
              <w:bottom w:w="90" w:type="dxa"/>
              <w:end w:w="100" w:type="dxa"/>
            </w:tcMar>
            <w:vAlign w:val="top"/>
          </w:tcPr>
          <w:p>
            <w:r>
              <w:rPr>
                <w:b w:val="0"/>
                <w:i w:val="0"/>
                <w:color w:val="1F252B"/>
                <w:sz w:val="15"/>
              </w:rPr>
              <w:t>Economics -&gt; Decide</w:t>
            </w:r>
          </w:p>
        </w:tc>
        <w:tc>
          <w:tcPr>
            <w:tcW w:type="dxa" w:w="7344"/>
            <w:tcMar>
              <w:top w:w="90" w:type="dxa"/>
              <w:start w:w="100" w:type="dxa"/>
              <w:bottom w:w="90" w:type="dxa"/>
              <w:end w:w="100" w:type="dxa"/>
            </w:tcMar>
            <w:vAlign w:val="top"/>
          </w:tcPr>
          <w:p>
            <w:r>
              <w:rPr>
                <w:b w:val="0"/>
                <w:i w:val="0"/>
                <w:color w:val="1F252B"/>
                <w:sz w:val="15"/>
              </w:rPr>
              <w:t>Baseline, proposal scenarios, client/team effects and open risks</w:t>
            </w:r>
          </w:p>
        </w:tc>
      </w:tr>
      <w:tr>
        <w:tc>
          <w:tcPr>
            <w:tcW w:type="dxa" w:w="2592"/>
            <w:tcMar>
              <w:top w:w="90" w:type="dxa"/>
              <w:start w:w="100" w:type="dxa"/>
              <w:bottom w:w="90" w:type="dxa"/>
              <w:end w:w="100" w:type="dxa"/>
            </w:tcMar>
            <w:shd w:fill="F5F7FA"/>
            <w:vAlign w:val="top"/>
          </w:tcPr>
          <w:p>
            <w:r>
              <w:rPr>
                <w:b w:val="0"/>
                <w:i w:val="0"/>
                <w:color w:val="1F252B"/>
                <w:sz w:val="15"/>
              </w:rPr>
              <w:t>Decide -&gt; Execute</w:t>
            </w:r>
          </w:p>
        </w:tc>
        <w:tc>
          <w:tcPr>
            <w:tcW w:type="dxa" w:w="7344"/>
            <w:tcMar>
              <w:top w:w="90" w:type="dxa"/>
              <w:start w:w="100" w:type="dxa"/>
              <w:bottom w:w="90" w:type="dxa"/>
              <w:end w:w="100" w:type="dxa"/>
            </w:tcMar>
            <w:shd w:fill="F5F7FA"/>
            <w:vAlign w:val="top"/>
          </w:tcPr>
          <w:p>
            <w:r>
              <w:rPr>
                <w:b w:val="0"/>
                <w:i w:val="0"/>
                <w:color w:val="1F252B"/>
                <w:sz w:val="15"/>
              </w:rPr>
              <w:t>Selected path, conditions, professional reviews and advisor authorization</w:t>
            </w:r>
          </w:p>
        </w:tc>
      </w:tr>
      <w:tr>
        <w:tc>
          <w:tcPr>
            <w:tcW w:type="dxa" w:w="2592"/>
            <w:tcMar>
              <w:top w:w="90" w:type="dxa"/>
              <w:start w:w="100" w:type="dxa"/>
              <w:bottom w:w="90" w:type="dxa"/>
              <w:end w:w="100" w:type="dxa"/>
            </w:tcMar>
            <w:vAlign w:val="top"/>
          </w:tcPr>
          <w:p>
            <w:r>
              <w:rPr>
                <w:b w:val="0"/>
                <w:i w:val="0"/>
                <w:color w:val="1F252B"/>
                <w:sz w:val="15"/>
              </w:rPr>
              <w:t>Execute -&gt; Elevate</w:t>
            </w:r>
          </w:p>
        </w:tc>
        <w:tc>
          <w:tcPr>
            <w:tcW w:type="dxa" w:w="7344"/>
            <w:tcMar>
              <w:top w:w="90" w:type="dxa"/>
              <w:start w:w="100" w:type="dxa"/>
              <w:bottom w:w="90" w:type="dxa"/>
              <w:end w:w="100" w:type="dxa"/>
            </w:tcMar>
            <w:vAlign w:val="top"/>
          </w:tcPr>
          <w:p>
            <w:r>
              <w:rPr>
                <w:b w:val="0"/>
                <w:i w:val="0"/>
                <w:color w:val="1F252B"/>
                <w:sz w:val="15"/>
              </w:rPr>
              <w:t>Decision implemented and transition/outcome metrics available</w:t>
            </w:r>
          </w:p>
        </w:tc>
      </w:tr>
    </w:tbl>
    <w:p>
      <w:pPr>
        <w:pStyle w:val="Heading2"/>
      </w:pPr>
      <w:r>
        <w:t>Status invariants</w:t>
      </w:r>
    </w:p>
    <w:p>
      <w:pPr>
        <w:pStyle w:val="ListBullet"/>
      </w:pPr>
      <w:r>
        <w:t>A submitted firm must have advisor authorization.</w:t>
      </w:r>
    </w:p>
    <w:p>
      <w:pPr>
        <w:pStyle w:val="ListBullet"/>
      </w:pPr>
      <w:r>
        <w:t>A proposal-received status must link to a stored proposal or documented exception.</w:t>
      </w:r>
    </w:p>
    <w:p>
      <w:pPr>
        <w:pStyle w:val="ListBullet"/>
      </w:pPr>
      <w:r>
        <w:t>A committed status requires a selected opportunity and final conditions checklist.</w:t>
      </w:r>
    </w:p>
    <w:p>
      <w:pPr>
        <w:pStyle w:val="ListBullet"/>
      </w:pPr>
      <w:r>
        <w:t>A placed status requires the firm-agreement fee trigger to be evaluated.</w:t>
      </w:r>
    </w:p>
    <w:p>
      <w:pPr>
        <w:pStyle w:val="ListBullet"/>
      </w:pPr>
      <w:r>
        <w:t>Closed and declined statuses require a reason code and future-nurture decision.</w:t>
      </w:r>
    </w:p>
    <w:p>
      <w:pPr>
        <w:pStyle w:val="Heading1"/>
      </w:pPr>
      <w:r>
        <w:t>14  Dashboards and Reporting</w:t>
      </w:r>
    </w:p>
    <w:tbl>
      <w:tblPr>
        <w:tblStyle w:val="TableGrid"/>
        <w:tblW w:type="auto" w:w="0"/>
        <w:jc w:val="center"/>
        <w:tblLayout w:type="fixed"/>
        <w:tblLook w:firstColumn="1" w:firstRow="1" w:lastColumn="0" w:lastRow="0" w:noHBand="0" w:noVBand="1" w:val="04A0"/>
      </w:tblPr>
      <w:tblGrid>
        <w:gridCol w:w="5083"/>
        <w:gridCol w:w="5083"/>
      </w:tblGrid>
      <w:tr>
        <w:tc>
          <w:tcPr>
            <w:tcW w:type="dxa" w:w="2088"/>
            <w:shd w:fill="12263F"/>
            <w:tcMar>
              <w:top w:w="90" w:type="dxa"/>
              <w:start w:w="100" w:type="dxa"/>
              <w:bottom w:w="90" w:type="dxa"/>
              <w:end w:w="100" w:type="dxa"/>
            </w:tcMar>
            <w:vAlign w:val="center"/>
          </w:tcPr>
          <w:p>
            <w:r>
              <w:rPr>
                <w:b/>
                <w:i w:val="0"/>
                <w:color w:val="FFFFFF"/>
                <w:sz w:val="15"/>
              </w:rPr>
              <w:t>Dashboard</w:t>
            </w:r>
          </w:p>
        </w:tc>
        <w:tc>
          <w:tcPr>
            <w:tcW w:type="dxa" w:w="7848"/>
            <w:shd w:fill="12263F"/>
            <w:tcMar>
              <w:top w:w="90" w:type="dxa"/>
              <w:start w:w="100" w:type="dxa"/>
              <w:bottom w:w="90" w:type="dxa"/>
              <w:end w:w="100" w:type="dxa"/>
            </w:tcMar>
            <w:vAlign w:val="center"/>
          </w:tcPr>
          <w:p>
            <w:r>
              <w:rPr>
                <w:b/>
                <w:i w:val="0"/>
                <w:color w:val="FFFFFF"/>
                <w:sz w:val="15"/>
              </w:rPr>
              <w:t>Core measures</w:t>
            </w:r>
          </w:p>
        </w:tc>
      </w:tr>
      <w:tr>
        <w:tc>
          <w:tcPr>
            <w:tcW w:type="dxa" w:w="2088"/>
            <w:tcMar>
              <w:top w:w="90" w:type="dxa"/>
              <w:start w:w="100" w:type="dxa"/>
              <w:bottom w:w="90" w:type="dxa"/>
              <w:end w:w="100" w:type="dxa"/>
            </w:tcMar>
            <w:vAlign w:val="top"/>
          </w:tcPr>
          <w:p>
            <w:r>
              <w:rPr>
                <w:b w:val="0"/>
                <w:i w:val="0"/>
                <w:color w:val="1F252B"/>
                <w:sz w:val="15"/>
              </w:rPr>
              <w:t>Founder morning view</w:t>
            </w:r>
          </w:p>
        </w:tc>
        <w:tc>
          <w:tcPr>
            <w:tcW w:type="dxa" w:w="7848"/>
            <w:tcMar>
              <w:top w:w="90" w:type="dxa"/>
              <w:start w:w="100" w:type="dxa"/>
              <w:bottom w:w="90" w:type="dxa"/>
              <w:end w:w="100" w:type="dxa"/>
            </w:tcMar>
            <w:vAlign w:val="top"/>
          </w:tcPr>
          <w:p>
            <w:r>
              <w:rPr>
                <w:b w:val="0"/>
                <w:i w:val="0"/>
                <w:color w:val="1F252B"/>
                <w:sz w:val="15"/>
              </w:rPr>
              <w:t>meetings, overdue tasks, advisor risks, firm responses, expected fees, approvals</w:t>
            </w:r>
          </w:p>
        </w:tc>
      </w:tr>
      <w:tr>
        <w:tc>
          <w:tcPr>
            <w:tcW w:type="dxa" w:w="2088"/>
            <w:tcMar>
              <w:top w:w="90" w:type="dxa"/>
              <w:start w:w="100" w:type="dxa"/>
              <w:bottom w:w="90" w:type="dxa"/>
              <w:end w:w="100" w:type="dxa"/>
            </w:tcMar>
            <w:shd w:fill="F5F7FA"/>
            <w:vAlign w:val="top"/>
          </w:tcPr>
          <w:p>
            <w:r>
              <w:rPr>
                <w:b w:val="0"/>
                <w:i w:val="0"/>
                <w:color w:val="1F252B"/>
                <w:sz w:val="15"/>
              </w:rPr>
              <w:t>Pipeline</w:t>
            </w:r>
          </w:p>
        </w:tc>
        <w:tc>
          <w:tcPr>
            <w:tcW w:type="dxa" w:w="7848"/>
            <w:tcMar>
              <w:top w:w="90" w:type="dxa"/>
              <w:start w:w="100" w:type="dxa"/>
              <w:bottom w:w="90" w:type="dxa"/>
              <w:end w:w="100" w:type="dxa"/>
            </w:tcMar>
            <w:shd w:fill="F5F7FA"/>
            <w:vAlign w:val="top"/>
          </w:tcPr>
          <w:p>
            <w:r>
              <w:rPr>
                <w:b w:val="0"/>
                <w:i w:val="0"/>
                <w:color w:val="1F252B"/>
                <w:sz w:val="15"/>
              </w:rPr>
              <w:t>relationships by stage, aging, next actions, source, T12/AUM ranges, probability</w:t>
            </w:r>
          </w:p>
        </w:tc>
      </w:tr>
      <w:tr>
        <w:tc>
          <w:tcPr>
            <w:tcW w:type="dxa" w:w="2088"/>
            <w:tcMar>
              <w:top w:w="90" w:type="dxa"/>
              <w:start w:w="100" w:type="dxa"/>
              <w:bottom w:w="90" w:type="dxa"/>
              <w:end w:w="100" w:type="dxa"/>
            </w:tcMar>
            <w:vAlign w:val="top"/>
          </w:tcPr>
          <w:p>
            <w:r>
              <w:rPr>
                <w:b w:val="0"/>
                <w:i w:val="0"/>
                <w:color w:val="1F252B"/>
                <w:sz w:val="15"/>
              </w:rPr>
              <w:t>Active cases</w:t>
            </w:r>
          </w:p>
        </w:tc>
        <w:tc>
          <w:tcPr>
            <w:tcW w:type="dxa" w:w="7848"/>
            <w:tcMar>
              <w:top w:w="90" w:type="dxa"/>
              <w:start w:w="100" w:type="dxa"/>
              <w:bottom w:w="90" w:type="dxa"/>
              <w:end w:w="100" w:type="dxa"/>
            </w:tcMar>
            <w:vAlign w:val="top"/>
          </w:tcPr>
          <w:p>
            <w:r>
              <w:rPr>
                <w:b w:val="0"/>
                <w:i w:val="0"/>
                <w:color w:val="1F252B"/>
                <w:sz w:val="15"/>
              </w:rPr>
              <w:t>VYNE stage, active firms, unresolved questions, last advisor contact, decision date</w:t>
            </w:r>
          </w:p>
        </w:tc>
      </w:tr>
      <w:tr>
        <w:tc>
          <w:tcPr>
            <w:tcW w:type="dxa" w:w="2088"/>
            <w:tcMar>
              <w:top w:w="90" w:type="dxa"/>
              <w:start w:w="100" w:type="dxa"/>
              <w:bottom w:w="90" w:type="dxa"/>
              <w:end w:w="100" w:type="dxa"/>
            </w:tcMar>
            <w:shd w:fill="F5F7FA"/>
            <w:vAlign w:val="top"/>
          </w:tcPr>
          <w:p>
            <w:r>
              <w:rPr>
                <w:b w:val="0"/>
                <w:i w:val="0"/>
                <w:color w:val="1F252B"/>
                <w:sz w:val="15"/>
              </w:rPr>
              <w:t>Firm activity</w:t>
            </w:r>
          </w:p>
        </w:tc>
        <w:tc>
          <w:tcPr>
            <w:tcW w:type="dxa" w:w="7848"/>
            <w:tcMar>
              <w:top w:w="90" w:type="dxa"/>
              <w:start w:w="100" w:type="dxa"/>
              <w:bottom w:w="90" w:type="dxa"/>
              <w:end w:w="100" w:type="dxa"/>
            </w:tcMar>
            <w:shd w:fill="F5F7FA"/>
            <w:vAlign w:val="top"/>
          </w:tcPr>
          <w:p>
            <w:r>
              <w:rPr>
                <w:b w:val="0"/>
                <w:i w:val="0"/>
                <w:color w:val="1F252B"/>
                <w:sz w:val="15"/>
              </w:rPr>
              <w:t>submissions, meetings, proposals, conversion, time to response, intelligence freshness</w:t>
            </w:r>
          </w:p>
        </w:tc>
      </w:tr>
      <w:tr>
        <w:tc>
          <w:tcPr>
            <w:tcW w:type="dxa" w:w="2088"/>
            <w:tcMar>
              <w:top w:w="90" w:type="dxa"/>
              <w:start w:w="100" w:type="dxa"/>
              <w:bottom w:w="90" w:type="dxa"/>
              <w:end w:w="100" w:type="dxa"/>
            </w:tcMar>
            <w:vAlign w:val="top"/>
          </w:tcPr>
          <w:p>
            <w:r>
              <w:rPr>
                <w:b w:val="0"/>
                <w:i w:val="0"/>
                <w:color w:val="1F252B"/>
                <w:sz w:val="15"/>
              </w:rPr>
              <w:t>Economics</w:t>
            </w:r>
          </w:p>
        </w:tc>
        <w:tc>
          <w:tcPr>
            <w:tcW w:type="dxa" w:w="7848"/>
            <w:tcMar>
              <w:top w:w="90" w:type="dxa"/>
              <w:start w:w="100" w:type="dxa"/>
              <w:bottom w:w="90" w:type="dxa"/>
              <w:end w:w="100" w:type="dxa"/>
            </w:tcMar>
            <w:vAlign w:val="top"/>
          </w:tcPr>
          <w:p>
            <w:r>
              <w:rPr>
                <w:b w:val="0"/>
                <w:i w:val="0"/>
                <w:color w:val="1F252B"/>
                <w:sz w:val="15"/>
              </w:rPr>
              <w:t>models awaiting review, proposal comparisons, major changes and advisor decisions</w:t>
            </w:r>
          </w:p>
        </w:tc>
      </w:tr>
      <w:tr>
        <w:tc>
          <w:tcPr>
            <w:tcW w:type="dxa" w:w="2088"/>
            <w:tcMar>
              <w:top w:w="90" w:type="dxa"/>
              <w:start w:w="100" w:type="dxa"/>
              <w:bottom w:w="90" w:type="dxa"/>
              <w:end w:w="100" w:type="dxa"/>
            </w:tcMar>
            <w:shd w:fill="F5F7FA"/>
            <w:vAlign w:val="top"/>
          </w:tcPr>
          <w:p>
            <w:r>
              <w:rPr>
                <w:b w:val="0"/>
                <w:i w:val="0"/>
                <w:color w:val="1F252B"/>
                <w:sz w:val="15"/>
              </w:rPr>
              <w:t>Finance</w:t>
            </w:r>
          </w:p>
        </w:tc>
        <w:tc>
          <w:tcPr>
            <w:tcW w:type="dxa" w:w="7848"/>
            <w:tcMar>
              <w:top w:w="90" w:type="dxa"/>
              <w:start w:w="100" w:type="dxa"/>
              <w:bottom w:w="90" w:type="dxa"/>
              <w:end w:w="100" w:type="dxa"/>
            </w:tcMar>
            <w:shd w:fill="F5F7FA"/>
            <w:vAlign w:val="top"/>
          </w:tcPr>
          <w:p>
            <w:r>
              <w:rPr>
                <w:b w:val="0"/>
                <w:i w:val="0"/>
                <w:color w:val="1F252B"/>
                <w:sz w:val="15"/>
              </w:rPr>
              <w:t>expected/invoiced/paid fees, step-ups, clawback exposure and cash forecast</w:t>
            </w:r>
          </w:p>
        </w:tc>
      </w:tr>
      <w:tr>
        <w:tc>
          <w:tcPr>
            <w:tcW w:type="dxa" w:w="2088"/>
            <w:tcMar>
              <w:top w:w="90" w:type="dxa"/>
              <w:start w:w="100" w:type="dxa"/>
              <w:bottom w:w="90" w:type="dxa"/>
              <w:end w:w="100" w:type="dxa"/>
            </w:tcMar>
            <w:vAlign w:val="top"/>
          </w:tcPr>
          <w:p>
            <w:r>
              <w:rPr>
                <w:b w:val="0"/>
                <w:i w:val="0"/>
                <w:color w:val="1F252B"/>
                <w:sz w:val="15"/>
              </w:rPr>
              <w:t>Authority funnel</w:t>
            </w:r>
          </w:p>
        </w:tc>
        <w:tc>
          <w:tcPr>
            <w:tcW w:type="dxa" w:w="7848"/>
            <w:tcMar>
              <w:top w:w="90" w:type="dxa"/>
              <w:start w:w="100" w:type="dxa"/>
              <w:bottom w:w="90" w:type="dxa"/>
              <w:end w:w="100" w:type="dxa"/>
            </w:tcMar>
            <w:vAlign w:val="top"/>
          </w:tcPr>
          <w:p>
            <w:r>
              <w:rPr>
                <w:b w:val="0"/>
                <w:i w:val="0"/>
                <w:color w:val="1F252B"/>
                <w:sz w:val="15"/>
              </w:rPr>
              <w:t>content source, subscriber, assessment, verification, call and qualified case</w:t>
            </w:r>
          </w:p>
        </w:tc>
      </w:tr>
      <w:tr>
        <w:tc>
          <w:tcPr>
            <w:tcW w:type="dxa" w:w="2088"/>
            <w:tcMar>
              <w:top w:w="90" w:type="dxa"/>
              <w:start w:w="100" w:type="dxa"/>
              <w:bottom w:w="90" w:type="dxa"/>
              <w:end w:w="100" w:type="dxa"/>
            </w:tcMar>
            <w:shd w:fill="F5F7FA"/>
            <w:vAlign w:val="top"/>
          </w:tcPr>
          <w:p>
            <w:r>
              <w:rPr>
                <w:b w:val="0"/>
                <w:i w:val="0"/>
                <w:color w:val="1F252B"/>
                <w:sz w:val="15"/>
              </w:rPr>
              <w:t>Data governance</w:t>
            </w:r>
          </w:p>
        </w:tc>
        <w:tc>
          <w:tcPr>
            <w:tcW w:type="dxa" w:w="7848"/>
            <w:tcMar>
              <w:top w:w="90" w:type="dxa"/>
              <w:start w:w="100" w:type="dxa"/>
              <w:bottom w:w="90" w:type="dxa"/>
              <w:end w:w="100" w:type="dxa"/>
            </w:tcMar>
            <w:shd w:fill="F5F7FA"/>
            <w:vAlign w:val="top"/>
          </w:tcPr>
          <w:p>
            <w:r>
              <w:rPr>
                <w:b w:val="0"/>
                <w:i w:val="0"/>
                <w:color w:val="1F252B"/>
                <w:sz w:val="15"/>
              </w:rPr>
              <w:t>high-sensitivity records, access exceptions, stale permissions, deletion requests</w:t>
            </w:r>
          </w:p>
        </w:tc>
      </w:tr>
    </w:tbl>
    <w:p>
      <w:pPr>
        <w:pStyle w:val="Heading1"/>
      </w:pPr>
      <w:r>
        <w:t>15  Sample UBS Advisor Case</w:t>
      </w:r>
    </w:p>
    <w:p>
      <w:pPr>
        <w:pStyle w:val="BodyText"/>
      </w:pPr>
      <w:r>
        <w:t>The following illustrates how the fictional $1.6 million T12 UBS advisor would be represented without flattening the process into one status.</w:t>
      </w:r>
    </w:p>
    <w:tbl>
      <w:tblPr>
        <w:tblStyle w:val="TableGrid"/>
        <w:tblW w:type="auto" w:w="0"/>
        <w:jc w:val="center"/>
        <w:tblLayout w:type="fixed"/>
        <w:tblLook w:firstColumn="1" w:firstRow="1" w:lastColumn="0" w:lastRow="0" w:noHBand="0" w:noVBand="1" w:val="04A0"/>
      </w:tblPr>
      <w:tblGrid>
        <w:gridCol w:w="5083"/>
        <w:gridCol w:w="5083"/>
      </w:tblGrid>
      <w:tr>
        <w:tc>
          <w:tcPr>
            <w:tcW w:type="dxa" w:w="2592"/>
            <w:shd w:fill="12263F"/>
            <w:tcMar>
              <w:top w:w="90" w:type="dxa"/>
              <w:start w:w="100" w:type="dxa"/>
              <w:bottom w:w="90" w:type="dxa"/>
              <w:end w:w="100" w:type="dxa"/>
            </w:tcMar>
            <w:vAlign w:val="center"/>
          </w:tcPr>
          <w:p>
            <w:r>
              <w:rPr>
                <w:b/>
                <w:i w:val="0"/>
                <w:color w:val="FFFFFF"/>
                <w:sz w:val="15"/>
              </w:rPr>
              <w:t>Record</w:t>
            </w:r>
          </w:p>
        </w:tc>
        <w:tc>
          <w:tcPr>
            <w:tcW w:type="dxa" w:w="7200"/>
            <w:shd w:fill="12263F"/>
            <w:tcMar>
              <w:top w:w="90" w:type="dxa"/>
              <w:start w:w="100" w:type="dxa"/>
              <w:bottom w:w="90" w:type="dxa"/>
              <w:end w:w="100" w:type="dxa"/>
            </w:tcMar>
            <w:vAlign w:val="center"/>
          </w:tcPr>
          <w:p>
            <w:r>
              <w:rPr>
                <w:b/>
                <w:i w:val="0"/>
                <w:color w:val="FFFFFF"/>
                <w:sz w:val="15"/>
              </w:rPr>
              <w:t>Illustrative value</w:t>
            </w:r>
          </w:p>
        </w:tc>
      </w:tr>
      <w:tr>
        <w:tc>
          <w:tcPr>
            <w:tcW w:type="dxa" w:w="2592"/>
            <w:tcMar>
              <w:top w:w="90" w:type="dxa"/>
              <w:start w:w="100" w:type="dxa"/>
              <w:bottom w:w="90" w:type="dxa"/>
              <w:end w:w="100" w:type="dxa"/>
            </w:tcMar>
            <w:vAlign w:val="top"/>
          </w:tcPr>
          <w:p>
            <w:r>
              <w:rPr>
                <w:b w:val="0"/>
                <w:i w:val="0"/>
                <w:color w:val="1F252B"/>
                <w:sz w:val="15"/>
              </w:rPr>
              <w:t>Relationship</w:t>
            </w:r>
          </w:p>
        </w:tc>
        <w:tc>
          <w:tcPr>
            <w:tcW w:type="dxa" w:w="7200"/>
            <w:tcMar>
              <w:top w:w="90" w:type="dxa"/>
              <w:start w:w="100" w:type="dxa"/>
              <w:bottom w:w="90" w:type="dxa"/>
              <w:end w:w="100" w:type="dxa"/>
            </w:tcMar>
            <w:vAlign w:val="top"/>
          </w:tcPr>
          <w:p>
            <w:r>
              <w:rPr>
                <w:b w:val="0"/>
                <w:i w:val="0"/>
                <w:color w:val="1F252B"/>
                <w:sz w:val="15"/>
              </w:rPr>
              <w:t>Qualified -&gt; Active exploration</w:t>
            </w:r>
          </w:p>
        </w:tc>
      </w:tr>
      <w:tr>
        <w:tc>
          <w:tcPr>
            <w:tcW w:type="dxa" w:w="2592"/>
            <w:tcMar>
              <w:top w:w="90" w:type="dxa"/>
              <w:start w:w="100" w:type="dxa"/>
              <w:bottom w:w="90" w:type="dxa"/>
              <w:end w:w="100" w:type="dxa"/>
            </w:tcMar>
            <w:shd w:fill="F5F7FA"/>
            <w:vAlign w:val="top"/>
          </w:tcPr>
          <w:p>
            <w:r>
              <w:rPr>
                <w:b w:val="0"/>
                <w:i w:val="0"/>
                <w:color w:val="1F252B"/>
                <w:sz w:val="15"/>
              </w:rPr>
              <w:t>Case</w:t>
            </w:r>
          </w:p>
        </w:tc>
        <w:tc>
          <w:tcPr>
            <w:tcW w:type="dxa" w:w="7200"/>
            <w:tcMar>
              <w:top w:w="90" w:type="dxa"/>
              <w:start w:w="100" w:type="dxa"/>
              <w:bottom w:w="90" w:type="dxa"/>
              <w:end w:w="100" w:type="dxa"/>
            </w:tcMar>
            <w:shd w:fill="F5F7FA"/>
            <w:vAlign w:val="top"/>
          </w:tcPr>
          <w:p>
            <w:r>
              <w:rPr>
                <w:b w:val="0"/>
                <w:i w:val="0"/>
                <w:color w:val="1F252B"/>
                <w:sz w:val="15"/>
              </w:rPr>
              <w:t>Ownership, succession and platform decision</w:t>
            </w:r>
          </w:p>
        </w:tc>
      </w:tr>
      <w:tr>
        <w:tc>
          <w:tcPr>
            <w:tcW w:type="dxa" w:w="2592"/>
            <w:tcMar>
              <w:top w:w="90" w:type="dxa"/>
              <w:start w:w="100" w:type="dxa"/>
              <w:bottom w:w="90" w:type="dxa"/>
              <w:end w:w="100" w:type="dxa"/>
            </w:tcMar>
            <w:vAlign w:val="top"/>
          </w:tcPr>
          <w:p>
            <w:r>
              <w:rPr>
                <w:b w:val="0"/>
                <w:i w:val="0"/>
                <w:color w:val="1F252B"/>
                <w:sz w:val="15"/>
              </w:rPr>
              <w:t>VYNE stage</w:t>
            </w:r>
          </w:p>
        </w:tc>
        <w:tc>
          <w:tcPr>
            <w:tcW w:type="dxa" w:w="7200"/>
            <w:tcMar>
              <w:top w:w="90" w:type="dxa"/>
              <w:start w:w="100" w:type="dxa"/>
              <w:bottom w:w="90" w:type="dxa"/>
              <w:end w:w="100" w:type="dxa"/>
            </w:tcMar>
            <w:vAlign w:val="top"/>
          </w:tcPr>
          <w:p>
            <w:r>
              <w:rPr>
                <w:b w:val="0"/>
                <w:i w:val="0"/>
                <w:color w:val="1F252B"/>
                <w:sz w:val="15"/>
              </w:rPr>
              <w:t>Navigate, later Enterprise Economics</w:t>
            </w:r>
          </w:p>
        </w:tc>
      </w:tr>
      <w:tr>
        <w:tc>
          <w:tcPr>
            <w:tcW w:type="dxa" w:w="2592"/>
            <w:tcMar>
              <w:top w:w="90" w:type="dxa"/>
              <w:start w:w="100" w:type="dxa"/>
              <w:bottom w:w="90" w:type="dxa"/>
              <w:end w:w="100" w:type="dxa"/>
            </w:tcMar>
            <w:shd w:fill="F5F7FA"/>
            <w:vAlign w:val="top"/>
          </w:tcPr>
          <w:p>
            <w:r>
              <w:rPr>
                <w:b w:val="0"/>
                <w:i w:val="0"/>
                <w:color w:val="1F252B"/>
                <w:sz w:val="15"/>
              </w:rPr>
              <w:t>Current-firm opportunity</w:t>
            </w:r>
          </w:p>
        </w:tc>
        <w:tc>
          <w:tcPr>
            <w:tcW w:type="dxa" w:w="7200"/>
            <w:tcMar>
              <w:top w:w="90" w:type="dxa"/>
              <w:start w:w="100" w:type="dxa"/>
              <w:bottom w:w="90" w:type="dxa"/>
              <w:end w:w="100" w:type="dxa"/>
            </w:tcMar>
            <w:shd w:fill="F5F7FA"/>
            <w:vAlign w:val="top"/>
          </w:tcPr>
          <w:p>
            <w:r>
              <w:rPr>
                <w:b w:val="0"/>
                <w:i w:val="0"/>
                <w:color w:val="1F252B"/>
                <w:sz w:val="15"/>
              </w:rPr>
              <w:t>UBS - current-firm assessment complete</w:t>
            </w:r>
          </w:p>
        </w:tc>
      </w:tr>
      <w:tr>
        <w:tc>
          <w:tcPr>
            <w:tcW w:type="dxa" w:w="2592"/>
            <w:tcMar>
              <w:top w:w="90" w:type="dxa"/>
              <w:start w:w="100" w:type="dxa"/>
              <w:bottom w:w="90" w:type="dxa"/>
              <w:end w:w="100" w:type="dxa"/>
            </w:tcMar>
            <w:vAlign w:val="top"/>
          </w:tcPr>
          <w:p>
            <w:r>
              <w:rPr>
                <w:b w:val="0"/>
                <w:i w:val="0"/>
                <w:color w:val="1F252B"/>
                <w:sz w:val="15"/>
              </w:rPr>
              <w:t>Firm A opportunity</w:t>
            </w:r>
          </w:p>
        </w:tc>
        <w:tc>
          <w:tcPr>
            <w:tcW w:type="dxa" w:w="7200"/>
            <w:tcMar>
              <w:top w:w="90" w:type="dxa"/>
              <w:start w:w="100" w:type="dxa"/>
              <w:bottom w:w="90" w:type="dxa"/>
              <w:end w:w="100" w:type="dxa"/>
            </w:tcMar>
            <w:vAlign w:val="top"/>
          </w:tcPr>
          <w:p>
            <w:r>
              <w:rPr>
                <w:b w:val="0"/>
                <w:i w:val="0"/>
                <w:color w:val="1F252B"/>
                <w:sz w:val="15"/>
              </w:rPr>
              <w:t>Employee model - first meeting complete</w:t>
            </w:r>
          </w:p>
        </w:tc>
      </w:tr>
      <w:tr>
        <w:tc>
          <w:tcPr>
            <w:tcW w:type="dxa" w:w="2592"/>
            <w:tcMar>
              <w:top w:w="90" w:type="dxa"/>
              <w:start w:w="100" w:type="dxa"/>
              <w:bottom w:w="90" w:type="dxa"/>
              <w:end w:w="100" w:type="dxa"/>
            </w:tcMar>
            <w:shd w:fill="F5F7FA"/>
            <w:vAlign w:val="top"/>
          </w:tcPr>
          <w:p>
            <w:r>
              <w:rPr>
                <w:b w:val="0"/>
                <w:i w:val="0"/>
                <w:color w:val="1F252B"/>
                <w:sz w:val="15"/>
              </w:rPr>
              <w:t>Firm B opportunity</w:t>
            </w:r>
          </w:p>
        </w:tc>
        <w:tc>
          <w:tcPr>
            <w:tcW w:type="dxa" w:w="7200"/>
            <w:tcMar>
              <w:top w:w="90" w:type="dxa"/>
              <w:start w:w="100" w:type="dxa"/>
              <w:bottom w:w="90" w:type="dxa"/>
              <w:end w:w="100" w:type="dxa"/>
            </w:tcMar>
            <w:shd w:fill="F5F7FA"/>
            <w:vAlign w:val="top"/>
          </w:tcPr>
          <w:p>
            <w:r>
              <w:rPr>
                <w:b w:val="0"/>
                <w:i w:val="0"/>
                <w:color w:val="1F252B"/>
                <w:sz w:val="15"/>
              </w:rPr>
              <w:t>Supported independence - proposal received / finalist</w:t>
            </w:r>
          </w:p>
        </w:tc>
      </w:tr>
      <w:tr>
        <w:tc>
          <w:tcPr>
            <w:tcW w:type="dxa" w:w="2592"/>
            <w:tcMar>
              <w:top w:w="90" w:type="dxa"/>
              <w:start w:w="100" w:type="dxa"/>
              <w:bottom w:w="90" w:type="dxa"/>
              <w:end w:w="100" w:type="dxa"/>
            </w:tcMar>
            <w:vAlign w:val="top"/>
          </w:tcPr>
          <w:p>
            <w:r>
              <w:rPr>
                <w:b w:val="0"/>
                <w:i w:val="0"/>
                <w:color w:val="1F252B"/>
                <w:sz w:val="15"/>
              </w:rPr>
              <w:t>Firm C opportunity</w:t>
            </w:r>
          </w:p>
        </w:tc>
        <w:tc>
          <w:tcPr>
            <w:tcW w:type="dxa" w:w="7200"/>
            <w:tcMar>
              <w:top w:w="90" w:type="dxa"/>
              <w:start w:w="100" w:type="dxa"/>
              <w:bottom w:w="90" w:type="dxa"/>
              <w:end w:w="100" w:type="dxa"/>
            </w:tcMar>
            <w:vAlign w:val="top"/>
          </w:tcPr>
          <w:p>
            <w:r>
              <w:rPr>
                <w:b w:val="0"/>
                <w:i w:val="0"/>
                <w:color w:val="1F252B"/>
                <w:sz w:val="15"/>
              </w:rPr>
              <w:t>RIA platform - advisor declined due operating burden</w:t>
            </w:r>
          </w:p>
        </w:tc>
      </w:tr>
      <w:tr>
        <w:tc>
          <w:tcPr>
            <w:tcW w:type="dxa" w:w="2592"/>
            <w:tcMar>
              <w:top w:w="90" w:type="dxa"/>
              <w:start w:w="100" w:type="dxa"/>
              <w:bottom w:w="90" w:type="dxa"/>
              <w:end w:w="100" w:type="dxa"/>
            </w:tcMar>
            <w:shd w:fill="F5F7FA"/>
            <w:vAlign w:val="top"/>
          </w:tcPr>
          <w:p>
            <w:r>
              <w:rPr>
                <w:b w:val="0"/>
                <w:i w:val="0"/>
                <w:color w:val="1F252B"/>
                <w:sz w:val="15"/>
              </w:rPr>
              <w:t>Readiness</w:t>
            </w:r>
          </w:p>
        </w:tc>
        <w:tc>
          <w:tcPr>
            <w:tcW w:type="dxa" w:w="7200"/>
            <w:tcMar>
              <w:top w:w="90" w:type="dxa"/>
              <w:start w:w="100" w:type="dxa"/>
              <w:bottom w:w="90" w:type="dxa"/>
              <w:end w:w="100" w:type="dxa"/>
            </w:tcMar>
            <w:shd w:fill="F5F7FA"/>
            <w:vAlign w:val="top"/>
          </w:tcPr>
          <w:p>
            <w:r>
              <w:rPr>
                <w:b w:val="0"/>
                <w:i w:val="0"/>
                <w:color w:val="1F252B"/>
                <w:sz w:val="15"/>
              </w:rPr>
              <w:t>Ready with lending and alternative-product conditions</w:t>
            </w:r>
          </w:p>
        </w:tc>
      </w:tr>
      <w:tr>
        <w:tc>
          <w:tcPr>
            <w:tcW w:type="dxa" w:w="2592"/>
            <w:tcMar>
              <w:top w:w="90" w:type="dxa"/>
              <w:start w:w="100" w:type="dxa"/>
              <w:bottom w:w="90" w:type="dxa"/>
              <w:end w:w="100" w:type="dxa"/>
            </w:tcMar>
            <w:vAlign w:val="top"/>
          </w:tcPr>
          <w:p>
            <w:r>
              <w:rPr>
                <w:b w:val="0"/>
                <w:i w:val="0"/>
                <w:color w:val="1F252B"/>
                <w:sz w:val="15"/>
              </w:rPr>
              <w:t>Next action</w:t>
            </w:r>
          </w:p>
        </w:tc>
        <w:tc>
          <w:tcPr>
            <w:tcW w:type="dxa" w:w="7200"/>
            <w:tcMar>
              <w:top w:w="90" w:type="dxa"/>
              <w:start w:w="100" w:type="dxa"/>
              <w:bottom w:w="90" w:type="dxa"/>
              <w:end w:w="100" w:type="dxa"/>
            </w:tcMar>
            <w:vAlign w:val="top"/>
          </w:tcPr>
          <w:p>
            <w:r>
              <w:rPr>
                <w:b w:val="0"/>
                <w:i w:val="0"/>
                <w:color w:val="1F252B"/>
                <w:sz w:val="15"/>
              </w:rPr>
              <w:t>Firm B proposal review meeting; owner MD; due Friday</w:t>
            </w:r>
          </w:p>
        </w:tc>
      </w:tr>
      <w:tr>
        <w:tc>
          <w:tcPr>
            <w:tcW w:type="dxa" w:w="2592"/>
            <w:tcMar>
              <w:top w:w="90" w:type="dxa"/>
              <w:start w:w="100" w:type="dxa"/>
              <w:bottom w:w="90" w:type="dxa"/>
              <w:end w:w="100" w:type="dxa"/>
            </w:tcMar>
            <w:shd w:fill="F5F7FA"/>
            <w:vAlign w:val="top"/>
          </w:tcPr>
          <w:p>
            <w:r>
              <w:rPr>
                <w:b w:val="0"/>
                <w:i w:val="0"/>
                <w:color w:val="1F252B"/>
                <w:sz w:val="15"/>
              </w:rPr>
              <w:t>Documents</w:t>
            </w:r>
          </w:p>
        </w:tc>
        <w:tc>
          <w:tcPr>
            <w:tcW w:type="dxa" w:w="7200"/>
            <w:tcMar>
              <w:top w:w="90" w:type="dxa"/>
              <w:start w:w="100" w:type="dxa"/>
              <w:bottom w:w="90" w:type="dxa"/>
              <w:end w:w="100" w:type="dxa"/>
            </w:tcMar>
            <w:shd w:fill="F5F7FA"/>
            <w:vAlign w:val="top"/>
          </w:tcPr>
          <w:p>
            <w:r>
              <w:rPr>
                <w:b w:val="0"/>
                <w:i w:val="0"/>
                <w:color w:val="1F252B"/>
                <w:sz w:val="15"/>
              </w:rPr>
              <w:t>Vision Brief v2, Objectives Scorecard v1, Proposal v3, Economic Model v2</w:t>
            </w:r>
          </w:p>
        </w:tc>
      </w:tr>
      <w:tr>
        <w:tc>
          <w:tcPr>
            <w:tcW w:type="dxa" w:w="2592"/>
            <w:tcMar>
              <w:top w:w="90" w:type="dxa"/>
              <w:start w:w="100" w:type="dxa"/>
              <w:bottom w:w="90" w:type="dxa"/>
              <w:end w:w="100" w:type="dxa"/>
            </w:tcMar>
            <w:vAlign w:val="top"/>
          </w:tcPr>
          <w:p>
            <w:r>
              <w:rPr>
                <w:b w:val="0"/>
                <w:i w:val="0"/>
                <w:color w:val="1F252B"/>
                <w:sz w:val="15"/>
              </w:rPr>
              <w:t>Fee forecast</w:t>
            </w:r>
          </w:p>
        </w:tc>
        <w:tc>
          <w:tcPr>
            <w:tcW w:type="dxa" w:w="7200"/>
            <w:tcMar>
              <w:top w:w="90" w:type="dxa"/>
              <w:start w:w="100" w:type="dxa"/>
              <w:bottom w:w="90" w:type="dxa"/>
              <w:end w:w="100" w:type="dxa"/>
            </w:tcMar>
            <w:vAlign w:val="top"/>
          </w:tcPr>
          <w:p>
            <w:r>
              <w:rPr>
                <w:b w:val="0"/>
                <w:i w:val="0"/>
                <w:color w:val="1F252B"/>
                <w:sz w:val="15"/>
              </w:rPr>
              <w:t>Internal expected range; not earned; linked to Firm B agreement</w:t>
            </w:r>
          </w:p>
        </w:tc>
      </w:tr>
    </w:tbl>
    <w:p>
      <w:pPr>
        <w:pStyle w:val="Heading1"/>
      </w:pPr>
      <w:r>
        <w:t>16  Implementation and Acceptance</w:t>
      </w:r>
    </w:p>
    <w:p>
      <w:pPr>
        <w:pStyle w:val="Heading2"/>
      </w:pPr>
      <w:r>
        <w:t>Build sequence</w:t>
      </w:r>
    </w:p>
    <w:p>
      <w:pPr>
        <w:pStyle w:val="ListNumber"/>
      </w:pPr>
      <w:r>
        <w:t>Implement people, organizations, advisor profiles, relationships, cases, tasks and meetings.</w:t>
      </w:r>
    </w:p>
    <w:p>
      <w:pPr>
        <w:pStyle w:val="ListNumber"/>
      </w:pPr>
      <w:r>
        <w:t>Add firm master, firm opportunities, permissions and submission workflow.</w:t>
      </w:r>
    </w:p>
    <w:p>
      <w:pPr>
        <w:pStyle w:val="ListNumber"/>
      </w:pPr>
      <w:r>
        <w:t>Add documents, deliverables and intelligence items with source control.</w:t>
      </w:r>
    </w:p>
    <w:p>
      <w:pPr>
        <w:pStyle w:val="ListNumber"/>
      </w:pPr>
      <w:r>
        <w:t>Add economic models, agreements, placements and fee tracking.</w:t>
      </w:r>
    </w:p>
    <w:p>
      <w:pPr>
        <w:pStyle w:val="ListNumber"/>
      </w:pPr>
      <w:r>
        <w:t>Add agent runs, approval queues and audit reporting.</w:t>
      </w:r>
    </w:p>
    <w:p>
      <w:pPr>
        <w:pStyle w:val="ListNumber"/>
      </w:pPr>
      <w:r>
        <w:t>Pilot portability tables with synthetic and de-identified data.</w:t>
      </w:r>
    </w:p>
    <w:p>
      <w:pPr>
        <w:pStyle w:val="ListNumber"/>
      </w:pPr>
      <w:r>
        <w:t>Add continuity records only after the concierge process is tested manually.</w:t>
      </w:r>
    </w:p>
    <w:p>
      <w:pPr>
        <w:pStyle w:val="Heading2"/>
      </w:pPr>
      <w:r>
        <w:t>Acceptance criteria</w:t>
      </w:r>
    </w:p>
    <w:p>
      <w:pPr>
        <w:pStyle w:val="ListBullet"/>
      </w:pPr>
      <w:r>
        <w:t>The UBS sample can be represented without duplicating the advisor or losing firm-specific stages.</w:t>
      </w:r>
    </w:p>
    <w:p>
      <w:pPr>
        <w:pStyle w:val="ListBullet"/>
      </w:pPr>
      <w:r>
        <w:t>Every active case reports a valid next action and stage gate.</w:t>
      </w:r>
    </w:p>
    <w:p>
      <w:pPr>
        <w:pStyle w:val="ListBullet"/>
      </w:pPr>
      <w:r>
        <w:t>No named submission can be recorded without consent.</w:t>
      </w:r>
    </w:p>
    <w:p>
      <w:pPr>
        <w:pStyle w:val="ListBullet"/>
      </w:pPr>
      <w:r>
        <w:t>Firm intelligence can show conflicting, stale and case-specific data.</w:t>
      </w:r>
    </w:p>
    <w:p>
      <w:pPr>
        <w:pStyle w:val="ListBullet"/>
      </w:pPr>
      <w:r>
        <w:t>Economic models and proposals are versioned and linked.</w:t>
      </w:r>
    </w:p>
    <w:p>
      <w:pPr>
        <w:pStyle w:val="ListBullet"/>
      </w:pPr>
      <w:r>
        <w:t>Internal fee status distinguishes forecast, invoice, payment and clawback exposure.</w:t>
      </w:r>
    </w:p>
    <w:p>
      <w:pPr>
        <w:pStyle w:val="ListBullet"/>
      </w:pPr>
      <w:r>
        <w:t>Agent outputs cannot silently overwrite approved source records.</w:t>
      </w:r>
    </w:p>
    <w:p>
      <w:pPr>
        <w:pStyle w:val="ListBullet"/>
      </w:pPr>
      <w:r>
        <w:t>A complete advisor data export can be generated for privacy or vendor migration needs.</w:t>
      </w:r>
    </w:p>
    <w:sectPr w:rsidR="00FC693F" w:rsidRPr="0006063C" w:rsidSect="00034616">
      <w:headerReference w:type="default" r:id="rId9"/>
      <w:footerReference w:type="default" r:id="rId10"/>
      <w:pgSz w:w="12240" w:h="15840"/>
      <w:pgMar w:top="979"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570"/>
        <w:sz w:val="15"/>
      </w:rPr>
      <w:t xml:space="preserve">CONFIDENTIAL - FOR STRATEGIC PLANNING  |  </w:t>
    </w:r>
    <w:r>
      <w:rPr>
        <w:rFonts w:ascii="Aptos" w:hAnsi="Aptos"/>
        <w:color w:val="5C657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5" w:space="3" w:color="D5DBE3"/>
      </w:pBdr>
    </w:pPr>
    <w:r>
      <w:rPr>
        <w:b/>
        <w:i w:val="0"/>
        <w:color w:val="5C6570"/>
        <w:sz w:val="16"/>
      </w:rPr>
      <w:t>VYNE STRATEGIES  |  CRM DATA MODEL &amp; WORKFLOW SCHEMA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1F25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2263F"/>
      <w:sz w:val="4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C5282"/>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226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226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C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403" w:right="403"/>
    </w:pPr>
    <w:rPr>
      <w:rFonts w:ascii="Aptos" w:hAnsi="Aptos"/>
      <w:i/>
      <w:color w:val="12263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search/docs/appearance/ai-features" TargetMode="External"/><Relationship Id="rId12" Type="http://schemas.openxmlformats.org/officeDocument/2006/relationships/hyperlink" Target="https://developers.google.com/search/docs/fundamentals/ai-optimization-guide" TargetMode="External"/><Relationship Id="rId13" Type="http://schemas.openxmlformats.org/officeDocument/2006/relationships/hyperlink" Target="https://developers.google.com/search/blog/2025/05/succeeding-in-ai-search" TargetMode="External"/><Relationship Id="rId14" Type="http://schemas.openxmlformats.org/officeDocument/2006/relationships/hyperlink" Target="https://developers.openai.com/api/docs/bots" TargetMode="External"/><Relationship Id="rId15" Type="http://schemas.openxmlformats.org/officeDocument/2006/relationships/hyperlink" Target="https://help.openai.com/en/articles/12627856-publishers-and-developers-faq" TargetMode="External"/><Relationship Id="rId16" Type="http://schemas.openxmlformats.org/officeDocument/2006/relationships/hyperlink" Target="https://blogs.bing.com/webmaster/February-2026/Introducing-AI-Performance-in-Bing-Webmaster-Tools-Public-Preview" TargetMode="External"/><Relationship Id="rId17" Type="http://schemas.openxmlformats.org/officeDocument/2006/relationships/hyperlink" Target="https://blogs.bing.com/search/June-2026/New-AI-Visibility-Insights-in-Bing-Webmaster-Tools-Intents-Topics-Citation-Share-Compare" TargetMode="External"/><Relationship Id="rId18" Type="http://schemas.openxmlformats.org/officeDocument/2006/relationships/hyperlink" Target="https://developers.google.com/search/docs/fundamentals/using-gen-ai-content" TargetMode="External"/><Relationship Id="rId19" Type="http://schemas.openxmlformats.org/officeDocument/2006/relationships/hyperlink" Target="https://www.linkedin.com/business/marketing/blog/financial-services" TargetMode="External"/><Relationship Id="rId20" Type="http://schemas.openxmlformats.org/officeDocument/2006/relationships/hyperlink" Target="https://www.linkedin.com/business/marketing/blog/targeting" TargetMode="External"/><Relationship Id="rId21" Type="http://schemas.openxmlformats.org/officeDocument/2006/relationships/hyperlink" Target="https://www.linkedin.com/business/marketing/blog/linkedin-ads/a-new-guide-how-top-prove-the-value-of-b2b-marketing" TargetMode="External"/><Relationship Id="rId22" Type="http://schemas.openxmlformats.org/officeDocument/2006/relationships/hyperlink" Target="https://spartan-advisory.com/" TargetMode="External"/><Relationship Id="rId23" Type="http://schemas.openxmlformats.org/officeDocument/2006/relationships/hyperlink" Target="https://www.diamond-consultants.com/" TargetMode="External"/><Relationship Id="rId24" Type="http://schemas.openxmlformats.org/officeDocument/2006/relationships/hyperlink" Target="https://www.bridgemarkstrategies.com/" TargetMode="External"/><Relationship Id="rId25" Type="http://schemas.openxmlformats.org/officeDocument/2006/relationships/hyperlink" Target="https://eliteconsultingpartners.com/" TargetMode="External"/><Relationship Id="rId26" Type="http://schemas.openxmlformats.org/officeDocument/2006/relationships/hyperlink" Target="https://fin.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