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263F"/>
          <w:sz w:val="84"/>
        </w:rPr>
        <w:t>VYNE</w:t>
      </w:r>
      <w:r>
        <w:rPr>
          <w:rFonts w:ascii="Aptos Display" w:hAnsi="Aptos Display"/>
          <w:b/>
          <w:color w:val="AE8943"/>
          <w:sz w:val="36"/>
        </w:rPr>
        <w:t xml:space="preserve"> STRATEGIES</w:t>
      </w:r>
    </w:p>
    <w:p>
      <w:pPr>
        <w:spacing w:before="400"/>
        <w:jc w:val="center"/>
      </w:pPr>
      <w:r>
        <w:rPr>
          <w:rFonts w:ascii="Aptos Display" w:hAnsi="Aptos Display"/>
          <w:b/>
          <w:color w:val="12263F"/>
          <w:sz w:val="52"/>
        </w:rPr>
        <w:t>Digital Authority, AEO &amp; Advisor Acquisition Blueprint</w:t>
      </w:r>
    </w:p>
    <w:p>
      <w:pPr>
        <w:jc w:val="center"/>
      </w:pPr>
      <w:r>
        <w:rPr>
          <w:rFonts w:ascii="Aptos" w:hAnsi="Aptos"/>
          <w:color w:val="5C6570"/>
          <w:sz w:val="24"/>
        </w:rPr>
        <w:t>How VYNE earns trust, attracts verified advisors and converts private research into confidential conversations</w:t>
      </w:r>
    </w:p>
    <w:p>
      <w:pPr>
        <w:spacing w:before="480"/>
        <w:jc w:val="center"/>
      </w:pPr>
      <w:r>
        <w:rPr>
          <w:rFonts w:ascii="Aptos" w:hAnsi="Aptos"/>
          <w:b/>
          <w:color w:val="2C5282"/>
          <w:sz w:val="20"/>
        </w:rPr>
        <w:t>Version 1.0  |  July 2026</w:t>
      </w:r>
    </w:p>
    <w:p>
      <w:pPr>
        <w:spacing w:before="240"/>
        <w:jc w:val="center"/>
      </w:pPr>
      <w:r>
        <w:rPr>
          <w:rFonts w:ascii="Aptos" w:hAnsi="Aptos"/>
          <w:i/>
          <w:color w:val="5C6570"/>
          <w:sz w:val="18"/>
        </w:rPr>
        <w:t>Companion to the VYNE Business Plan and Internal Operating Manual</w:t>
      </w:r>
    </w:p>
    <w:p>
      <w:pPr>
        <w:spacing w:before="1900"/>
        <w:jc w:val="center"/>
      </w:pPr>
      <w:r>
        <w:rPr>
          <w:rFonts w:ascii="Aptos" w:hAnsi="Aptos"/>
          <w:i/>
          <w:color w:val="5C6570"/>
          <w:sz w:val="18"/>
        </w:rPr>
        <w:t>Neutral assessment. Assumptions are identified. Unverified claims are not treated as facts.</w:t>
      </w:r>
    </w:p>
    <w:p>
      <w:r>
        <w:br w:type="page"/>
      </w:r>
    </w:p>
    <w:p>
      <w:pPr>
        <w:pStyle w:val="Heading1"/>
      </w:pPr>
      <w:r>
        <w:t>Contents</w:t>
      </w:r>
    </w:p>
    <w:p>
      <w:pPr>
        <w:spacing w:after="40"/>
        <w:ind w:left="216" w:hanging="216"/>
      </w:pPr>
      <w:r>
        <w:rPr>
          <w:rFonts w:ascii="Aptos" w:hAnsi="Aptos"/>
          <w:b/>
          <w:color w:val="AE8943"/>
          <w:sz w:val="19"/>
        </w:rPr>
        <w:t xml:space="preserve">01  </w:t>
      </w:r>
      <w:r>
        <w:rPr>
          <w:rFonts w:ascii="Aptos" w:hAnsi="Aptos"/>
          <w:color w:val="12263F"/>
          <w:sz w:val="19"/>
        </w:rPr>
        <w:t>Executive reality check</w:t>
      </w:r>
    </w:p>
    <w:p>
      <w:pPr>
        <w:spacing w:after="40"/>
        <w:ind w:left="216" w:hanging="216"/>
      </w:pPr>
      <w:r>
        <w:rPr>
          <w:rFonts w:ascii="Aptos" w:hAnsi="Aptos"/>
          <w:b/>
          <w:color w:val="AE8943"/>
          <w:sz w:val="19"/>
        </w:rPr>
        <w:t xml:space="preserve">02  </w:t>
      </w:r>
      <w:r>
        <w:rPr>
          <w:rFonts w:ascii="Aptos" w:hAnsi="Aptos"/>
          <w:color w:val="12263F"/>
          <w:sz w:val="19"/>
        </w:rPr>
        <w:t>Objectives and audience</w:t>
      </w:r>
    </w:p>
    <w:p>
      <w:pPr>
        <w:spacing w:after="40"/>
        <w:ind w:left="216" w:hanging="216"/>
      </w:pPr>
      <w:r>
        <w:rPr>
          <w:rFonts w:ascii="Aptos" w:hAnsi="Aptos"/>
          <w:b/>
          <w:color w:val="AE8943"/>
          <w:sz w:val="19"/>
        </w:rPr>
        <w:t xml:space="preserve">03  </w:t>
      </w:r>
      <w:r>
        <w:rPr>
          <w:rFonts w:ascii="Aptos" w:hAnsi="Aptos"/>
          <w:color w:val="12263F"/>
          <w:sz w:val="19"/>
        </w:rPr>
        <w:t>Authority architecture</w:t>
      </w:r>
    </w:p>
    <w:p>
      <w:pPr>
        <w:spacing w:after="40"/>
        <w:ind w:left="216" w:hanging="216"/>
      </w:pPr>
      <w:r>
        <w:rPr>
          <w:rFonts w:ascii="Aptos" w:hAnsi="Aptos"/>
          <w:b/>
          <w:color w:val="AE8943"/>
          <w:sz w:val="19"/>
        </w:rPr>
        <w:t xml:space="preserve">04  </w:t>
      </w:r>
      <w:r>
        <w:rPr>
          <w:rFonts w:ascii="Aptos" w:hAnsi="Aptos"/>
          <w:color w:val="12263F"/>
          <w:sz w:val="19"/>
        </w:rPr>
        <w:t>Progressive trust and conversion funnel</w:t>
      </w:r>
    </w:p>
    <w:p>
      <w:pPr>
        <w:spacing w:after="40"/>
        <w:ind w:left="216" w:hanging="216"/>
      </w:pPr>
      <w:r>
        <w:rPr>
          <w:rFonts w:ascii="Aptos" w:hAnsi="Aptos"/>
          <w:b/>
          <w:color w:val="AE8943"/>
          <w:sz w:val="19"/>
        </w:rPr>
        <w:t xml:space="preserve">05  </w:t>
      </w:r>
      <w:r>
        <w:rPr>
          <w:rFonts w:ascii="Aptos" w:hAnsi="Aptos"/>
          <w:color w:val="12263F"/>
          <w:sz w:val="19"/>
        </w:rPr>
        <w:t>Website information architecture</w:t>
      </w:r>
    </w:p>
    <w:p>
      <w:pPr>
        <w:spacing w:after="40"/>
        <w:ind w:left="216" w:hanging="216"/>
      </w:pPr>
      <w:r>
        <w:rPr>
          <w:rFonts w:ascii="Aptos" w:hAnsi="Aptos"/>
          <w:b/>
          <w:color w:val="AE8943"/>
          <w:sz w:val="19"/>
        </w:rPr>
        <w:t xml:space="preserve">06  </w:t>
      </w:r>
      <w:r>
        <w:rPr>
          <w:rFonts w:ascii="Aptos" w:hAnsi="Aptos"/>
          <w:color w:val="12263F"/>
          <w:sz w:val="19"/>
        </w:rPr>
        <w:t>Interactive tools and verified access</w:t>
      </w:r>
    </w:p>
    <w:p>
      <w:pPr>
        <w:spacing w:after="40"/>
        <w:ind w:left="216" w:hanging="216"/>
      </w:pPr>
      <w:r>
        <w:rPr>
          <w:rFonts w:ascii="Aptos" w:hAnsi="Aptos"/>
          <w:b/>
          <w:color w:val="AE8943"/>
          <w:sz w:val="19"/>
        </w:rPr>
        <w:t xml:space="preserve">07  </w:t>
      </w:r>
      <w:r>
        <w:rPr>
          <w:rFonts w:ascii="Aptos" w:hAnsi="Aptos"/>
          <w:color w:val="12263F"/>
          <w:sz w:val="19"/>
        </w:rPr>
        <w:t>Content and AEO system</w:t>
      </w:r>
    </w:p>
    <w:p>
      <w:pPr>
        <w:spacing w:after="40"/>
        <w:ind w:left="216" w:hanging="216"/>
      </w:pPr>
      <w:r>
        <w:rPr>
          <w:rFonts w:ascii="Aptos" w:hAnsi="Aptos"/>
          <w:b/>
          <w:color w:val="AE8943"/>
          <w:sz w:val="19"/>
        </w:rPr>
        <w:t xml:space="preserve">08  </w:t>
      </w:r>
      <w:r>
        <w:rPr>
          <w:rFonts w:ascii="Aptos" w:hAnsi="Aptos"/>
          <w:color w:val="12263F"/>
          <w:sz w:val="19"/>
        </w:rPr>
        <w:t>Newsletter and nurture</w:t>
      </w:r>
    </w:p>
    <w:p>
      <w:pPr>
        <w:spacing w:after="40"/>
        <w:ind w:left="216" w:hanging="216"/>
      </w:pPr>
      <w:r>
        <w:rPr>
          <w:rFonts w:ascii="Aptos" w:hAnsi="Aptos"/>
          <w:b/>
          <w:color w:val="AE8943"/>
          <w:sz w:val="19"/>
        </w:rPr>
        <w:t xml:space="preserve">09  </w:t>
      </w:r>
      <w:r>
        <w:rPr>
          <w:rFonts w:ascii="Aptos" w:hAnsi="Aptos"/>
          <w:color w:val="12263F"/>
          <w:sz w:val="19"/>
        </w:rPr>
        <w:t>LinkedIn and distribution</w:t>
      </w:r>
    </w:p>
    <w:p>
      <w:pPr>
        <w:spacing w:after="40"/>
        <w:ind w:left="216" w:hanging="216"/>
      </w:pPr>
      <w:r>
        <w:rPr>
          <w:rFonts w:ascii="Aptos" w:hAnsi="Aptos"/>
          <w:b/>
          <w:color w:val="AE8943"/>
          <w:sz w:val="19"/>
        </w:rPr>
        <w:t xml:space="preserve">10  </w:t>
      </w:r>
      <w:r>
        <w:rPr>
          <w:rFonts w:ascii="Aptos" w:hAnsi="Aptos"/>
          <w:color w:val="12263F"/>
          <w:sz w:val="19"/>
        </w:rPr>
        <w:t>Lead scoring and CRM handoff</w:t>
      </w:r>
    </w:p>
    <w:p>
      <w:pPr>
        <w:spacing w:after="40"/>
        <w:ind w:left="216" w:hanging="216"/>
      </w:pPr>
      <w:r>
        <w:rPr>
          <w:rFonts w:ascii="Aptos" w:hAnsi="Aptos"/>
          <w:b/>
          <w:color w:val="AE8943"/>
          <w:sz w:val="19"/>
        </w:rPr>
        <w:t xml:space="preserve">11  </w:t>
      </w:r>
      <w:r>
        <w:rPr>
          <w:rFonts w:ascii="Aptos" w:hAnsi="Aptos"/>
          <w:color w:val="12263F"/>
          <w:sz w:val="19"/>
        </w:rPr>
        <w:t>Measurement system</w:t>
      </w:r>
    </w:p>
    <w:p>
      <w:pPr>
        <w:spacing w:after="40"/>
        <w:ind w:left="216" w:hanging="216"/>
      </w:pPr>
      <w:r>
        <w:rPr>
          <w:rFonts w:ascii="Aptos" w:hAnsi="Aptos"/>
          <w:b/>
          <w:color w:val="AE8943"/>
          <w:sz w:val="19"/>
        </w:rPr>
        <w:t xml:space="preserve">12  </w:t>
      </w:r>
      <w:r>
        <w:rPr>
          <w:rFonts w:ascii="Aptos" w:hAnsi="Aptos"/>
          <w:color w:val="12263F"/>
          <w:sz w:val="19"/>
        </w:rPr>
        <w:t>AI agent workflows</w:t>
      </w:r>
    </w:p>
    <w:p>
      <w:pPr>
        <w:spacing w:after="40"/>
        <w:ind w:left="216" w:hanging="216"/>
      </w:pPr>
      <w:r>
        <w:rPr>
          <w:rFonts w:ascii="Aptos" w:hAnsi="Aptos"/>
          <w:b/>
          <w:color w:val="AE8943"/>
          <w:sz w:val="19"/>
        </w:rPr>
        <w:t xml:space="preserve">13  </w:t>
      </w:r>
      <w:r>
        <w:rPr>
          <w:rFonts w:ascii="Aptos" w:hAnsi="Aptos"/>
          <w:color w:val="12263F"/>
          <w:sz w:val="19"/>
        </w:rPr>
        <w:t>12-month editorial and launch plan</w:t>
      </w:r>
    </w:p>
    <w:p>
      <w:pPr>
        <w:spacing w:after="40"/>
        <w:ind w:left="216" w:hanging="216"/>
      </w:pPr>
      <w:r>
        <w:rPr>
          <w:rFonts w:ascii="Aptos" w:hAnsi="Aptos"/>
          <w:b/>
          <w:color w:val="AE8943"/>
          <w:sz w:val="19"/>
        </w:rPr>
        <w:t xml:space="preserve">14  </w:t>
      </w:r>
      <w:r>
        <w:rPr>
          <w:rFonts w:ascii="Aptos" w:hAnsi="Aptos"/>
          <w:color w:val="12263F"/>
          <w:sz w:val="19"/>
        </w:rPr>
        <w:t>Guardrails and risks</w:t>
      </w:r>
    </w:p>
    <w:p>
      <w:pPr>
        <w:spacing w:after="40"/>
        <w:ind w:left="216" w:hanging="216"/>
      </w:pPr>
      <w:r>
        <w:rPr>
          <w:rFonts w:ascii="Aptos" w:hAnsi="Aptos"/>
          <w:b/>
          <w:color w:val="AE8943"/>
          <w:sz w:val="19"/>
        </w:rPr>
        <w:t xml:space="preserve">15  </w:t>
      </w:r>
      <w:r>
        <w:rPr>
          <w:rFonts w:ascii="Aptos" w:hAnsi="Aptos"/>
          <w:color w:val="12263F"/>
          <w:sz w:val="19"/>
        </w:rPr>
        <w:t>Recommended first build</w:t>
      </w:r>
    </w:p>
    <w:p>
      <w:pPr>
        <w:spacing w:after="40"/>
        <w:ind w:left="216" w:hanging="216"/>
      </w:pPr>
      <w:r>
        <w:rPr>
          <w:rFonts w:ascii="Aptos" w:hAnsi="Aptos"/>
          <w:b/>
          <w:color w:val="AE8943"/>
          <w:sz w:val="19"/>
        </w:rPr>
        <w:t xml:space="preserve">A  </w:t>
      </w:r>
      <w:r>
        <w:rPr>
          <w:rFonts w:ascii="Aptos" w:hAnsi="Aptos"/>
          <w:color w:val="12263F"/>
          <w:sz w:val="19"/>
        </w:rPr>
        <w:t>Hooks, CTAs and form fields</w:t>
      </w:r>
    </w:p>
    <w:p>
      <w:pPr>
        <w:spacing w:after="40"/>
        <w:ind w:left="216" w:hanging="216"/>
      </w:pPr>
      <w:r>
        <w:rPr>
          <w:rFonts w:ascii="Aptos" w:hAnsi="Aptos"/>
          <w:b/>
          <w:color w:val="AE8943"/>
          <w:sz w:val="19"/>
        </w:rPr>
        <w:t xml:space="preserve">B  </w:t>
      </w:r>
      <w:r>
        <w:rPr>
          <w:rFonts w:ascii="Aptos" w:hAnsi="Aptos"/>
          <w:color w:val="12263F"/>
          <w:sz w:val="19"/>
        </w:rPr>
        <w:t>Sources</w:t>
      </w:r>
    </w:p>
    <w:p>
      <w:r>
        <w:br w:type="page"/>
      </w:r>
    </w:p>
    <w:p>
      <w:pPr>
        <w:pStyle w:val="Heading1"/>
        <w:pBdr>
          <w:bottom w:val="single" w:sz="7" w:space="4" w:color="D5DBE3"/>
        </w:pBdr>
      </w:pPr>
      <w:r>
        <w:t>01  Executive reality check</w:t>
      </w:r>
    </w:p>
    <w:tbl>
      <w:tblPr>
        <w:tblW w:type="auto" w:w="0"/>
        <w:jc w:val="center"/>
        <w:tblLayout w:type="autofit"/>
        <w:tblLook w:firstColumn="1" w:firstRow="1" w:lastColumn="0" w:lastRow="0" w:noHBand="0" w:noVBand="1" w:val="04A0"/>
      </w:tblPr>
      <w:tblGrid>
        <w:gridCol w:w="10166"/>
      </w:tblGrid>
      <w:tr>
        <w:tc>
          <w:tcPr>
            <w:tcW w:type="dxa" w:w="10166"/>
            <w:shd w:fill="F4EFE3"/>
            <w:tcMar>
              <w:top w:w="130" w:type="dxa"/>
              <w:start w:w="160" w:type="dxa"/>
              <w:bottom w:w="130" w:type="dxa"/>
              <w:end w:w="160" w:type="dxa"/>
            </w:tcMar>
          </w:tcPr>
          <w:p>
            <w:pPr>
              <w:spacing w:after="60"/>
            </w:pPr>
            <w:r>
              <w:rPr>
                <w:rFonts w:ascii="Aptos" w:hAnsi="Aptos"/>
                <w:b/>
                <w:color w:val="12263F"/>
                <w:sz w:val="20"/>
              </w:rPr>
              <w:t>THE STRATEGIC TRUTH</w:t>
            </w:r>
          </w:p>
          <w:p>
            <w:pPr>
              <w:spacing w:after="0"/>
            </w:pPr>
            <w:r>
              <w:rPr>
                <w:rFonts w:ascii="Aptos" w:hAnsi="Aptos"/>
                <w:color w:val="1F252B"/>
                <w:sz w:val="19"/>
              </w:rPr>
              <w:t>VYNE can build an inbound authority engine, but AEO is not a substitute for reputation, relationships or distribution. Search systems cite useful, accessible and credible sources; they do not guarantee that a new site will be visible. The plan must create genuine expertise assets and use direct distribution while authority compounds.</w:t>
            </w:r>
          </w:p>
        </w:tc>
      </w:tr>
    </w:tbl>
    <w:p>
      <w:pPr>
        <w:spacing w:after="0"/>
      </w:pPr>
    </w:p>
    <w:p>
      <w:pPr>
        <w:pStyle w:val="Heading2"/>
      </w:pPr>
      <w:r>
        <w:t>What success looks like</w:t>
      </w:r>
    </w:p>
    <w:p>
      <w:pPr>
        <w:pStyle w:val="ListBullet"/>
        <w:spacing w:after="40"/>
        <w:ind w:left="360" w:hanging="187"/>
      </w:pPr>
      <w:r>
        <w:rPr>
          <w:rFonts w:ascii="Aptos" w:hAnsi="Aptos"/>
          <w:color w:val="1F252B"/>
        </w:rPr>
        <w:t>Advisors encounter VYNE while privately researching a real career or practice question.</w:t>
      </w:r>
    </w:p>
    <w:p>
      <w:pPr>
        <w:pStyle w:val="ListBullet"/>
        <w:spacing w:after="40"/>
        <w:ind w:left="360" w:hanging="187"/>
      </w:pPr>
      <w:r>
        <w:rPr>
          <w:rFonts w:ascii="Aptos" w:hAnsi="Aptos"/>
          <w:color w:val="1F252B"/>
        </w:rPr>
        <w:t>The public answer is useful enough to build trust but stops before the individualized conclusion.</w:t>
      </w:r>
    </w:p>
    <w:p>
      <w:pPr>
        <w:pStyle w:val="ListBullet"/>
        <w:spacing w:after="40"/>
        <w:ind w:left="360" w:hanging="187"/>
      </w:pPr>
      <w:r>
        <w:rPr>
          <w:rFonts w:ascii="Aptos" w:hAnsi="Aptos"/>
          <w:color w:val="1F252B"/>
        </w:rPr>
        <w:t>The advisor can move from anonymous research to newsletter, assessment, verified access and a confidential conversation at their own pace.</w:t>
      </w:r>
    </w:p>
    <w:p>
      <w:pPr>
        <w:pStyle w:val="ListBullet"/>
        <w:spacing w:after="40"/>
        <w:ind w:left="360" w:hanging="187"/>
      </w:pPr>
      <w:r>
        <w:rPr>
          <w:rFonts w:ascii="Aptos" w:hAnsi="Aptos"/>
          <w:color w:val="1F252B"/>
        </w:rPr>
        <w:t>VYNE captures structured intent data without demanding sensitive information too early.</w:t>
      </w:r>
    </w:p>
    <w:p>
      <w:pPr>
        <w:pStyle w:val="ListBullet"/>
        <w:spacing w:after="40"/>
        <w:ind w:left="360" w:hanging="187"/>
      </w:pPr>
      <w:r>
        <w:rPr>
          <w:rFonts w:ascii="Aptos" w:hAnsi="Aptos"/>
          <w:color w:val="1F252B"/>
        </w:rPr>
        <w:t>The CRM receives the advisor's source, topic, stage, score and consent history automatically.</w:t>
      </w:r>
    </w:p>
    <w:p>
      <w:pPr>
        <w:pStyle w:val="ListBullet"/>
        <w:spacing w:after="40"/>
        <w:ind w:left="360" w:hanging="187"/>
      </w:pPr>
      <w:r>
        <w:rPr>
          <w:rFonts w:ascii="Aptos" w:hAnsi="Aptos"/>
          <w:color w:val="1F252B"/>
        </w:rPr>
        <w:t>Content, firm intelligence and real case learning improve one another over time.</w:t>
      </w:r>
    </w:p>
    <w:p>
      <w:pPr>
        <w:pStyle w:val="Heading2"/>
      </w:pPr>
      <w:r>
        <w:t>What success does not mean</w:t>
      </w:r>
    </w:p>
    <w:p>
      <w:pPr>
        <w:pStyle w:val="ListBullet"/>
        <w:spacing w:after="40"/>
        <w:ind w:left="360" w:hanging="187"/>
      </w:pPr>
      <w:r>
        <w:rPr>
          <w:rFonts w:ascii="Aptos" w:hAnsi="Aptos"/>
          <w:color w:val="1F252B"/>
        </w:rPr>
        <w:t>Ranking first for broad terms such as "financial advisor recruiter" within months.</w:t>
      </w:r>
    </w:p>
    <w:p>
      <w:pPr>
        <w:pStyle w:val="ListBullet"/>
        <w:spacing w:after="40"/>
        <w:ind w:left="360" w:hanging="187"/>
      </w:pPr>
      <w:r>
        <w:rPr>
          <w:rFonts w:ascii="Aptos" w:hAnsi="Aptos"/>
          <w:color w:val="1F252B"/>
        </w:rPr>
        <w:t>Publishing hundreds of AI-generated pages.</w:t>
      </w:r>
    </w:p>
    <w:p>
      <w:pPr>
        <w:pStyle w:val="ListBullet"/>
        <w:spacing w:after="40"/>
        <w:ind w:left="360" w:hanging="187"/>
      </w:pPr>
      <w:r>
        <w:rPr>
          <w:rFonts w:ascii="Aptos" w:hAnsi="Aptos"/>
          <w:color w:val="1F252B"/>
        </w:rPr>
        <w:t>Gating all useful content behind forms.</w:t>
      </w:r>
    </w:p>
    <w:p>
      <w:pPr>
        <w:pStyle w:val="ListBullet"/>
        <w:spacing w:after="40"/>
        <w:ind w:left="360" w:hanging="187"/>
      </w:pPr>
      <w:r>
        <w:rPr>
          <w:rFonts w:ascii="Aptos" w:hAnsi="Aptos"/>
          <w:color w:val="1F252B"/>
        </w:rPr>
        <w:t>Collecting CRD, T12, AUM and holdings from every newsletter subscriber.</w:t>
      </w:r>
    </w:p>
    <w:p>
      <w:pPr>
        <w:pStyle w:val="ListBullet"/>
        <w:spacing w:after="40"/>
        <w:ind w:left="360" w:hanging="187"/>
      </w:pPr>
      <w:r>
        <w:rPr>
          <w:rFonts w:ascii="Aptos" w:hAnsi="Aptos"/>
          <w:color w:val="1F252B"/>
        </w:rPr>
        <w:t>Using traffic volume as the primary success metric.</w:t>
      </w:r>
    </w:p>
    <w:p>
      <w:pPr>
        <w:pStyle w:val="ListBullet"/>
        <w:spacing w:after="40"/>
        <w:ind w:left="360" w:hanging="187"/>
      </w:pPr>
      <w:r>
        <w:rPr>
          <w:rFonts w:ascii="Aptos" w:hAnsi="Aptos"/>
          <w:color w:val="1F252B"/>
        </w:rPr>
        <w:t>Remaining permanently anonymous while asking advisors for highly confidential information.</w:t>
      </w:r>
    </w:p>
    <w:p>
      <w:r>
        <w:br w:type="page"/>
      </w:r>
    </w:p>
    <w:p>
      <w:pPr>
        <w:pStyle w:val="Heading1"/>
        <w:pBdr>
          <w:bottom w:val="single" w:sz="7" w:space="4" w:color="D5DBE3"/>
        </w:pBdr>
      </w:pPr>
      <w:r>
        <w:t>02  Objectives and audience</w:t>
      </w:r>
    </w:p>
    <w:p>
      <w:pPr>
        <w:pStyle w:val="Heading2"/>
      </w:pPr>
      <w:r>
        <w:t>Primary business objective</w:t>
      </w:r>
    </w:p>
    <w:p>
      <w:pPr>
        <w:keepLines w:val="0"/>
      </w:pPr>
      <w:r>
        <w:rPr>
          <w:rFonts w:ascii="Aptos" w:hAnsi="Aptos"/>
          <w:i w:val="0"/>
          <w:color w:val="1F252B"/>
        </w:rPr>
        <w:t>Create a repeatable digital system that generates verified, high-intent advisor relationships at a cost and pace that supports VYNE's placement economics. The system should also nurture advisors whose decision may be years away.</w:t>
      </w:r>
    </w:p>
    <w:p>
      <w:pPr>
        <w:pStyle w:val="Heading2"/>
      </w:pPr>
      <w:r>
        <w:t>Priority audiences and psychology</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2541"/>
        <w:gridCol w:w="2541"/>
        <w:gridCol w:w="2541"/>
        <w:gridCol w:w="2541"/>
      </w:tblGrid>
      <w:tr>
        <w:trPr>
          <w:tblHeader w:val="true"/>
        </w:trPr>
        <w:tc>
          <w:tcPr>
            <w:tcW w:type="dxa" w:w="1872"/>
            <w:shd w:fill="1C3857"/>
            <w:vAlign w:val="center"/>
            <w:tcMar>
              <w:top w:w="90" w:type="dxa"/>
              <w:start w:w="100" w:type="dxa"/>
              <w:bottom w:w="90" w:type="dxa"/>
              <w:end w:w="100" w:type="dxa"/>
            </w:tcMar>
          </w:tcPr>
          <w:p>
            <w:pPr>
              <w:spacing w:after="0" w:before="0"/>
            </w:pPr>
            <w:r/>
            <w:r>
              <w:rPr>
                <w:rFonts w:ascii="Aptos" w:hAnsi="Aptos"/>
                <w:b/>
                <w:color w:val="FFFFFF"/>
                <w:sz w:val="16"/>
              </w:rPr>
              <w:t>Audience</w:t>
            </w:r>
          </w:p>
        </w:tc>
        <w:tc>
          <w:tcPr>
            <w:tcW w:type="dxa" w:w="3168"/>
            <w:shd w:fill="1C3857"/>
            <w:vAlign w:val="center"/>
            <w:tcMar>
              <w:top w:w="90" w:type="dxa"/>
              <w:start w:w="100" w:type="dxa"/>
              <w:bottom w:w="90" w:type="dxa"/>
              <w:end w:w="100" w:type="dxa"/>
            </w:tcMar>
          </w:tcPr>
          <w:p>
            <w:pPr>
              <w:spacing w:after="0" w:before="0"/>
            </w:pPr>
            <w:r/>
            <w:r>
              <w:rPr>
                <w:rFonts w:ascii="Aptos" w:hAnsi="Aptos"/>
                <w:b/>
                <w:color w:val="FFFFFF"/>
                <w:sz w:val="16"/>
              </w:rPr>
              <w:t>Core concern</w:t>
            </w:r>
          </w:p>
        </w:tc>
        <w:tc>
          <w:tcPr>
            <w:tcW w:type="dxa" w:w="3168"/>
            <w:shd w:fill="1C3857"/>
            <w:vAlign w:val="center"/>
            <w:tcMar>
              <w:top w:w="90" w:type="dxa"/>
              <w:start w:w="100" w:type="dxa"/>
              <w:bottom w:w="90" w:type="dxa"/>
              <w:end w:w="100" w:type="dxa"/>
            </w:tcMar>
          </w:tcPr>
          <w:p>
            <w:pPr>
              <w:spacing w:after="0" w:before="0"/>
            </w:pPr>
            <w:r/>
            <w:r>
              <w:rPr>
                <w:rFonts w:ascii="Aptos" w:hAnsi="Aptos"/>
                <w:b/>
                <w:color w:val="FFFFFF"/>
                <w:sz w:val="16"/>
              </w:rPr>
              <w:t>What creates trust</w:t>
            </w:r>
          </w:p>
        </w:tc>
        <w:tc>
          <w:tcPr>
            <w:tcW w:type="dxa" w:w="1872"/>
            <w:shd w:fill="1C3857"/>
            <w:vAlign w:val="center"/>
            <w:tcMar>
              <w:top w:w="90" w:type="dxa"/>
              <w:start w:w="100" w:type="dxa"/>
              <w:bottom w:w="90" w:type="dxa"/>
              <w:end w:w="100" w:type="dxa"/>
            </w:tcMar>
          </w:tcPr>
          <w:p>
            <w:pPr>
              <w:spacing w:after="0" w:before="0"/>
            </w:pPr>
            <w:r/>
            <w:r>
              <w:rPr>
                <w:rFonts w:ascii="Aptos" w:hAnsi="Aptos"/>
                <w:b/>
                <w:color w:val="FFFFFF"/>
                <w:sz w:val="16"/>
              </w:rPr>
              <w:t>Best initial offer</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Established employee advisor</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Is another model materially better without hurting clients?</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Evidence, discretion, comparable cases and disciplined process</w:t>
            </w:r>
          </w:p>
        </w:tc>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Stay/Move assessment or confidential conversation</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4"/>
              </w:rPr>
              <w:t>Senior advisor</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How do I protect continuity and monetize what I built?</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Succession expertise, options and timing clarity</w:t>
            </w:r>
          </w:p>
        </w:tc>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4"/>
              </w:rPr>
              <w:t>Succession Readiness assessment</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Growth team</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Can a platform help us recruit, acquire and scale?</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Platform detail, team economics and operating intelligence</w:t>
            </w:r>
          </w:p>
        </w:tc>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Firm/Model comparison</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4"/>
              </w:rPr>
              <w:t>Next-generation advisor</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How do I gain opportunity, equity or a stronger team?</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Clear pathways and confidential matching</w:t>
            </w:r>
          </w:p>
        </w:tc>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4"/>
              </w:rPr>
              <w:t>Team/Talent profile</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Advisor holding an offer</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What is guaranteed, contingent and missing?</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Fast, precise and neutral analysis</w:t>
            </w:r>
          </w:p>
        </w:tc>
        <w:tc>
          <w:tcPr>
            <w:tcW w:type="dxa" w:w="1872"/>
            <w:vAlign w:val="center"/>
            <w:tcMar>
              <w:top w:w="90" w:type="dxa"/>
              <w:start w:w="100" w:type="dxa"/>
              <w:bottom w:w="90" w:type="dxa"/>
              <w:end w:w="100" w:type="dxa"/>
            </w:tcMar>
          </w:tcPr>
          <w:p>
            <w:pPr>
              <w:spacing w:after="0" w:before="0"/>
            </w:pPr>
            <w:r/>
            <w:r>
              <w:rPr>
                <w:rFonts w:ascii="Aptos" w:hAnsi="Aptos"/>
                <w:b w:val="0"/>
                <w:color w:val="1F252B"/>
                <w:sz w:val="14"/>
              </w:rPr>
              <w:t>Offer Review request</w:t>
            </w:r>
          </w:p>
        </w:tc>
      </w:tr>
    </w:tbl>
    <w:p>
      <w:pPr>
        <w:spacing w:after="0"/>
      </w:pPr>
    </w:p>
    <w:p>
      <w:pPr>
        <w:pStyle w:val="Heading2"/>
      </w:pPr>
      <w:r>
        <w:t>Key behavioral principles</w:t>
      </w:r>
    </w:p>
    <w:p>
      <w:pPr>
        <w:pStyle w:val="ListBullet"/>
        <w:spacing w:after="40"/>
        <w:ind w:left="360" w:hanging="187"/>
      </w:pPr>
      <w:r>
        <w:rPr>
          <w:rFonts w:ascii="Aptos" w:hAnsi="Aptos"/>
          <w:b/>
          <w:color w:val="12263F"/>
        </w:rPr>
        <w:t xml:space="preserve">People convert when they feel understood. </w:t>
      </w:r>
      <w:r>
        <w:rPr>
          <w:rFonts w:ascii="Aptos" w:hAnsi="Aptos"/>
          <w:color w:val="1F252B"/>
        </w:rPr>
        <w:t>Lead with the problem and tradeoffs, not VYNE credentials or a list of services.</w:t>
      </w:r>
    </w:p>
    <w:p>
      <w:pPr>
        <w:pStyle w:val="ListBullet"/>
        <w:spacing w:after="40"/>
        <w:ind w:left="360" w:hanging="187"/>
      </w:pPr>
      <w:r>
        <w:rPr>
          <w:rFonts w:ascii="Aptos" w:hAnsi="Aptos"/>
          <w:b/>
          <w:color w:val="12263F"/>
        </w:rPr>
        <w:t xml:space="preserve">Research control matters. </w:t>
      </w:r>
      <w:r>
        <w:rPr>
          <w:rFonts w:ascii="Aptos" w:hAnsi="Aptos"/>
          <w:color w:val="1F252B"/>
        </w:rPr>
        <w:t>Allow advisors to learn without triggering immediate firm outreach.</w:t>
      </w:r>
    </w:p>
    <w:p>
      <w:pPr>
        <w:pStyle w:val="ListBullet"/>
        <w:spacing w:after="40"/>
        <w:ind w:left="360" w:hanging="187"/>
      </w:pPr>
      <w:r>
        <w:rPr>
          <w:rFonts w:ascii="Aptos" w:hAnsi="Aptos"/>
          <w:b/>
          <w:color w:val="12263F"/>
        </w:rPr>
        <w:t xml:space="preserve">The cost of inaction is a valid issue. </w:t>
      </w:r>
      <w:r>
        <w:rPr>
          <w:rFonts w:ascii="Aptos" w:hAnsi="Aptos"/>
          <w:color w:val="1F252B"/>
        </w:rPr>
        <w:t>Show what waiting, staying and moving can each cost; do not manufacture scarcity.</w:t>
      </w:r>
    </w:p>
    <w:p>
      <w:pPr>
        <w:pStyle w:val="ListBullet"/>
        <w:spacing w:after="40"/>
        <w:ind w:left="360" w:hanging="187"/>
      </w:pPr>
      <w:r>
        <w:rPr>
          <w:rFonts w:ascii="Aptos" w:hAnsi="Aptos"/>
          <w:b/>
          <w:color w:val="12263F"/>
        </w:rPr>
        <w:t xml:space="preserve">Evidence creates confidence. </w:t>
      </w:r>
      <w:r>
        <w:rPr>
          <w:rFonts w:ascii="Aptos" w:hAnsi="Aptos"/>
          <w:color w:val="1F252B"/>
        </w:rPr>
        <w:t>Use sources, assumptions, examples and transparent limitations.</w:t>
      </w:r>
    </w:p>
    <w:p>
      <w:pPr>
        <w:pStyle w:val="ListBullet"/>
        <w:spacing w:after="40"/>
        <w:ind w:left="360" w:hanging="187"/>
      </w:pPr>
      <w:r>
        <w:rPr>
          <w:rFonts w:ascii="Aptos" w:hAnsi="Aptos"/>
          <w:b/>
          <w:color w:val="12263F"/>
        </w:rPr>
        <w:t xml:space="preserve">Choice must be staged. </w:t>
      </w:r>
      <w:r>
        <w:rPr>
          <w:rFonts w:ascii="Aptos" w:hAnsi="Aptos"/>
          <w:color w:val="1F252B"/>
        </w:rPr>
        <w:t>Each page should have one primary next step, not five competing forms.</w:t>
      </w:r>
    </w:p>
    <w:p>
      <w:r>
        <w:br w:type="page"/>
      </w:r>
    </w:p>
    <w:p>
      <w:pPr>
        <w:pStyle w:val="Heading1"/>
        <w:pBdr>
          <w:bottom w:val="single" w:sz="7" w:space="4" w:color="D5DBE3"/>
        </w:pBdr>
      </w:pPr>
      <w:r>
        <w:t>03  Authority architecture</w:t>
      </w:r>
    </w:p>
    <w:p>
      <w:pPr>
        <w:pStyle w:val="Heading2"/>
      </w:pPr>
      <w:r>
        <w:t>The five authority assets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872"/>
            <w:shd w:fill="1C3857"/>
            <w:vAlign w:val="center"/>
            <w:tcMar>
              <w:top w:w="90" w:type="dxa"/>
              <w:start w:w="100" w:type="dxa"/>
              <w:bottom w:w="90" w:type="dxa"/>
              <w:end w:w="100" w:type="dxa"/>
            </w:tcMar>
          </w:tcPr>
          <w:p>
            <w:pPr>
              <w:spacing w:after="0" w:before="0"/>
            </w:pPr>
            <w:r/>
            <w:r>
              <w:rPr>
                <w:rFonts w:ascii="Aptos" w:hAnsi="Aptos"/>
                <w:b/>
                <w:color w:val="FFFFFF"/>
                <w:sz w:val="16"/>
              </w:rPr>
              <w:t>Asset</w:t>
            </w:r>
          </w:p>
        </w:tc>
        <w:tc>
          <w:tcPr>
            <w:tcW w:type="dxa" w:w="3744"/>
            <w:shd w:fill="1C3857"/>
            <w:vAlign w:val="center"/>
            <w:tcMar>
              <w:top w:w="90" w:type="dxa"/>
              <w:start w:w="100" w:type="dxa"/>
              <w:bottom w:w="90" w:type="dxa"/>
              <w:end w:w="100" w:type="dxa"/>
            </w:tcMar>
          </w:tcPr>
          <w:p>
            <w:pPr>
              <w:spacing w:after="0" w:before="0"/>
            </w:pPr>
            <w:r/>
            <w:r>
              <w:rPr>
                <w:rFonts w:ascii="Aptos" w:hAnsi="Aptos"/>
                <w:b/>
                <w:color w:val="FFFFFF"/>
                <w:sz w:val="16"/>
              </w:rPr>
              <w:t>Purpose</w:t>
            </w:r>
          </w:p>
        </w:tc>
        <w:tc>
          <w:tcPr>
            <w:tcW w:type="dxa" w:w="4464"/>
            <w:shd w:fill="1C3857"/>
            <w:vAlign w:val="center"/>
            <w:tcMar>
              <w:top w:w="90" w:type="dxa"/>
              <w:start w:w="100" w:type="dxa"/>
              <w:bottom w:w="90" w:type="dxa"/>
              <w:end w:w="100" w:type="dxa"/>
            </w:tcMar>
          </w:tcPr>
          <w:p>
            <w:pPr>
              <w:spacing w:after="0" w:before="0"/>
            </w:pPr>
            <w:r/>
            <w:r>
              <w:rPr>
                <w:rFonts w:ascii="Aptos" w:hAnsi="Aptos"/>
                <w:b/>
                <w:color w:val="FFFFFF"/>
                <w:sz w:val="16"/>
              </w:rPr>
              <w:t>Proof standard</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VYNE Framework</w:t>
            </w:r>
          </w:p>
        </w:tc>
        <w:tc>
          <w:tcPr>
            <w:tcW w:type="dxa" w:w="3744"/>
            <w:vAlign w:val="center"/>
            <w:tcMar>
              <w:top w:w="90" w:type="dxa"/>
              <w:start w:w="100" w:type="dxa"/>
              <w:bottom w:w="90" w:type="dxa"/>
              <w:end w:w="100" w:type="dxa"/>
            </w:tcMar>
          </w:tcPr>
          <w:p>
            <w:pPr>
              <w:spacing w:after="0" w:before="0"/>
            </w:pPr>
            <w:r/>
            <w:r>
              <w:rPr>
                <w:rFonts w:ascii="Aptos" w:hAnsi="Aptos"/>
                <w:b w:val="0"/>
                <w:color w:val="1F252B"/>
                <w:sz w:val="15"/>
              </w:rPr>
              <w:t>Creates a memorable decision language</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5"/>
              </w:rPr>
              <w:t>Consistent use across pages, assessments and deliverables</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5"/>
              </w:rPr>
              <w:t>Cornerstone research</w:t>
            </w:r>
          </w:p>
        </w:tc>
        <w:tc>
          <w:tcPr>
            <w:tcW w:type="dxa" w:w="3744"/>
            <w:shd w:fill="F7F8FA"/>
            <w:vAlign w:val="center"/>
            <w:tcMar>
              <w:top w:w="90" w:type="dxa"/>
              <w:start w:w="100" w:type="dxa"/>
              <w:bottom w:w="90" w:type="dxa"/>
              <w:end w:w="100" w:type="dxa"/>
            </w:tcMar>
          </w:tcPr>
          <w:p>
            <w:pPr>
              <w:spacing w:after="0" w:before="0"/>
            </w:pPr>
            <w:r/>
            <w:r>
              <w:rPr>
                <w:rFonts w:ascii="Aptos" w:hAnsi="Aptos"/>
                <w:b w:val="0"/>
                <w:color w:val="1F252B"/>
                <w:sz w:val="15"/>
              </w:rPr>
              <w:t>Answers the highest-intent advisor questions</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5"/>
              </w:rPr>
              <w:t>Original analysis, current sources and named review date</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Firm intelligence</w:t>
            </w:r>
          </w:p>
        </w:tc>
        <w:tc>
          <w:tcPr>
            <w:tcW w:type="dxa" w:w="3744"/>
            <w:vAlign w:val="center"/>
            <w:tcMar>
              <w:top w:w="90" w:type="dxa"/>
              <w:start w:w="100" w:type="dxa"/>
              <w:bottom w:w="90" w:type="dxa"/>
              <w:end w:w="100" w:type="dxa"/>
            </w:tcMar>
          </w:tcPr>
          <w:p>
            <w:pPr>
              <w:spacing w:after="0" w:before="0"/>
            </w:pPr>
            <w:r/>
            <w:r>
              <w:rPr>
                <w:rFonts w:ascii="Aptos" w:hAnsi="Aptos"/>
                <w:b w:val="0"/>
                <w:color w:val="1F252B"/>
                <w:sz w:val="15"/>
              </w:rPr>
              <w:t>Helps advisors research privately</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5"/>
              </w:rPr>
              <w:t>Public facts separated from VYNE analysis and unverified market intelligence</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5"/>
              </w:rPr>
              <w:t>Interactive assessments</w:t>
            </w:r>
          </w:p>
        </w:tc>
        <w:tc>
          <w:tcPr>
            <w:tcW w:type="dxa" w:w="3744"/>
            <w:shd w:fill="F7F8FA"/>
            <w:vAlign w:val="center"/>
            <w:tcMar>
              <w:top w:w="90" w:type="dxa"/>
              <w:start w:w="100" w:type="dxa"/>
              <w:bottom w:w="90" w:type="dxa"/>
              <w:end w:w="100" w:type="dxa"/>
            </w:tcMar>
          </w:tcPr>
          <w:p>
            <w:pPr>
              <w:spacing w:after="0" w:before="0"/>
            </w:pPr>
            <w:r/>
            <w:r>
              <w:rPr>
                <w:rFonts w:ascii="Aptos" w:hAnsi="Aptos"/>
                <w:b w:val="0"/>
                <w:color w:val="1F252B"/>
                <w:sz w:val="15"/>
              </w:rPr>
              <w:t>Turns passive reading into self-reflection</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5"/>
              </w:rPr>
              <w:t>Scoring logic, limitations and relevant next steps</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Case evidence</w:t>
            </w:r>
          </w:p>
        </w:tc>
        <w:tc>
          <w:tcPr>
            <w:tcW w:type="dxa" w:w="3744"/>
            <w:vAlign w:val="center"/>
            <w:tcMar>
              <w:top w:w="90" w:type="dxa"/>
              <w:start w:w="100" w:type="dxa"/>
              <w:bottom w:w="90" w:type="dxa"/>
              <w:end w:w="100" w:type="dxa"/>
            </w:tcMar>
          </w:tcPr>
          <w:p>
            <w:pPr>
              <w:spacing w:after="0" w:before="0"/>
            </w:pPr>
            <w:r/>
            <w:r>
              <w:rPr>
                <w:rFonts w:ascii="Aptos" w:hAnsi="Aptos"/>
                <w:b w:val="0"/>
                <w:color w:val="1F252B"/>
                <w:sz w:val="15"/>
              </w:rPr>
              <w:t>Shows how the process changes decisions</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5"/>
              </w:rPr>
              <w:t>Anonymized cases initially; approved named placements later</w:t>
            </w:r>
          </w:p>
        </w:tc>
      </w:tr>
    </w:tbl>
    <w:p>
      <w:pPr>
        <w:spacing w:after="0"/>
      </w:pPr>
    </w:p>
    <w:p>
      <w:pPr>
        <w:pStyle w:val="Heading2"/>
      </w:pPr>
      <w:r>
        <w:t>Authority flywheel</w:t>
      </w:r>
    </w:p>
    <w:tbl>
      <w:tblPr>
        <w:tblW w:type="auto" w:w="0"/>
        <w:jc w:val="center"/>
        <w:tblLayout w:type="autofit"/>
        <w:tblLook w:firstColumn="1" w:firstRow="1" w:lastColumn="0" w:lastRow="0" w:noHBand="0" w:noVBand="1" w:val="04A0"/>
      </w:tblPr>
      <w:tblGrid>
        <w:gridCol w:w="10166"/>
      </w:tblGrid>
      <w:tr>
        <w:tc>
          <w:tcPr>
            <w:tcW w:type="dxa" w:w="10166"/>
            <w:shd w:fill="F4EFE3"/>
            <w:tcMar>
              <w:top w:w="130" w:type="dxa"/>
              <w:start w:w="160" w:type="dxa"/>
              <w:bottom w:w="130" w:type="dxa"/>
              <w:end w:w="160" w:type="dxa"/>
            </w:tcMar>
          </w:tcPr>
          <w:p>
            <w:pPr>
              <w:spacing w:after="60"/>
            </w:pPr>
            <w:r>
              <w:rPr>
                <w:rFonts w:ascii="Aptos" w:hAnsi="Aptos"/>
                <w:b/>
                <w:color w:val="12263F"/>
                <w:sz w:val="20"/>
              </w:rPr>
              <w:t>FLYWHEEL</w:t>
            </w:r>
          </w:p>
          <w:p>
            <w:pPr>
              <w:spacing w:after="0"/>
            </w:pPr>
            <w:r>
              <w:rPr>
                <w:rFonts w:ascii="Aptos" w:hAnsi="Aptos"/>
                <w:color w:val="1F252B"/>
                <w:sz w:val="19"/>
              </w:rPr>
              <w:t>Advisor questions create content topics. Content attracts and qualifies advisors. Advisor cases create better intelligence. Better intelligence improves deliverables and research. Placements and stay decisions create case evidence. Evidence increases trust and referrals.</w:t>
            </w:r>
          </w:p>
        </w:tc>
      </w:tr>
    </w:tbl>
    <w:p>
      <w:pPr>
        <w:spacing w:after="0"/>
      </w:pPr>
    </w:p>
    <w:p>
      <w:pPr>
        <w:pStyle w:val="Heading2"/>
      </w:pPr>
      <w:r>
        <w:t>Editorial trust standards</w:t>
      </w:r>
    </w:p>
    <w:p>
      <w:pPr>
        <w:pStyle w:val="ListBullet"/>
        <w:spacing w:after="40"/>
        <w:ind w:left="360" w:hanging="187"/>
      </w:pPr>
      <w:r>
        <w:rPr>
          <w:rFonts w:ascii="Aptos" w:hAnsi="Aptos"/>
          <w:color w:val="1F252B"/>
        </w:rPr>
        <w:t>Every substantive page has an author or accountable reviewer, publication date and review date.</w:t>
      </w:r>
    </w:p>
    <w:p>
      <w:pPr>
        <w:pStyle w:val="ListBullet"/>
        <w:spacing w:after="40"/>
        <w:ind w:left="360" w:hanging="187"/>
      </w:pPr>
      <w:r>
        <w:rPr>
          <w:rFonts w:ascii="Aptos" w:hAnsi="Aptos"/>
          <w:color w:val="1F252B"/>
        </w:rPr>
        <w:t>Firm pages state whether information is public, firm-provided, advisor-reported or VYNE analysis.</w:t>
      </w:r>
    </w:p>
    <w:p>
      <w:pPr>
        <w:pStyle w:val="ListBullet"/>
        <w:spacing w:after="40"/>
        <w:ind w:left="360" w:hanging="187"/>
      </w:pPr>
      <w:r>
        <w:rPr>
          <w:rFonts w:ascii="Aptos" w:hAnsi="Aptos"/>
          <w:color w:val="1F252B"/>
        </w:rPr>
        <w:t>Compensation ranges are dated and never presented as guaranteed.</w:t>
      </w:r>
    </w:p>
    <w:p>
      <w:pPr>
        <w:pStyle w:val="ListBullet"/>
        <w:spacing w:after="40"/>
        <w:ind w:left="360" w:hanging="187"/>
      </w:pPr>
      <w:r>
        <w:rPr>
          <w:rFonts w:ascii="Aptos" w:hAnsi="Aptos"/>
          <w:color w:val="1F252B"/>
        </w:rPr>
        <w:t>Articles distinguish facts, assumptions and VYNE opinion.</w:t>
      </w:r>
    </w:p>
    <w:p>
      <w:pPr>
        <w:pStyle w:val="ListBullet"/>
        <w:spacing w:after="40"/>
        <w:ind w:left="360" w:hanging="187"/>
      </w:pPr>
      <w:r>
        <w:rPr>
          <w:rFonts w:ascii="Aptos" w:hAnsi="Aptos"/>
          <w:color w:val="1F252B"/>
        </w:rPr>
        <w:t>Corrections are logged and stale pages are reviewed or removed.</w:t>
      </w:r>
    </w:p>
    <w:p>
      <w:pPr>
        <w:pStyle w:val="ListBullet"/>
        <w:spacing w:after="40"/>
        <w:ind w:left="360" w:hanging="187"/>
      </w:pPr>
      <w:r>
        <w:rPr>
          <w:rFonts w:ascii="Aptos" w:hAnsi="Aptos"/>
          <w:color w:val="1F252B"/>
        </w:rPr>
        <w:t>Content includes reasons an advisor may stay, not only reasons to move.</w:t>
      </w:r>
    </w:p>
    <w:p>
      <w:r>
        <w:br w:type="page"/>
      </w:r>
    </w:p>
    <w:p>
      <w:pPr>
        <w:pStyle w:val="Heading1"/>
        <w:pBdr>
          <w:bottom w:val="single" w:sz="7" w:space="4" w:color="D5DBE3"/>
        </w:pBdr>
      </w:pPr>
      <w:r>
        <w:t>04  Progressive trust and conversion funnel</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2541"/>
        <w:gridCol w:w="2541"/>
        <w:gridCol w:w="2541"/>
        <w:gridCol w:w="2541"/>
      </w:tblGrid>
      <w:tr>
        <w:trPr>
          <w:tblHeader w:val="true"/>
        </w:trPr>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Stage</w:t>
            </w:r>
          </w:p>
        </w:tc>
        <w:tc>
          <w:tcPr>
            <w:tcW w:type="dxa" w:w="3024"/>
            <w:shd w:fill="1C3857"/>
            <w:vAlign w:val="center"/>
            <w:tcMar>
              <w:top w:w="90" w:type="dxa"/>
              <w:start w:w="100" w:type="dxa"/>
              <w:bottom w:w="90" w:type="dxa"/>
              <w:end w:w="100" w:type="dxa"/>
            </w:tcMar>
          </w:tcPr>
          <w:p>
            <w:pPr>
              <w:spacing w:after="0" w:before="0"/>
            </w:pPr>
            <w:r/>
            <w:r>
              <w:rPr>
                <w:rFonts w:ascii="Aptos" w:hAnsi="Aptos"/>
                <w:b/>
                <w:color w:val="FFFFFF"/>
                <w:sz w:val="16"/>
              </w:rPr>
              <w:t>Experience</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Information requested</w:t>
            </w:r>
          </w:p>
        </w:tc>
        <w:tc>
          <w:tcPr>
            <w:tcW w:type="dxa" w:w="2016"/>
            <w:shd w:fill="1C3857"/>
            <w:vAlign w:val="center"/>
            <w:tcMar>
              <w:top w:w="90" w:type="dxa"/>
              <w:start w:w="100" w:type="dxa"/>
              <w:bottom w:w="90" w:type="dxa"/>
              <w:end w:w="100" w:type="dxa"/>
            </w:tcMar>
          </w:tcPr>
          <w:p>
            <w:pPr>
              <w:spacing w:after="0" w:before="0"/>
            </w:pPr>
            <w:r/>
            <w:r>
              <w:rPr>
                <w:rFonts w:ascii="Aptos" w:hAnsi="Aptos"/>
                <w:b/>
                <w:color w:val="FFFFFF"/>
                <w:sz w:val="16"/>
              </w:rPr>
              <w:t>Primary CTA</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1 - Anonymous research</w:t>
            </w:r>
          </w:p>
        </w:tc>
        <w:tc>
          <w:tcPr>
            <w:tcW w:type="dxa" w:w="3024"/>
            <w:vAlign w:val="center"/>
            <w:tcMar>
              <w:top w:w="90" w:type="dxa"/>
              <w:start w:w="100" w:type="dxa"/>
              <w:bottom w:w="90" w:type="dxa"/>
              <w:end w:w="100" w:type="dxa"/>
            </w:tcMar>
          </w:tcPr>
          <w:p>
            <w:pPr>
              <w:spacing w:after="0" w:before="0"/>
            </w:pPr>
            <w:r/>
            <w:r>
              <w:rPr>
                <w:rFonts w:ascii="Aptos" w:hAnsi="Aptos"/>
                <w:b w:val="0"/>
                <w:color w:val="1F252B"/>
                <w:sz w:val="14"/>
              </w:rPr>
              <w:t>Articles, framework, high-level firm/model pages</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4"/>
              </w:rPr>
              <w:t>None</w:t>
            </w:r>
          </w:p>
        </w:tc>
        <w:tc>
          <w:tcPr>
            <w:tcW w:type="dxa" w:w="2016"/>
            <w:vAlign w:val="center"/>
            <w:tcMar>
              <w:top w:w="90" w:type="dxa"/>
              <w:start w:w="100" w:type="dxa"/>
              <w:bottom w:w="90" w:type="dxa"/>
              <w:end w:w="100" w:type="dxa"/>
            </w:tcMar>
          </w:tcPr>
          <w:p>
            <w:pPr>
              <w:spacing w:after="0" w:before="0"/>
            </w:pPr>
            <w:r/>
            <w:r>
              <w:rPr>
                <w:rFonts w:ascii="Aptos" w:hAnsi="Aptos"/>
                <w:b w:val="0"/>
                <w:color w:val="1F252B"/>
                <w:sz w:val="14"/>
              </w:rPr>
              <w:t>Read the eight questions</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2 - Subscriber</w:t>
            </w:r>
          </w:p>
        </w:tc>
        <w:tc>
          <w:tcPr>
            <w:tcW w:type="dxa" w:w="3024"/>
            <w:shd w:fill="F7F8FA"/>
            <w:vAlign w:val="center"/>
            <w:tcMar>
              <w:top w:w="90" w:type="dxa"/>
              <w:start w:w="100" w:type="dxa"/>
              <w:bottom w:w="90" w:type="dxa"/>
              <w:end w:w="100" w:type="dxa"/>
            </w:tcMar>
          </w:tcPr>
          <w:p>
            <w:pPr>
              <w:spacing w:after="0" w:before="0"/>
            </w:pPr>
            <w:r/>
            <w:r>
              <w:rPr>
                <w:rFonts w:ascii="Aptos" w:hAnsi="Aptos"/>
                <w:b w:val="0"/>
                <w:color w:val="1F252B"/>
                <w:sz w:val="14"/>
              </w:rPr>
              <w:t>Monthly report and topic alerts</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4"/>
              </w:rPr>
              <w:t>Name, email, interest</w:t>
            </w:r>
          </w:p>
        </w:tc>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4"/>
              </w:rPr>
              <w:t>Subscribe</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3 - Self-assessment</w:t>
            </w:r>
          </w:p>
        </w:tc>
        <w:tc>
          <w:tcPr>
            <w:tcW w:type="dxa" w:w="3024"/>
            <w:vAlign w:val="center"/>
            <w:tcMar>
              <w:top w:w="90" w:type="dxa"/>
              <w:start w:w="100" w:type="dxa"/>
              <w:bottom w:w="90" w:type="dxa"/>
              <w:end w:w="100" w:type="dxa"/>
            </w:tcMar>
          </w:tcPr>
          <w:p>
            <w:pPr>
              <w:spacing w:after="0" w:before="0"/>
            </w:pPr>
            <w:r/>
            <w:r>
              <w:rPr>
                <w:rFonts w:ascii="Aptos" w:hAnsi="Aptos"/>
                <w:b w:val="0"/>
                <w:color w:val="1F252B"/>
                <w:sz w:val="14"/>
              </w:rPr>
              <w:t>Interactive questions and personalized result</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4"/>
              </w:rPr>
              <w:t>Firm, role, production/AUM ranges, timing</w:t>
            </w:r>
          </w:p>
        </w:tc>
        <w:tc>
          <w:tcPr>
            <w:tcW w:type="dxa" w:w="2016"/>
            <w:vAlign w:val="center"/>
            <w:tcMar>
              <w:top w:w="90" w:type="dxa"/>
              <w:start w:w="100" w:type="dxa"/>
              <w:bottom w:w="90" w:type="dxa"/>
              <w:end w:w="100" w:type="dxa"/>
            </w:tcMar>
          </w:tcPr>
          <w:p>
            <w:pPr>
              <w:spacing w:after="0" w:before="0"/>
            </w:pPr>
            <w:r/>
            <w:r>
              <w:rPr>
                <w:rFonts w:ascii="Aptos" w:hAnsi="Aptos"/>
                <w:b w:val="0"/>
                <w:color w:val="1F252B"/>
                <w:sz w:val="14"/>
              </w:rPr>
              <w:t>View my result</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4 - Verified advisor</w:t>
            </w:r>
          </w:p>
        </w:tc>
        <w:tc>
          <w:tcPr>
            <w:tcW w:type="dxa" w:w="3024"/>
            <w:shd w:fill="F7F8FA"/>
            <w:vAlign w:val="center"/>
            <w:tcMar>
              <w:top w:w="90" w:type="dxa"/>
              <w:start w:w="100" w:type="dxa"/>
              <w:bottom w:w="90" w:type="dxa"/>
              <w:end w:w="100" w:type="dxa"/>
            </w:tcMar>
          </w:tcPr>
          <w:p>
            <w:pPr>
              <w:spacing w:after="0" w:before="0"/>
            </w:pPr>
            <w:r/>
            <w:r>
              <w:rPr>
                <w:rFonts w:ascii="Aptos" w:hAnsi="Aptos"/>
                <w:b w:val="0"/>
                <w:color w:val="1F252B"/>
                <w:sz w:val="14"/>
              </w:rPr>
              <w:t>Deeper research and private request tools</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4"/>
              </w:rPr>
              <w:t>CRD, current firm, professional email, profile</w:t>
            </w:r>
          </w:p>
        </w:tc>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4"/>
              </w:rPr>
              <w:t>Request access/review</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5 - Confidential conversation</w:t>
            </w:r>
          </w:p>
        </w:tc>
        <w:tc>
          <w:tcPr>
            <w:tcW w:type="dxa" w:w="3024"/>
            <w:vAlign w:val="center"/>
            <w:tcMar>
              <w:top w:w="90" w:type="dxa"/>
              <w:start w:w="100" w:type="dxa"/>
              <w:bottom w:w="90" w:type="dxa"/>
              <w:end w:w="100" w:type="dxa"/>
            </w:tcMar>
          </w:tcPr>
          <w:p>
            <w:pPr>
              <w:spacing w:after="0" w:before="0"/>
            </w:pPr>
            <w:r/>
            <w:r>
              <w:rPr>
                <w:rFonts w:ascii="Aptos" w:hAnsi="Aptos"/>
                <w:b w:val="0"/>
                <w:color w:val="1F252B"/>
                <w:sz w:val="14"/>
              </w:rPr>
              <w:t>VYNE introduction and qualification</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4"/>
              </w:rPr>
              <w:t>Contact, context, scheduling</w:t>
            </w:r>
          </w:p>
        </w:tc>
        <w:tc>
          <w:tcPr>
            <w:tcW w:type="dxa" w:w="2016"/>
            <w:vAlign w:val="center"/>
            <w:tcMar>
              <w:top w:w="90" w:type="dxa"/>
              <w:start w:w="100" w:type="dxa"/>
              <w:bottom w:w="90" w:type="dxa"/>
              <w:end w:w="100" w:type="dxa"/>
            </w:tcMar>
          </w:tcPr>
          <w:p>
            <w:pPr>
              <w:spacing w:after="0" w:before="0"/>
            </w:pPr>
            <w:r/>
            <w:r>
              <w:rPr>
                <w:rFonts w:ascii="Aptos" w:hAnsi="Aptos"/>
                <w:b w:val="0"/>
                <w:color w:val="1F252B"/>
                <w:sz w:val="14"/>
              </w:rPr>
              <w:t>Start conversation</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6 - Active case</w:t>
            </w:r>
          </w:p>
        </w:tc>
        <w:tc>
          <w:tcPr>
            <w:tcW w:type="dxa" w:w="3024"/>
            <w:shd w:fill="F7F8FA"/>
            <w:vAlign w:val="center"/>
            <w:tcMar>
              <w:top w:w="90" w:type="dxa"/>
              <w:start w:w="100" w:type="dxa"/>
              <w:bottom w:w="90" w:type="dxa"/>
              <w:end w:w="100" w:type="dxa"/>
            </w:tcMar>
          </w:tcPr>
          <w:p>
            <w:pPr>
              <w:spacing w:after="0" w:before="0"/>
            </w:pPr>
            <w:r/>
            <w:r>
              <w:rPr>
                <w:rFonts w:ascii="Aptos" w:hAnsi="Aptos"/>
                <w:b w:val="0"/>
                <w:color w:val="1F252B"/>
                <w:sz w:val="14"/>
              </w:rPr>
              <w:t>Secure uploads and custom analysis</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4"/>
              </w:rPr>
              <w:t>Tiered documents and data</w:t>
            </w:r>
          </w:p>
        </w:tc>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4"/>
              </w:rPr>
              <w:t>Continue advisory process</w:t>
            </w:r>
          </w:p>
        </w:tc>
      </w:tr>
    </w:tbl>
    <w:p>
      <w:pPr>
        <w:spacing w:after="0"/>
      </w:pPr>
    </w:p>
    <w:p>
      <w:pPr>
        <w:pStyle w:val="Heading2"/>
      </w:pPr>
      <w:r>
        <w:t>Why not ask for everything immediately</w:t>
      </w:r>
    </w:p>
    <w:p>
      <w:pPr>
        <w:keepLines w:val="0"/>
      </w:pPr>
      <w:r>
        <w:rPr>
          <w:rFonts w:ascii="Aptos" w:hAnsi="Aptos"/>
          <w:i w:val="0"/>
          <w:color w:val="1F252B"/>
        </w:rPr>
        <w:t>A CRD, T12 and AUM form can verify seriousness, but it also raises the psychological cost of engagement. VYNE should use it only when the advisor requests proprietary analysis or deeper firm intelligence. Newsletter signup should remain low-friction. Progressive profiling allows VYNE to gather richer data after trust and intent increase.</w:t>
      </w:r>
    </w:p>
    <w:p>
      <w:pPr>
        <w:pStyle w:val="Heading2"/>
      </w:pPr>
      <w:r>
        <w:t>Conversion principles</w:t>
      </w:r>
    </w:p>
    <w:p>
      <w:pPr>
        <w:pStyle w:val="ListBullet"/>
        <w:spacing w:after="40"/>
        <w:ind w:left="360" w:hanging="187"/>
      </w:pPr>
      <w:r>
        <w:rPr>
          <w:rFonts w:ascii="Aptos" w:hAnsi="Aptos"/>
          <w:color w:val="1F252B"/>
        </w:rPr>
        <w:t>One dominant CTA per page.</w:t>
      </w:r>
    </w:p>
    <w:p>
      <w:pPr>
        <w:pStyle w:val="ListBullet"/>
        <w:spacing w:after="40"/>
        <w:ind w:left="360" w:hanging="187"/>
      </w:pPr>
      <w:r>
        <w:rPr>
          <w:rFonts w:ascii="Aptos" w:hAnsi="Aptos"/>
          <w:color w:val="1F252B"/>
        </w:rPr>
        <w:t>No automatic firm contact after a content download or newsletter signup.</w:t>
      </w:r>
    </w:p>
    <w:p>
      <w:pPr>
        <w:pStyle w:val="ListBullet"/>
        <w:spacing w:after="40"/>
        <w:ind w:left="360" w:hanging="187"/>
      </w:pPr>
      <w:r>
        <w:rPr>
          <w:rFonts w:ascii="Aptos" w:hAnsi="Aptos"/>
          <w:color w:val="1F252B"/>
        </w:rPr>
        <w:t>Clear statement that advisor information will not be shared without approval.</w:t>
      </w:r>
    </w:p>
    <w:p>
      <w:pPr>
        <w:pStyle w:val="ListBullet"/>
        <w:spacing w:after="40"/>
        <w:ind w:left="360" w:hanging="187"/>
      </w:pPr>
      <w:r>
        <w:rPr>
          <w:rFonts w:ascii="Aptos" w:hAnsi="Aptos"/>
          <w:color w:val="1F252B"/>
        </w:rPr>
        <w:t>Results should be useful without pretending to replace a full consultation.</w:t>
      </w:r>
    </w:p>
    <w:p>
      <w:pPr>
        <w:pStyle w:val="ListBullet"/>
        <w:spacing w:after="40"/>
        <w:ind w:left="360" w:hanging="187"/>
      </w:pPr>
      <w:r>
        <w:rPr>
          <w:rFonts w:ascii="Aptos" w:hAnsi="Aptos"/>
          <w:color w:val="1F252B"/>
        </w:rPr>
        <w:t>High-intent forms should explain why every sensitive field is requested.</w:t>
      </w:r>
    </w:p>
    <w:p>
      <w:pPr>
        <w:pStyle w:val="ListBullet"/>
        <w:spacing w:after="40"/>
        <w:ind w:left="360" w:hanging="187"/>
      </w:pPr>
      <w:r>
        <w:rPr>
          <w:rFonts w:ascii="Aptos" w:hAnsi="Aptos"/>
          <w:color w:val="1F252B"/>
        </w:rPr>
        <w:t>Form completion should route to a specific workflow, not a generic inbox.</w:t>
      </w:r>
    </w:p>
    <w:p>
      <w:r>
        <w:br w:type="page"/>
      </w:r>
    </w:p>
    <w:p>
      <w:pPr>
        <w:pStyle w:val="Heading1"/>
        <w:pBdr>
          <w:bottom w:val="single" w:sz="7" w:space="4" w:color="D5DBE3"/>
        </w:pBdr>
      </w:pPr>
      <w:r>
        <w:t>05  Website information architecture</w:t>
      </w:r>
    </w:p>
    <w:p>
      <w:pPr>
        <w:pStyle w:val="Heading2"/>
      </w:pPr>
      <w:r>
        <w:t>Launch navigation</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Primary navigation</w:t>
            </w:r>
          </w:p>
        </w:tc>
        <w:tc>
          <w:tcPr>
            <w:tcW w:type="dxa" w:w="7776"/>
            <w:shd w:fill="1C3857"/>
            <w:vAlign w:val="center"/>
            <w:tcMar>
              <w:top w:w="90" w:type="dxa"/>
              <w:start w:w="100" w:type="dxa"/>
              <w:bottom w:w="90" w:type="dxa"/>
              <w:end w:w="100" w:type="dxa"/>
            </w:tcMar>
          </w:tcPr>
          <w:p>
            <w:pPr>
              <w:spacing w:after="0" w:before="0"/>
            </w:pPr>
            <w:r/>
            <w:r>
              <w:rPr>
                <w:rFonts w:ascii="Aptos" w:hAnsi="Aptos"/>
                <w:b/>
                <w:color w:val="FFFFFF"/>
                <w:sz w:val="16"/>
              </w:rPr>
              <w:t>Core pages</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6"/>
              </w:rPr>
              <w:t>Why VYNE</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6"/>
              </w:rPr>
              <w:t>About, philosophy, confidentiality, how VYNE is paid</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6"/>
              </w:rPr>
              <w:t>The Framework</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6"/>
              </w:rPr>
              <w:t>Vision, Your Objectives, Navigate, Enterprise Economics</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6"/>
              </w:rPr>
              <w:t>Explore</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6"/>
              </w:rPr>
              <w:t>Stay or Move, Firm Models, Firm Research, Offer Review, Portability, Succession</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6"/>
              </w:rPr>
              <w:t>Insights</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6"/>
              </w:rPr>
              <w:t>Articles, reports, cases, newsletter archive</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6"/>
              </w:rPr>
              <w:t>For Advisors</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6"/>
              </w:rPr>
              <w:t>Established advisors, teams, next generation, succession</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6"/>
              </w:rPr>
              <w:t>Start</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6"/>
              </w:rPr>
              <w:t>Eight Questions, Subscribe, Confidential Conversation</w:t>
            </w:r>
          </w:p>
        </w:tc>
      </w:tr>
    </w:tbl>
    <w:p>
      <w:pPr>
        <w:spacing w:after="0"/>
      </w:pPr>
    </w:p>
    <w:p>
      <w:pPr>
        <w:pStyle w:val="Heading2"/>
      </w:pPr>
      <w:r>
        <w:t>Launch page list</w:t>
      </w:r>
    </w:p>
    <w:p>
      <w:pPr>
        <w:pStyle w:val="ListBullet"/>
        <w:spacing w:after="40"/>
        <w:ind w:left="360" w:hanging="187"/>
      </w:pPr>
      <w:r>
        <w:rPr>
          <w:rFonts w:ascii="Aptos" w:hAnsi="Aptos"/>
          <w:color w:val="1F252B"/>
        </w:rPr>
        <w:t>Homepage</w:t>
      </w:r>
    </w:p>
    <w:p>
      <w:pPr>
        <w:pStyle w:val="ListBullet"/>
        <w:spacing w:after="40"/>
        <w:ind w:left="360" w:hanging="187"/>
      </w:pPr>
      <w:r>
        <w:rPr>
          <w:rFonts w:ascii="Aptos" w:hAnsi="Aptos"/>
          <w:color w:val="1F252B"/>
        </w:rPr>
        <w:t>Why VYNE / About</w:t>
      </w:r>
    </w:p>
    <w:p>
      <w:pPr>
        <w:pStyle w:val="ListBullet"/>
        <w:spacing w:after="40"/>
        <w:ind w:left="360" w:hanging="187"/>
      </w:pPr>
      <w:r>
        <w:rPr>
          <w:rFonts w:ascii="Aptos" w:hAnsi="Aptos"/>
          <w:color w:val="1F252B"/>
        </w:rPr>
        <w:t>The VYNE Advisory Framework</w:t>
      </w:r>
    </w:p>
    <w:p>
      <w:pPr>
        <w:pStyle w:val="ListBullet"/>
        <w:spacing w:after="40"/>
        <w:ind w:left="360" w:hanging="187"/>
      </w:pPr>
      <w:r>
        <w:rPr>
          <w:rFonts w:ascii="Aptos" w:hAnsi="Aptos"/>
          <w:color w:val="1F252B"/>
        </w:rPr>
        <w:t>The Advisor Journey</w:t>
      </w:r>
    </w:p>
    <w:p>
      <w:pPr>
        <w:pStyle w:val="ListBullet"/>
        <w:spacing w:after="40"/>
        <w:ind w:left="360" w:hanging="187"/>
      </w:pPr>
      <w:r>
        <w:rPr>
          <w:rFonts w:ascii="Aptos" w:hAnsi="Aptos"/>
          <w:color w:val="1F252B"/>
        </w:rPr>
        <w:t>Eight Questions Advisors Should Ask</w:t>
      </w:r>
    </w:p>
    <w:p>
      <w:pPr>
        <w:pStyle w:val="ListBullet"/>
        <w:spacing w:after="40"/>
        <w:ind w:left="360" w:hanging="187"/>
      </w:pPr>
      <w:r>
        <w:rPr>
          <w:rFonts w:ascii="Aptos" w:hAnsi="Aptos"/>
          <w:color w:val="1F252B"/>
        </w:rPr>
        <w:t>Should I Stay or Change Firms?</w:t>
      </w:r>
    </w:p>
    <w:p>
      <w:pPr>
        <w:pStyle w:val="ListBullet"/>
        <w:spacing w:after="40"/>
        <w:ind w:left="360" w:hanging="187"/>
      </w:pPr>
      <w:r>
        <w:rPr>
          <w:rFonts w:ascii="Aptos" w:hAnsi="Aptos"/>
          <w:color w:val="1F252B"/>
        </w:rPr>
        <w:t>How Recruiting Offers Work</w:t>
      </w:r>
    </w:p>
    <w:p>
      <w:pPr>
        <w:pStyle w:val="ListBullet"/>
        <w:spacing w:after="40"/>
        <w:ind w:left="360" w:hanging="187"/>
      </w:pPr>
      <w:r>
        <w:rPr>
          <w:rFonts w:ascii="Aptos" w:hAnsi="Aptos"/>
          <w:color w:val="1F252B"/>
        </w:rPr>
        <w:t>Enterprise Economics</w:t>
      </w:r>
    </w:p>
    <w:p>
      <w:pPr>
        <w:pStyle w:val="ListBullet"/>
        <w:spacing w:after="40"/>
        <w:ind w:left="360" w:hanging="187"/>
      </w:pPr>
      <w:r>
        <w:rPr>
          <w:rFonts w:ascii="Aptos" w:hAnsi="Aptos"/>
          <w:color w:val="1F252B"/>
        </w:rPr>
        <w:t>What Do I Own?</w:t>
      </w:r>
    </w:p>
    <w:p>
      <w:pPr>
        <w:pStyle w:val="ListBullet"/>
        <w:spacing w:after="40"/>
        <w:ind w:left="360" w:hanging="187"/>
      </w:pPr>
      <w:r>
        <w:rPr>
          <w:rFonts w:ascii="Aptos" w:hAnsi="Aptos"/>
          <w:color w:val="1F252B"/>
        </w:rPr>
        <w:t>Advisor Portability</w:t>
      </w:r>
    </w:p>
    <w:p>
      <w:pPr>
        <w:pStyle w:val="ListBullet"/>
        <w:spacing w:after="40"/>
        <w:ind w:left="360" w:hanging="187"/>
      </w:pPr>
      <w:r>
        <w:rPr>
          <w:rFonts w:ascii="Aptos" w:hAnsi="Aptos"/>
          <w:color w:val="1F252B"/>
        </w:rPr>
        <w:t>Succession and Continuity</w:t>
      </w:r>
    </w:p>
    <w:p>
      <w:pPr>
        <w:pStyle w:val="ListBullet"/>
        <w:spacing w:after="40"/>
        <w:ind w:left="360" w:hanging="187"/>
      </w:pPr>
      <w:r>
        <w:rPr>
          <w:rFonts w:ascii="Aptos" w:hAnsi="Aptos"/>
          <w:color w:val="1F252B"/>
        </w:rPr>
        <w:t>Firm Models</w:t>
      </w:r>
    </w:p>
    <w:p>
      <w:pPr>
        <w:pStyle w:val="ListBullet"/>
        <w:spacing w:after="40"/>
        <w:ind w:left="360" w:hanging="187"/>
      </w:pPr>
      <w:r>
        <w:rPr>
          <w:rFonts w:ascii="Aptos" w:hAnsi="Aptos"/>
          <w:color w:val="1F252B"/>
        </w:rPr>
        <w:t>Insights hub</w:t>
      </w:r>
    </w:p>
    <w:p>
      <w:pPr>
        <w:pStyle w:val="ListBullet"/>
        <w:spacing w:after="40"/>
        <w:ind w:left="360" w:hanging="187"/>
      </w:pPr>
      <w:r>
        <w:rPr>
          <w:rFonts w:ascii="Aptos" w:hAnsi="Aptos"/>
          <w:color w:val="1F252B"/>
        </w:rPr>
        <w:t>FAQ</w:t>
      </w:r>
    </w:p>
    <w:p>
      <w:pPr>
        <w:pStyle w:val="ListBullet"/>
        <w:spacing w:after="40"/>
        <w:ind w:left="360" w:hanging="187"/>
      </w:pPr>
      <w:r>
        <w:rPr>
          <w:rFonts w:ascii="Aptos" w:hAnsi="Aptos"/>
          <w:color w:val="1F252B"/>
        </w:rPr>
        <w:t>Newsletter</w:t>
      </w:r>
    </w:p>
    <w:p>
      <w:pPr>
        <w:pStyle w:val="ListBullet"/>
        <w:spacing w:after="40"/>
        <w:ind w:left="360" w:hanging="187"/>
      </w:pPr>
      <w:r>
        <w:rPr>
          <w:rFonts w:ascii="Aptos" w:hAnsi="Aptos"/>
          <w:color w:val="1F252B"/>
        </w:rPr>
        <w:t>Start a Confidential Conversation</w:t>
      </w:r>
    </w:p>
    <w:p>
      <w:pPr>
        <w:pStyle w:val="ListBullet"/>
        <w:spacing w:after="40"/>
        <w:ind w:left="360" w:hanging="187"/>
      </w:pPr>
      <w:r>
        <w:rPr>
          <w:rFonts w:ascii="Aptos" w:hAnsi="Aptos"/>
          <w:color w:val="1F252B"/>
        </w:rPr>
        <w:t>Privacy, security and disclosures</w:t>
      </w:r>
    </w:p>
    <w:p>
      <w:pPr>
        <w:pStyle w:val="Heading2"/>
      </w:pPr>
      <w:r>
        <w:t>Public firm pages</w:t>
      </w:r>
    </w:p>
    <w:p>
      <w:pPr>
        <w:keepLines w:val="0"/>
      </w:pPr>
      <w:r>
        <w:rPr>
          <w:rFonts w:ascii="Aptos" w:hAnsi="Aptos"/>
          <w:i w:val="0"/>
          <w:color w:val="1F252B"/>
        </w:rPr>
        <w:t>Firm pages should begin as high-quality public profiles built from cited public sources, not as "inside dossiers." Public sections can cover business model, scale, custody/clearing, general platform, public leadership and questions to investigate. Deeper analysis should be available only after advisor verification or within an active case.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Public firm page</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Verified advisor layer</w:t>
            </w:r>
          </w:p>
        </w:tc>
        <w:tc>
          <w:tcPr>
            <w:tcW w:type="dxa" w:w="3456"/>
            <w:shd w:fill="1C3857"/>
            <w:vAlign w:val="center"/>
            <w:tcMar>
              <w:top w:w="90" w:type="dxa"/>
              <w:start w:w="100" w:type="dxa"/>
              <w:bottom w:w="90" w:type="dxa"/>
              <w:end w:w="100" w:type="dxa"/>
            </w:tcMar>
          </w:tcPr>
          <w:p>
            <w:pPr>
              <w:spacing w:after="0" w:before="0"/>
            </w:pPr>
            <w:r/>
            <w:r>
              <w:rPr>
                <w:rFonts w:ascii="Aptos" w:hAnsi="Aptos"/>
                <w:b/>
                <w:color w:val="FFFFFF"/>
                <w:sz w:val="16"/>
              </w:rPr>
              <w:t>Active case layer</w:t>
            </w:r>
          </w:p>
        </w:tc>
      </w:tr>
      <w:tr>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Public facts and sources</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Dated compensation context and due-diligence questions</w:t>
            </w:r>
          </w:p>
        </w:tc>
        <w:tc>
          <w:tcPr>
            <w:tcW w:type="dxa" w:w="3456"/>
            <w:vAlign w:val="center"/>
            <w:tcMar>
              <w:top w:w="90" w:type="dxa"/>
              <w:start w:w="100" w:type="dxa"/>
              <w:bottom w:w="90" w:type="dxa"/>
              <w:end w:w="100" w:type="dxa"/>
            </w:tcMar>
          </w:tcPr>
          <w:p>
            <w:pPr>
              <w:spacing w:after="0" w:before="0"/>
            </w:pPr>
            <w:r/>
            <w:r>
              <w:rPr>
                <w:rFonts w:ascii="Aptos" w:hAnsi="Aptos"/>
                <w:b w:val="0"/>
                <w:color w:val="1F252B"/>
                <w:sz w:val="15"/>
              </w:rPr>
              <w:t>Custom fit score against Objectives</w:t>
            </w:r>
          </w:p>
        </w:tc>
      </w:tr>
      <w:tr>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Business model overview</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Known strengths/tradeoffs with confidence labels</w:t>
            </w:r>
          </w:p>
        </w:tc>
        <w:tc>
          <w:tcPr>
            <w:tcW w:type="dxa" w:w="3456"/>
            <w:shd w:fill="F7F8FA"/>
            <w:vAlign w:val="center"/>
            <w:tcMar>
              <w:top w:w="90" w:type="dxa"/>
              <w:start w:w="100" w:type="dxa"/>
              <w:bottom w:w="90" w:type="dxa"/>
              <w:end w:w="100" w:type="dxa"/>
            </w:tcMar>
          </w:tcPr>
          <w:p>
            <w:pPr>
              <w:spacing w:after="0" w:before="0"/>
            </w:pPr>
            <w:r/>
            <w:r>
              <w:rPr>
                <w:rFonts w:ascii="Aptos" w:hAnsi="Aptos"/>
                <w:b w:val="0"/>
                <w:color w:val="1F252B"/>
                <w:sz w:val="15"/>
              </w:rPr>
              <w:t>Product/book compatibility</w:t>
            </w:r>
          </w:p>
        </w:tc>
      </w:tr>
      <w:tr>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Client capabilities</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Comparable model alternatives</w:t>
            </w:r>
          </w:p>
        </w:tc>
        <w:tc>
          <w:tcPr>
            <w:tcW w:type="dxa" w:w="3456"/>
            <w:vAlign w:val="center"/>
            <w:tcMar>
              <w:top w:w="90" w:type="dxa"/>
              <w:start w:w="100" w:type="dxa"/>
              <w:bottom w:w="90" w:type="dxa"/>
              <w:end w:w="100" w:type="dxa"/>
            </w:tcMar>
          </w:tcPr>
          <w:p>
            <w:pPr>
              <w:spacing w:after="0" w:before="0"/>
            </w:pPr>
            <w:r/>
            <w:r>
              <w:rPr>
                <w:rFonts w:ascii="Aptos" w:hAnsi="Aptos"/>
                <w:b w:val="0"/>
                <w:color w:val="1F252B"/>
                <w:sz w:val="15"/>
              </w:rPr>
              <w:t>Proposal and long-term economics</w:t>
            </w:r>
          </w:p>
        </w:tc>
      </w:tr>
      <w:tr>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Public news and changes</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Request a confidential briefing</w:t>
            </w:r>
          </w:p>
        </w:tc>
        <w:tc>
          <w:tcPr>
            <w:tcW w:type="dxa" w:w="3456"/>
            <w:shd w:fill="F7F8FA"/>
            <w:vAlign w:val="center"/>
            <w:tcMar>
              <w:top w:w="90" w:type="dxa"/>
              <w:start w:w="100" w:type="dxa"/>
              <w:bottom w:w="90" w:type="dxa"/>
              <w:end w:w="100" w:type="dxa"/>
            </w:tcMar>
          </w:tcPr>
          <w:p>
            <w:pPr>
              <w:spacing w:after="0" w:before="0"/>
            </w:pPr>
            <w:r/>
            <w:r>
              <w:rPr>
                <w:rFonts w:ascii="Aptos" w:hAnsi="Aptos"/>
                <w:b w:val="0"/>
                <w:color w:val="1F252B"/>
                <w:sz w:val="15"/>
              </w:rPr>
              <w:t>Firm-specific open-issues tracker</w:t>
            </w:r>
          </w:p>
        </w:tc>
      </w:tr>
    </w:tbl>
    <w:p>
      <w:pPr>
        <w:spacing w:after="0"/>
      </w:pPr>
    </w:p>
    <w:p>
      <w:pPr>
        <w:pStyle w:val="Heading1"/>
        <w:pBdr>
          <w:bottom w:val="single" w:sz="7" w:space="4" w:color="D5DBE3"/>
        </w:pBdr>
      </w:pPr>
      <w:r>
        <w:t>06  Interactive tools and verified access</w:t>
      </w:r>
    </w:p>
    <w:p>
      <w:pPr>
        <w:pStyle w:val="Heading2"/>
      </w:pPr>
      <w:r>
        <w:t>Launch tools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2541"/>
        <w:gridCol w:w="2541"/>
        <w:gridCol w:w="2541"/>
        <w:gridCol w:w="2541"/>
      </w:tblGrid>
      <w:tr>
        <w:trPr>
          <w:tblHeader w:val="true"/>
        </w:trPr>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Tool</w:t>
            </w:r>
          </w:p>
        </w:tc>
        <w:tc>
          <w:tcPr>
            <w:tcW w:type="dxa" w:w="3168"/>
            <w:shd w:fill="1C3857"/>
            <w:vAlign w:val="center"/>
            <w:tcMar>
              <w:top w:w="90" w:type="dxa"/>
              <w:start w:w="100" w:type="dxa"/>
              <w:bottom w:w="90" w:type="dxa"/>
              <w:end w:w="100" w:type="dxa"/>
            </w:tcMar>
          </w:tcPr>
          <w:p>
            <w:pPr>
              <w:spacing w:after="0" w:before="0"/>
            </w:pPr>
            <w:r/>
            <w:r>
              <w:rPr>
                <w:rFonts w:ascii="Aptos" w:hAnsi="Aptos"/>
                <w:b/>
                <w:color w:val="FFFFFF"/>
                <w:sz w:val="16"/>
              </w:rPr>
              <w:t>Public promise</w:t>
            </w:r>
          </w:p>
        </w:tc>
        <w:tc>
          <w:tcPr>
            <w:tcW w:type="dxa" w:w="2880"/>
            <w:shd w:fill="1C3857"/>
            <w:vAlign w:val="center"/>
            <w:tcMar>
              <w:top w:w="90" w:type="dxa"/>
              <w:start w:w="100" w:type="dxa"/>
              <w:bottom w:w="90" w:type="dxa"/>
              <w:end w:w="100" w:type="dxa"/>
            </w:tcMar>
          </w:tcPr>
          <w:p>
            <w:pPr>
              <w:spacing w:after="0" w:before="0"/>
            </w:pPr>
            <w:r/>
            <w:r>
              <w:rPr>
                <w:rFonts w:ascii="Aptos" w:hAnsi="Aptos"/>
                <w:b/>
                <w:color w:val="FFFFFF"/>
                <w:sz w:val="16"/>
              </w:rPr>
              <w:t>Data captured</w:t>
            </w:r>
          </w:p>
        </w:tc>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Next step</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4"/>
              </w:rPr>
              <w:t>Eight VYNE Questions</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Clarify what should be evaluated before a move</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4"/>
              </w:rPr>
              <w:t>Firm, role, ranges, priorities, timing</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Personalized result and optional call</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4"/>
              </w:rPr>
              <w:t>Stay / Strengthen / Prepare / Move</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Identify the likely stage of the decision</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4"/>
              </w:rPr>
              <w:t>Problems, internal attempts, readiness</w:t>
            </w:r>
          </w:p>
        </w:tc>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Relevant guide or conversation</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4"/>
              </w:rPr>
              <w:t>Enterprise Economics Check</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4"/>
              </w:rPr>
              <w:t>Reveal what is missing from the advisor's comparison</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4"/>
              </w:rPr>
              <w:t>Current model, offer status, ownership priorities</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Offer review request</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4"/>
              </w:rPr>
              <w:t>Succession Readiness</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4"/>
              </w:rPr>
              <w:t>Assess continuity and successor gaps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4"/>
              </w:rPr>
              <w:t>Age range, team, timeline, plan status</w:t>
            </w:r>
          </w:p>
        </w:tc>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Continuity conversation</w:t>
            </w:r>
          </w:p>
        </w:tc>
      </w:tr>
    </w:tbl>
    <w:p>
      <w:pPr>
        <w:spacing w:after="0"/>
      </w:pPr>
    </w:p>
    <w:p>
      <w:pPr>
        <w:pStyle w:val="Heading2"/>
      </w:pPr>
      <w:r>
        <w:t>High-intent tools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Request</w:t>
            </w:r>
          </w:p>
        </w:tc>
        <w:tc>
          <w:tcPr>
            <w:tcW w:type="dxa" w:w="3600"/>
            <w:shd w:fill="1C3857"/>
            <w:vAlign w:val="center"/>
            <w:tcMar>
              <w:top w:w="90" w:type="dxa"/>
              <w:start w:w="100" w:type="dxa"/>
              <w:bottom w:w="90" w:type="dxa"/>
              <w:end w:w="100" w:type="dxa"/>
            </w:tcMar>
          </w:tcPr>
          <w:p>
            <w:pPr>
              <w:spacing w:after="0" w:before="0"/>
            </w:pPr>
            <w:r/>
            <w:r>
              <w:rPr>
                <w:rFonts w:ascii="Aptos" w:hAnsi="Aptos"/>
                <w:b/>
                <w:color w:val="FFFFFF"/>
                <w:sz w:val="16"/>
              </w:rPr>
              <w:t>Verification</w:t>
            </w:r>
          </w:p>
        </w:tc>
        <w:tc>
          <w:tcPr>
            <w:tcW w:type="dxa" w:w="4176"/>
            <w:shd w:fill="1C3857"/>
            <w:vAlign w:val="center"/>
            <w:tcMar>
              <w:top w:w="90" w:type="dxa"/>
              <w:start w:w="100" w:type="dxa"/>
              <w:bottom w:w="90" w:type="dxa"/>
              <w:end w:w="100" w:type="dxa"/>
            </w:tcMar>
          </w:tcPr>
          <w:p>
            <w:pPr>
              <w:spacing w:after="0" w:before="0"/>
            </w:pPr>
            <w:r/>
            <w:r>
              <w:rPr>
                <w:rFonts w:ascii="Aptos" w:hAnsi="Aptos"/>
                <w:b/>
                <w:color w:val="FFFFFF"/>
                <w:sz w:val="16"/>
              </w:rPr>
              <w:t>VYNE response</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4"/>
              </w:rPr>
              <w:t>Review My Offer</w:t>
            </w:r>
          </w:p>
        </w:tc>
        <w:tc>
          <w:tcPr>
            <w:tcW w:type="dxa" w:w="3600"/>
            <w:vAlign w:val="center"/>
            <w:tcMar>
              <w:top w:w="90" w:type="dxa"/>
              <w:start w:w="100" w:type="dxa"/>
              <w:bottom w:w="90" w:type="dxa"/>
              <w:end w:w="100" w:type="dxa"/>
            </w:tcMar>
          </w:tcPr>
          <w:p>
            <w:pPr>
              <w:spacing w:after="0" w:before="0"/>
            </w:pPr>
            <w:r/>
            <w:r>
              <w:rPr>
                <w:rFonts w:ascii="Aptos" w:hAnsi="Aptos"/>
                <w:b w:val="0"/>
                <w:color w:val="1F252B"/>
                <w:sz w:val="14"/>
              </w:rPr>
              <w:t>CRD, firm, T12/AUM ranges, secure upload</w:t>
            </w:r>
          </w:p>
        </w:tc>
        <w:tc>
          <w:tcPr>
            <w:tcW w:type="dxa" w:w="4176"/>
            <w:vAlign w:val="center"/>
            <w:tcMar>
              <w:top w:w="90" w:type="dxa"/>
              <w:start w:w="100" w:type="dxa"/>
              <w:bottom w:w="90" w:type="dxa"/>
              <w:end w:w="100" w:type="dxa"/>
            </w:tcMar>
          </w:tcPr>
          <w:p>
            <w:pPr>
              <w:spacing w:after="0" w:before="0"/>
            </w:pPr>
            <w:r/>
            <w:r>
              <w:rPr>
                <w:rFonts w:ascii="Aptos" w:hAnsi="Aptos"/>
                <w:b w:val="0"/>
                <w:color w:val="1F252B"/>
                <w:sz w:val="14"/>
              </w:rPr>
              <w:t>Human-reviewed structure summary and consultation</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4"/>
              </w:rPr>
              <w:t>Compare Firms</w:t>
            </w:r>
          </w:p>
        </w:tc>
        <w:tc>
          <w:tcPr>
            <w:tcW w:type="dxa" w:w="3600"/>
            <w:shd w:fill="F7F8FA"/>
            <w:vAlign w:val="center"/>
            <w:tcMar>
              <w:top w:w="90" w:type="dxa"/>
              <w:start w:w="100" w:type="dxa"/>
              <w:bottom w:w="90" w:type="dxa"/>
              <w:end w:w="100" w:type="dxa"/>
            </w:tcMar>
          </w:tcPr>
          <w:p>
            <w:pPr>
              <w:spacing w:after="0" w:before="0"/>
            </w:pPr>
            <w:r/>
            <w:r>
              <w:rPr>
                <w:rFonts w:ascii="Aptos" w:hAnsi="Aptos"/>
                <w:b w:val="0"/>
                <w:color w:val="1F252B"/>
                <w:sz w:val="14"/>
              </w:rPr>
              <w:t>CRD, current firm, target firms, objectives</w:t>
            </w:r>
          </w:p>
        </w:tc>
        <w:tc>
          <w:tcPr>
            <w:tcW w:type="dxa" w:w="4176"/>
            <w:shd w:fill="F7F8FA"/>
            <w:vAlign w:val="center"/>
            <w:tcMar>
              <w:top w:w="90" w:type="dxa"/>
              <w:start w:w="100" w:type="dxa"/>
              <w:bottom w:w="90" w:type="dxa"/>
              <w:end w:w="100" w:type="dxa"/>
            </w:tcMar>
          </w:tcPr>
          <w:p>
            <w:pPr>
              <w:spacing w:after="0" w:before="0"/>
            </w:pPr>
            <w:r/>
            <w:r>
              <w:rPr>
                <w:rFonts w:ascii="Aptos" w:hAnsi="Aptos"/>
                <w:b w:val="0"/>
                <w:color w:val="1F252B"/>
                <w:sz w:val="14"/>
              </w:rPr>
              <w:t>Custom comparison scope and call</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4"/>
              </w:rPr>
              <w:t>Explore a Firm</w:t>
            </w:r>
          </w:p>
        </w:tc>
        <w:tc>
          <w:tcPr>
            <w:tcW w:type="dxa" w:w="3600"/>
            <w:vAlign w:val="center"/>
            <w:tcMar>
              <w:top w:w="90" w:type="dxa"/>
              <w:start w:w="100" w:type="dxa"/>
              <w:bottom w:w="90" w:type="dxa"/>
              <w:end w:w="100" w:type="dxa"/>
            </w:tcMar>
          </w:tcPr>
          <w:p>
            <w:pPr>
              <w:spacing w:after="0" w:before="0"/>
            </w:pPr>
            <w:r/>
            <w:r>
              <w:rPr>
                <w:rFonts w:ascii="Aptos" w:hAnsi="Aptos"/>
                <w:b w:val="0"/>
                <w:color w:val="1F252B"/>
                <w:sz w:val="14"/>
              </w:rPr>
              <w:t>CRD and professional profile</w:t>
            </w:r>
          </w:p>
        </w:tc>
        <w:tc>
          <w:tcPr>
            <w:tcW w:type="dxa" w:w="4176"/>
            <w:vAlign w:val="center"/>
            <w:tcMar>
              <w:top w:w="90" w:type="dxa"/>
              <w:start w:w="100" w:type="dxa"/>
              <w:bottom w:w="90" w:type="dxa"/>
              <w:end w:w="100" w:type="dxa"/>
            </w:tcMar>
          </w:tcPr>
          <w:p>
            <w:pPr>
              <w:spacing w:after="0" w:before="0"/>
            </w:pPr>
            <w:r/>
            <w:r>
              <w:rPr>
                <w:rFonts w:ascii="Aptos" w:hAnsi="Aptos"/>
                <w:b w:val="0"/>
                <w:color w:val="1F252B"/>
                <w:sz w:val="14"/>
              </w:rPr>
              <w:t>Private briefing request</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4"/>
              </w:rPr>
              <w:t>Assess My Portability</w:t>
            </w:r>
          </w:p>
        </w:tc>
        <w:tc>
          <w:tcPr>
            <w:tcW w:type="dxa" w:w="3600"/>
            <w:shd w:fill="F7F8FA"/>
            <w:vAlign w:val="center"/>
            <w:tcMar>
              <w:top w:w="90" w:type="dxa"/>
              <w:start w:w="100" w:type="dxa"/>
              <w:bottom w:w="90" w:type="dxa"/>
              <w:end w:w="100" w:type="dxa"/>
            </w:tcMar>
          </w:tcPr>
          <w:p>
            <w:pPr>
              <w:spacing w:after="0" w:before="0"/>
            </w:pPr>
            <w:r/>
            <w:r>
              <w:rPr>
                <w:rFonts w:ascii="Aptos" w:hAnsi="Aptos"/>
                <w:b w:val="0"/>
                <w:color w:val="1F252B"/>
                <w:sz w:val="14"/>
              </w:rPr>
              <w:t>Verified advisor plus readiness questionnaire</w:t>
            </w:r>
          </w:p>
        </w:tc>
        <w:tc>
          <w:tcPr>
            <w:tcW w:type="dxa" w:w="4176"/>
            <w:shd w:fill="F7F8FA"/>
            <w:vAlign w:val="center"/>
            <w:tcMar>
              <w:top w:w="90" w:type="dxa"/>
              <w:start w:w="100" w:type="dxa"/>
              <w:bottom w:w="90" w:type="dxa"/>
              <w:end w:w="100" w:type="dxa"/>
            </w:tcMar>
          </w:tcPr>
          <w:p>
            <w:pPr>
              <w:spacing w:after="0" w:before="0"/>
            </w:pPr>
            <w:r/>
            <w:r>
              <w:rPr>
                <w:rFonts w:ascii="Aptos" w:hAnsi="Aptos"/>
                <w:b w:val="0"/>
                <w:color w:val="1F252B"/>
                <w:sz w:val="14"/>
              </w:rPr>
              <w:t>Preliminary assessment; holdings upload only in active case</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4"/>
              </w:rPr>
              <w:t>Find a Successor / Team</w:t>
            </w:r>
          </w:p>
        </w:tc>
        <w:tc>
          <w:tcPr>
            <w:tcW w:type="dxa" w:w="3600"/>
            <w:vAlign w:val="center"/>
            <w:tcMar>
              <w:top w:w="90" w:type="dxa"/>
              <w:start w:w="100" w:type="dxa"/>
              <w:bottom w:w="90" w:type="dxa"/>
              <w:end w:w="100" w:type="dxa"/>
            </w:tcMar>
          </w:tcPr>
          <w:p>
            <w:pPr>
              <w:spacing w:after="0" w:before="0"/>
            </w:pPr>
            <w:r/>
            <w:r>
              <w:rPr>
                <w:rFonts w:ascii="Aptos" w:hAnsi="Aptos"/>
                <w:b w:val="0"/>
                <w:color w:val="1F252B"/>
                <w:sz w:val="14"/>
              </w:rPr>
              <w:t>Verified identity, location, goals and confidentiality terms</w:t>
            </w:r>
          </w:p>
        </w:tc>
        <w:tc>
          <w:tcPr>
            <w:tcW w:type="dxa" w:w="4176"/>
            <w:vAlign w:val="center"/>
            <w:tcMar>
              <w:top w:w="90" w:type="dxa"/>
              <w:start w:w="100" w:type="dxa"/>
              <w:bottom w:w="90" w:type="dxa"/>
              <w:end w:w="100" w:type="dxa"/>
            </w:tcMar>
          </w:tcPr>
          <w:p>
            <w:pPr>
              <w:spacing w:after="0" w:before="0"/>
            </w:pPr>
            <w:r/>
            <w:r>
              <w:rPr>
                <w:rFonts w:ascii="Aptos" w:hAnsi="Aptos"/>
                <w:b w:val="0"/>
                <w:color w:val="1F252B"/>
                <w:sz w:val="14"/>
              </w:rPr>
              <w:t>Concierge matching intake</w:t>
            </w:r>
          </w:p>
        </w:tc>
      </w:tr>
    </w:tbl>
    <w:p>
      <w:pPr>
        <w:spacing w:after="0"/>
      </w:pPr>
    </w:p>
    <w:p>
      <w:pPr>
        <w:pStyle w:val="Heading2"/>
      </w:pPr>
      <w:r>
        <w:t>CRD verification boundaries</w:t>
      </w:r>
    </w:p>
    <w:p>
      <w:pPr>
        <w:keepLines w:val="0"/>
      </w:pPr>
      <w:r>
        <w:rPr>
          <w:rFonts w:ascii="Aptos" w:hAnsi="Aptos"/>
          <w:i w:val="0"/>
          <w:color w:val="1F252B"/>
        </w:rPr>
        <w:t>A CRD can help confirm that a person is registered and associated with a firm. It does not prove the person controls a stated book, owns client relationships or is authorized to upload data. VYNE must treat production, AUM and book information as advisor-provided until independently documented.</w:t>
      </w:r>
    </w:p>
    <w:p>
      <w:pPr>
        <w:pStyle w:val="Heading2"/>
      </w:pPr>
      <w:r>
        <w:t>Portability intake sequence</w:t>
      </w:r>
    </w:p>
    <w:p>
      <w:pPr>
        <w:pStyle w:val="ListNumber"/>
        <w:spacing w:after="40"/>
        <w:ind w:left="360" w:hanging="187"/>
      </w:pPr>
      <w:r>
        <w:rPr>
          <w:rFonts w:ascii="Aptos" w:hAnsi="Aptos"/>
          <w:color w:val="1F252B"/>
        </w:rPr>
        <w:t>Step 1: self-reported readiness questionnaire.</w:t>
      </w:r>
    </w:p>
    <w:p>
      <w:pPr>
        <w:pStyle w:val="ListNumber"/>
        <w:spacing w:after="40"/>
        <w:ind w:left="360" w:hanging="187"/>
      </w:pPr>
      <w:r>
        <w:rPr>
          <w:rFonts w:ascii="Aptos" w:hAnsi="Aptos"/>
          <w:color w:val="1F252B"/>
        </w:rPr>
        <w:t>Step 2: aggregate book characteristics without client identifiers.</w:t>
      </w:r>
    </w:p>
    <w:p>
      <w:pPr>
        <w:pStyle w:val="ListNumber"/>
        <w:spacing w:after="40"/>
        <w:ind w:left="360" w:hanging="187"/>
      </w:pPr>
      <w:r>
        <w:rPr>
          <w:rFonts w:ascii="Aptos" w:hAnsi="Aptos"/>
          <w:color w:val="1F252B"/>
        </w:rPr>
        <w:t>Step 3: verified active case and secure de-identified account-level data.</w:t>
      </w:r>
    </w:p>
    <w:p>
      <w:pPr>
        <w:pStyle w:val="ListNumber"/>
        <w:spacing w:after="40"/>
        <w:ind w:left="360" w:hanging="187"/>
      </w:pPr>
      <w:r>
        <w:rPr>
          <w:rFonts w:ascii="Aptos" w:hAnsi="Aptos"/>
          <w:color w:val="1F252B"/>
        </w:rPr>
        <w:t>Step 4: firm-by-firm product and account mapping.</w:t>
      </w:r>
    </w:p>
    <w:p>
      <w:pPr>
        <w:pStyle w:val="ListNumber"/>
        <w:spacing w:after="40"/>
        <w:ind w:left="360" w:hanging="187"/>
      </w:pPr>
      <w:r>
        <w:rPr>
          <w:rFonts w:ascii="Aptos" w:hAnsi="Aptos"/>
          <w:color w:val="1F252B"/>
        </w:rPr>
        <w:t>Step 5: human review, assumptions and confidence range.</w:t>
      </w:r>
    </w:p>
    <w:p>
      <w:pPr>
        <w:pStyle w:val="ListNumber"/>
        <w:spacing w:after="40"/>
        <w:ind w:left="360" w:hanging="187"/>
      </w:pPr>
      <w:r>
        <w:rPr>
          <w:rFonts w:ascii="Aptos" w:hAnsi="Aptos"/>
          <w:color w:val="1F252B"/>
        </w:rPr>
        <w:t>Step 6: legal and firm confirmation before transition decisions.</w:t>
      </w:r>
    </w:p>
    <w:p>
      <w:r>
        <w:br w:type="page"/>
      </w:r>
    </w:p>
    <w:p>
      <w:pPr>
        <w:pStyle w:val="Heading1"/>
        <w:pBdr>
          <w:bottom w:val="single" w:sz="7" w:space="4" w:color="D5DBE3"/>
        </w:pBdr>
      </w:pPr>
      <w:r>
        <w:t>07  Content and AEO system</w:t>
      </w:r>
    </w:p>
    <w:p>
      <w:pPr>
        <w:pStyle w:val="Heading2"/>
      </w:pPr>
      <w:r>
        <w:t>What current search platforms say</w:t>
      </w:r>
    </w:p>
    <w:p>
      <w:pPr>
        <w:keepLines w:val="0"/>
      </w:pPr>
      <w:r>
        <w:rPr>
          <w:rFonts w:ascii="Aptos" w:hAnsi="Aptos"/>
          <w:i w:val="0"/>
          <w:color w:val="1F252B"/>
        </w:rPr>
        <w:t>Google states that its generative AI search features rely on core search and quality systems; the practical strategy remains clear technical structure and original, useful, people-first content rather than special AEO files or hacks. [1-3] OpenAI states that OAI-SearchBot is used to surface websites in ChatGPT search, and publishers can track ChatGPT referrals using the utm_source=chatgpt.com parameter. [4-5] Bing now reports citations, cited pages, grounding queries, intents and citation share in Webmaster Tools. [6-7]</w:t>
      </w:r>
    </w:p>
    <w:p>
      <w:pPr>
        <w:pStyle w:val="Heading2"/>
      </w:pPr>
      <w:r>
        <w:t>AEO content formula</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016"/>
            <w:shd w:fill="1C3857"/>
            <w:vAlign w:val="center"/>
            <w:tcMar>
              <w:top w:w="90" w:type="dxa"/>
              <w:start w:w="100" w:type="dxa"/>
              <w:bottom w:w="90" w:type="dxa"/>
              <w:end w:w="100" w:type="dxa"/>
            </w:tcMar>
          </w:tcPr>
          <w:p>
            <w:pPr>
              <w:spacing w:after="0" w:before="0"/>
            </w:pPr>
            <w:r/>
            <w:r>
              <w:rPr>
                <w:rFonts w:ascii="Aptos" w:hAnsi="Aptos"/>
                <w:b/>
                <w:color w:val="FFFFFF"/>
                <w:sz w:val="16"/>
              </w:rPr>
              <w:t>Component</w:t>
            </w:r>
          </w:p>
        </w:tc>
        <w:tc>
          <w:tcPr>
            <w:tcW w:type="dxa" w:w="8064"/>
            <w:shd w:fill="1C3857"/>
            <w:vAlign w:val="center"/>
            <w:tcMar>
              <w:top w:w="90" w:type="dxa"/>
              <w:start w:w="100" w:type="dxa"/>
              <w:bottom w:w="90" w:type="dxa"/>
              <w:end w:w="100" w:type="dxa"/>
            </w:tcMar>
          </w:tcPr>
          <w:p>
            <w:pPr>
              <w:spacing w:after="0" w:before="0"/>
            </w:pPr>
            <w:r/>
            <w:r>
              <w:rPr>
                <w:rFonts w:ascii="Aptos" w:hAnsi="Aptos"/>
                <w:b/>
                <w:color w:val="FFFFFF"/>
                <w:sz w:val="16"/>
              </w:rPr>
              <w:t>VYNE standard</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Direct answer</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Open with a clear 40-80 word answer to the actual advisor question.</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Decision framework</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Organize the answer through VYNE, ROOT, BRANCH or GROW only when it genuinely fits.</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Evidence</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Cite primary or recognized industry sources and date market claims.</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Original value</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Add scenario analysis, checklists, decision tables, calculations or VYNE data.</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Nuance</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State when staying may be better and what cannot be known from public information.</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Entity clarity</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Consistent company name, services, geography, authors and contact details.</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Internal pathways</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Link to the relevant assessment, firm/model page and confidential CTA.</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Refresh</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Review high-value pages quarterly or when material changes occur.</w:t>
            </w:r>
          </w:p>
        </w:tc>
      </w:tr>
    </w:tbl>
    <w:p>
      <w:pPr>
        <w:spacing w:after="0"/>
      </w:pPr>
    </w:p>
    <w:p>
      <w:pPr>
        <w:pStyle w:val="Heading2"/>
      </w:pPr>
      <w:r>
        <w:t>Cornerstone content clusters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016"/>
            <w:shd w:fill="1C3857"/>
            <w:vAlign w:val="center"/>
            <w:tcMar>
              <w:top w:w="90" w:type="dxa"/>
              <w:start w:w="100" w:type="dxa"/>
              <w:bottom w:w="90" w:type="dxa"/>
              <w:end w:w="100" w:type="dxa"/>
            </w:tcMar>
          </w:tcPr>
          <w:p>
            <w:pPr>
              <w:spacing w:after="0" w:before="0"/>
            </w:pPr>
            <w:r/>
            <w:r>
              <w:rPr>
                <w:rFonts w:ascii="Aptos" w:hAnsi="Aptos"/>
                <w:b/>
                <w:color w:val="FFFFFF"/>
                <w:sz w:val="16"/>
              </w:rPr>
              <w:t>VYNE pillar</w:t>
            </w:r>
          </w:p>
        </w:tc>
        <w:tc>
          <w:tcPr>
            <w:tcW w:type="dxa" w:w="8064"/>
            <w:shd w:fill="1C3857"/>
            <w:vAlign w:val="center"/>
            <w:tcMar>
              <w:top w:w="90" w:type="dxa"/>
              <w:start w:w="100" w:type="dxa"/>
              <w:bottom w:w="90" w:type="dxa"/>
              <w:end w:w="100" w:type="dxa"/>
            </w:tcMar>
          </w:tcPr>
          <w:p>
            <w:pPr>
              <w:spacing w:after="0" w:before="0"/>
            </w:pPr>
            <w:r/>
            <w:r>
              <w:rPr>
                <w:rFonts w:ascii="Aptos" w:hAnsi="Aptos"/>
                <w:b/>
                <w:color w:val="FFFFFF"/>
                <w:sz w:val="16"/>
              </w:rPr>
              <w:t>Cornerstone questions</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Vision</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When has an advisor outgrown a firm? What does a better practice look like? What will clients need next?</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Your Objectives</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What should be nonnegotiable? How should a team make the decision? When is staying correct?</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Navigate</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Wirehouse vs regional vs independent; how many firms; due diligence; book portability; joining a team.</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Enterprise Economics</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Recruiting deal structure; grids; deferred comp; equity; succession; cost of staying and moving.</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ROOT</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Team agreements, client ownership, operating-model problems and trajectory.</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BRANCH</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Business model, resources, autonomy, numbers, clients and horizon.</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GROW</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Post-transition growth, acquisition, successor development and enterprise value.</w:t>
            </w:r>
          </w:p>
        </w:tc>
      </w:tr>
    </w:tbl>
    <w:p>
      <w:pPr>
        <w:spacing w:after="0"/>
      </w:pPr>
    </w:p>
    <w:p>
      <w:pPr>
        <w:pStyle w:val="Heading2"/>
      </w:pPr>
      <w:r>
        <w:t>Content quality rule</w:t>
      </w:r>
    </w:p>
    <w:tbl>
      <w:tblPr>
        <w:tblW w:type="auto" w:w="0"/>
        <w:jc w:val="center"/>
        <w:tblLayout w:type="autofit"/>
        <w:tblLook w:firstColumn="1" w:firstRow="1" w:lastColumn="0" w:lastRow="0" w:noHBand="0" w:noVBand="1" w:val="04A0"/>
      </w:tblPr>
      <w:tblGrid>
        <w:gridCol w:w="10166"/>
      </w:tblGrid>
      <w:tr>
        <w:tc>
          <w:tcPr>
            <w:tcW w:type="dxa" w:w="10166"/>
            <w:shd w:fill="F4EFE3"/>
            <w:tcMar>
              <w:top w:w="130" w:type="dxa"/>
              <w:start w:w="160" w:type="dxa"/>
              <w:bottom w:w="130" w:type="dxa"/>
              <w:end w:w="160" w:type="dxa"/>
            </w:tcMar>
          </w:tcPr>
          <w:p>
            <w:pPr>
              <w:spacing w:after="60"/>
            </w:pPr>
            <w:r>
              <w:rPr>
                <w:rFonts w:ascii="Aptos" w:hAnsi="Aptos"/>
                <w:b/>
                <w:color w:val="12263F"/>
                <w:sz w:val="20"/>
              </w:rPr>
              <w:t>NO CONTENT FACTORY</w:t>
            </w:r>
          </w:p>
          <w:p>
            <w:pPr>
              <w:spacing w:after="0"/>
            </w:pPr>
            <w:r>
              <w:rPr>
                <w:rFonts w:ascii="Aptos" w:hAnsi="Aptos"/>
                <w:color w:val="1F252B"/>
                <w:sz w:val="19"/>
              </w:rPr>
              <w:t>AI may research, structure and draft, but VYNE should publish only content with a clear advisor question, original analysis, accountable review and useful evidence. Google explicitly warns that scaled AI content without added value can violate its spam policies. [8]</w:t>
            </w:r>
          </w:p>
        </w:tc>
      </w:tr>
    </w:tbl>
    <w:p>
      <w:pPr>
        <w:spacing w:after="0"/>
      </w:pPr>
    </w:p>
    <w:p>
      <w:pPr>
        <w:pStyle w:val="Heading2"/>
      </w:pPr>
      <w:r>
        <w:t>Technical foundation</w:t>
      </w:r>
    </w:p>
    <w:p>
      <w:pPr>
        <w:pStyle w:val="ListBullet"/>
        <w:spacing w:after="40"/>
        <w:ind w:left="360" w:hanging="187"/>
      </w:pPr>
      <w:r>
        <w:rPr>
          <w:rFonts w:ascii="Aptos" w:hAnsi="Aptos"/>
          <w:color w:val="1F252B"/>
        </w:rPr>
        <w:t>Fast, mobile-first, crawlable HTML pages with important content in text.</w:t>
      </w:r>
    </w:p>
    <w:p>
      <w:pPr>
        <w:pStyle w:val="ListBullet"/>
        <w:spacing w:after="40"/>
        <w:ind w:left="360" w:hanging="187"/>
      </w:pPr>
      <w:r>
        <w:rPr>
          <w:rFonts w:ascii="Aptos" w:hAnsi="Aptos"/>
          <w:color w:val="1F252B"/>
        </w:rPr>
        <w:t>XML sitemap, canonical URLs, clean internal linking and indexation controls.</w:t>
      </w:r>
    </w:p>
    <w:p>
      <w:pPr>
        <w:pStyle w:val="ListBullet"/>
        <w:spacing w:after="40"/>
        <w:ind w:left="360" w:hanging="187"/>
      </w:pPr>
      <w:r>
        <w:rPr>
          <w:rFonts w:ascii="Aptos" w:hAnsi="Aptos"/>
          <w:color w:val="1F252B"/>
        </w:rPr>
        <w:t>Google Search Console and Bing Webmaster Tools from launch.</w:t>
      </w:r>
    </w:p>
    <w:p>
      <w:pPr>
        <w:pStyle w:val="ListBullet"/>
        <w:spacing w:after="40"/>
        <w:ind w:left="360" w:hanging="187"/>
      </w:pPr>
      <w:r>
        <w:rPr>
          <w:rFonts w:ascii="Aptos" w:hAnsi="Aptos"/>
          <w:color w:val="1F252B"/>
        </w:rPr>
        <w:t>Allow OAI-SearchBot while independently deciding whether to allow GPTBot training access.</w:t>
      </w:r>
    </w:p>
    <w:p>
      <w:pPr>
        <w:pStyle w:val="ListBullet"/>
        <w:spacing w:after="40"/>
        <w:ind w:left="360" w:hanging="187"/>
      </w:pPr>
      <w:r>
        <w:rPr>
          <w:rFonts w:ascii="Aptos" w:hAnsi="Aptos"/>
          <w:color w:val="1F252B"/>
        </w:rPr>
        <w:t>Structured data that accurately reflects visible content: Organization, Person, Article, BreadcrumbList and WebSite; use other types only when accurate.</w:t>
      </w:r>
    </w:p>
    <w:p>
      <w:pPr>
        <w:pStyle w:val="ListBullet"/>
        <w:spacing w:after="40"/>
        <w:ind w:left="360" w:hanging="187"/>
      </w:pPr>
      <w:r>
        <w:rPr>
          <w:rFonts w:ascii="Aptos" w:hAnsi="Aptos"/>
          <w:color w:val="1F252B"/>
        </w:rPr>
        <w:t>Analytics with campaign conventions and AI referral reporting.</w:t>
      </w:r>
    </w:p>
    <w:p>
      <w:pPr>
        <w:pStyle w:val="ListBullet"/>
        <w:spacing w:after="40"/>
        <w:ind w:left="360" w:hanging="187"/>
      </w:pPr>
      <w:r>
        <w:rPr>
          <w:rFonts w:ascii="Aptos" w:hAnsi="Aptos"/>
          <w:color w:val="1F252B"/>
        </w:rPr>
        <w:t>No reliance on llms.txt, hidden keyword blocks or mass-generated FAQ variants.</w:t>
      </w:r>
    </w:p>
    <w:p>
      <w:r>
        <w:br w:type="page"/>
      </w:r>
    </w:p>
    <w:p>
      <w:pPr>
        <w:pStyle w:val="Heading1"/>
        <w:pBdr>
          <w:bottom w:val="single" w:sz="7" w:space="4" w:color="D5DBE3"/>
        </w:pBdr>
      </w:pPr>
      <w:r>
        <w:t>08  Newsletter and nurture</w:t>
      </w:r>
    </w:p>
    <w:p>
      <w:pPr>
        <w:pStyle w:val="Heading2"/>
      </w:pPr>
      <w:r>
        <w:t>Recommended publication</w:t>
      </w:r>
    </w:p>
    <w:tbl>
      <w:tblPr>
        <w:tblW w:type="auto" w:w="0"/>
        <w:jc w:val="center"/>
        <w:tblLayout w:type="autofit"/>
        <w:tblLook w:firstColumn="1" w:firstRow="1" w:lastColumn="0" w:lastRow="0" w:noHBand="0" w:noVBand="1" w:val="04A0"/>
      </w:tblPr>
      <w:tblGrid>
        <w:gridCol w:w="10166"/>
      </w:tblGrid>
      <w:tr>
        <w:tc>
          <w:tcPr>
            <w:tcW w:type="dxa" w:w="10166"/>
            <w:shd w:fill="F4EFE3"/>
            <w:tcMar>
              <w:top w:w="130" w:type="dxa"/>
              <w:start w:w="160" w:type="dxa"/>
              <w:bottom w:w="130" w:type="dxa"/>
              <w:end w:w="160" w:type="dxa"/>
            </w:tcMar>
          </w:tcPr>
          <w:p>
            <w:pPr>
              <w:spacing w:after="60"/>
            </w:pPr>
            <w:r>
              <w:rPr>
                <w:rFonts w:ascii="Aptos" w:hAnsi="Aptos"/>
                <w:b/>
                <w:color w:val="12263F"/>
                <w:sz w:val="20"/>
              </w:rPr>
              <w:t>THE VYNE ADVISOR INTELLIGENCE REPORT</w:t>
            </w:r>
          </w:p>
          <w:p>
            <w:pPr>
              <w:spacing w:after="0"/>
            </w:pPr>
            <w:r>
              <w:rPr>
                <w:rFonts w:ascii="Aptos" w:hAnsi="Aptos"/>
                <w:color w:val="1F252B"/>
                <w:sz w:val="19"/>
              </w:rPr>
              <w:t>A monthly decision-focused report, not a roundup of everything that happened in wealth management.</w:t>
            </w:r>
          </w:p>
        </w:tc>
      </w:tr>
    </w:tbl>
    <w:p>
      <w:pPr>
        <w:spacing w:after="0"/>
      </w:pPr>
    </w:p>
    <w:p>
      <w:pPr>
        <w:pStyle w:val="Heading2"/>
      </w:pPr>
      <w:r>
        <w:t>Issue structure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Section</w:t>
            </w:r>
          </w:p>
        </w:tc>
        <w:tc>
          <w:tcPr>
            <w:tcW w:type="dxa" w:w="7776"/>
            <w:shd w:fill="1C3857"/>
            <w:vAlign w:val="center"/>
            <w:tcMar>
              <w:top w:w="90" w:type="dxa"/>
              <w:start w:w="100" w:type="dxa"/>
              <w:bottom w:w="90" w:type="dxa"/>
              <w:end w:w="100" w:type="dxa"/>
            </w:tcMar>
          </w:tcPr>
          <w:p>
            <w:pPr>
              <w:spacing w:after="0" w:before="0"/>
            </w:pPr>
            <w:r/>
            <w:r>
              <w:rPr>
                <w:rFonts w:ascii="Aptos" w:hAnsi="Aptos"/>
                <w:b/>
                <w:color w:val="FFFFFF"/>
                <w:sz w:val="16"/>
              </w:rPr>
              <w:t>Purpose</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The Signal</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One development that could affect advisor business models or movement.</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5"/>
              </w:rPr>
              <w:t>VYNE Lens</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5"/>
              </w:rPr>
              <w:t>Apply Vision, Objectives, Navigate or Enterprise Economics.</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Deal &amp; Economics</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One compensation, equity, succession or valuation insight.</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5"/>
              </w:rPr>
              <w:t>Firm / Model Watch</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5"/>
              </w:rPr>
              <w:t>A sourced change and the questions it creates.</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Continuity</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One anonymous buyer, seller, successor or talent opportunity when available.</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5"/>
              </w:rPr>
              <w:t>Three Questions</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5"/>
              </w:rPr>
              <w:t>Questions advisors should ask themselves this month.</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Private CTA</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Start a confidential conversation or request a specific assessment.</w:t>
            </w:r>
          </w:p>
        </w:tc>
      </w:tr>
    </w:tbl>
    <w:p>
      <w:pPr>
        <w:spacing w:after="0"/>
      </w:pPr>
    </w:p>
    <w:p>
      <w:pPr>
        <w:pStyle w:val="Heading2"/>
      </w:pPr>
      <w:r>
        <w:t>Newsletter capture</w:t>
      </w:r>
    </w:p>
    <w:p>
      <w:pPr>
        <w:keepLines w:val="0"/>
      </w:pPr>
      <w:r>
        <w:rPr>
          <w:rFonts w:ascii="Aptos" w:hAnsi="Aptos"/>
          <w:i w:val="0"/>
          <w:color w:val="1F252B"/>
        </w:rPr>
        <w:t>Initial signup should request only name, email and optional interest. Firm, CRD, T12 and AUM should be introduced later through assessments and high-intent requests. The objective is to grow a permissioned relationship base, not maximize data per subscriber.</w:t>
      </w:r>
    </w:p>
    <w:p>
      <w:pPr>
        <w:pStyle w:val="Heading2"/>
      </w:pPr>
      <w:r>
        <w:t>Nurture tracks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2160"/>
            <w:shd w:fill="1C3857"/>
            <w:vAlign w:val="center"/>
            <w:tcMar>
              <w:top w:w="90" w:type="dxa"/>
              <w:start w:w="100" w:type="dxa"/>
              <w:bottom w:w="90" w:type="dxa"/>
              <w:end w:w="100" w:type="dxa"/>
            </w:tcMar>
          </w:tcPr>
          <w:p>
            <w:pPr>
              <w:spacing w:after="0" w:before="0"/>
            </w:pPr>
            <w:r/>
            <w:r>
              <w:rPr>
                <w:rFonts w:ascii="Aptos" w:hAnsi="Aptos"/>
                <w:b/>
                <w:color w:val="FFFFFF"/>
                <w:sz w:val="16"/>
              </w:rPr>
              <w:t>Track</w:t>
            </w:r>
          </w:p>
        </w:tc>
        <w:tc>
          <w:tcPr>
            <w:tcW w:type="dxa" w:w="4608"/>
            <w:shd w:fill="1C3857"/>
            <w:vAlign w:val="center"/>
            <w:tcMar>
              <w:top w:w="90" w:type="dxa"/>
              <w:start w:w="100" w:type="dxa"/>
              <w:bottom w:w="90" w:type="dxa"/>
              <w:end w:w="100" w:type="dxa"/>
            </w:tcMar>
          </w:tcPr>
          <w:p>
            <w:pPr>
              <w:spacing w:after="0" w:before="0"/>
            </w:pPr>
            <w:r/>
            <w:r>
              <w:rPr>
                <w:rFonts w:ascii="Aptos" w:hAnsi="Aptos"/>
                <w:b/>
                <w:color w:val="FFFFFF"/>
                <w:sz w:val="16"/>
              </w:rPr>
              <w:t>Content focus</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Personal outreach trigger</w:t>
            </w:r>
          </w:p>
        </w:tc>
      </w:tr>
      <w:tr>
        <w:tc>
          <w:tcPr>
            <w:tcW w:type="dxa" w:w="2160"/>
            <w:vAlign w:val="center"/>
            <w:tcMar>
              <w:top w:w="90" w:type="dxa"/>
              <w:start w:w="100" w:type="dxa"/>
              <w:bottom w:w="90" w:type="dxa"/>
              <w:end w:w="100" w:type="dxa"/>
            </w:tcMar>
          </w:tcPr>
          <w:p>
            <w:pPr>
              <w:spacing w:after="0" w:before="0"/>
            </w:pPr>
            <w:r/>
            <w:r>
              <w:rPr>
                <w:rFonts w:ascii="Aptos" w:hAnsi="Aptos"/>
                <w:b w:val="0"/>
                <w:color w:val="1F252B"/>
                <w:sz w:val="15"/>
              </w:rPr>
              <w:t>Ownership / Independence</w:t>
            </w:r>
          </w:p>
        </w:tc>
        <w:tc>
          <w:tcPr>
            <w:tcW w:type="dxa" w:w="4608"/>
            <w:vAlign w:val="center"/>
            <w:tcMar>
              <w:top w:w="90" w:type="dxa"/>
              <w:start w:w="100" w:type="dxa"/>
              <w:bottom w:w="90" w:type="dxa"/>
              <w:end w:w="100" w:type="dxa"/>
            </w:tcMar>
          </w:tcPr>
          <w:p>
            <w:pPr>
              <w:spacing w:after="0" w:before="0"/>
            </w:pPr>
            <w:r/>
            <w:r>
              <w:rPr>
                <w:rFonts w:ascii="Aptos" w:hAnsi="Aptos"/>
                <w:b w:val="0"/>
                <w:color w:val="1F252B"/>
                <w:sz w:val="15"/>
              </w:rPr>
              <w:t>Control, expenses, enterprise value</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Multiple visits to model/economics pages</w:t>
            </w:r>
          </w:p>
        </w:tc>
      </w:tr>
      <w:tr>
        <w:tc>
          <w:tcPr>
            <w:tcW w:type="dxa" w:w="2160"/>
            <w:shd w:fill="F7F8FA"/>
            <w:vAlign w:val="center"/>
            <w:tcMar>
              <w:top w:w="90" w:type="dxa"/>
              <w:start w:w="100" w:type="dxa"/>
              <w:bottom w:w="90" w:type="dxa"/>
              <w:end w:w="100" w:type="dxa"/>
            </w:tcMar>
          </w:tcPr>
          <w:p>
            <w:pPr>
              <w:spacing w:after="0" w:before="0"/>
            </w:pPr>
            <w:r/>
            <w:r>
              <w:rPr>
                <w:rFonts w:ascii="Aptos" w:hAnsi="Aptos"/>
                <w:b w:val="0"/>
                <w:color w:val="1F252B"/>
                <w:sz w:val="15"/>
              </w:rPr>
              <w:t>Succession</w:t>
            </w:r>
          </w:p>
        </w:tc>
        <w:tc>
          <w:tcPr>
            <w:tcW w:type="dxa" w:w="4608"/>
            <w:shd w:fill="F7F8FA"/>
            <w:vAlign w:val="center"/>
            <w:tcMar>
              <w:top w:w="90" w:type="dxa"/>
              <w:start w:w="100" w:type="dxa"/>
              <w:bottom w:w="90" w:type="dxa"/>
              <w:end w:w="100" w:type="dxa"/>
            </w:tcMar>
          </w:tcPr>
          <w:p>
            <w:pPr>
              <w:spacing w:after="0" w:before="0"/>
            </w:pPr>
            <w:r/>
            <w:r>
              <w:rPr>
                <w:rFonts w:ascii="Aptos" w:hAnsi="Aptos"/>
                <w:b w:val="0"/>
                <w:color w:val="1F252B"/>
                <w:sz w:val="15"/>
              </w:rPr>
              <w:t>Valuation, successor options, continuity</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Assessment indicates no plan and near-term horizon</w:t>
            </w:r>
          </w:p>
        </w:tc>
      </w:tr>
      <w:tr>
        <w:tc>
          <w:tcPr>
            <w:tcW w:type="dxa" w:w="2160"/>
            <w:vAlign w:val="center"/>
            <w:tcMar>
              <w:top w:w="90" w:type="dxa"/>
              <w:start w:w="100" w:type="dxa"/>
              <w:bottom w:w="90" w:type="dxa"/>
              <w:end w:w="100" w:type="dxa"/>
            </w:tcMar>
          </w:tcPr>
          <w:p>
            <w:pPr>
              <w:spacing w:after="0" w:before="0"/>
            </w:pPr>
            <w:r/>
            <w:r>
              <w:rPr>
                <w:rFonts w:ascii="Aptos" w:hAnsi="Aptos"/>
                <w:b w:val="0"/>
                <w:color w:val="1F252B"/>
                <w:sz w:val="15"/>
              </w:rPr>
              <w:t>Offer Review</w:t>
            </w:r>
          </w:p>
        </w:tc>
        <w:tc>
          <w:tcPr>
            <w:tcW w:type="dxa" w:w="4608"/>
            <w:vAlign w:val="center"/>
            <w:tcMar>
              <w:top w:w="90" w:type="dxa"/>
              <w:start w:w="100" w:type="dxa"/>
              <w:bottom w:w="90" w:type="dxa"/>
              <w:end w:w="100" w:type="dxa"/>
            </w:tcMar>
          </w:tcPr>
          <w:p>
            <w:pPr>
              <w:spacing w:after="0" w:before="0"/>
            </w:pPr>
            <w:r/>
            <w:r>
              <w:rPr>
                <w:rFonts w:ascii="Aptos" w:hAnsi="Aptos"/>
                <w:b w:val="0"/>
                <w:color w:val="1F252B"/>
                <w:sz w:val="15"/>
              </w:rPr>
              <w:t>Hurdles, notes, grids and equity</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Advisor starts or abandons offer form</w:t>
            </w:r>
          </w:p>
        </w:tc>
      </w:tr>
      <w:tr>
        <w:tc>
          <w:tcPr>
            <w:tcW w:type="dxa" w:w="2160"/>
            <w:shd w:fill="F7F8FA"/>
            <w:vAlign w:val="center"/>
            <w:tcMar>
              <w:top w:w="90" w:type="dxa"/>
              <w:start w:w="100" w:type="dxa"/>
              <w:bottom w:w="90" w:type="dxa"/>
              <w:end w:w="100" w:type="dxa"/>
            </w:tcMar>
          </w:tcPr>
          <w:p>
            <w:pPr>
              <w:spacing w:after="0" w:before="0"/>
            </w:pPr>
            <w:r/>
            <w:r>
              <w:rPr>
                <w:rFonts w:ascii="Aptos" w:hAnsi="Aptos"/>
                <w:b w:val="0"/>
                <w:color w:val="1F252B"/>
                <w:sz w:val="15"/>
              </w:rPr>
              <w:t>Stay / Move</w:t>
            </w:r>
          </w:p>
        </w:tc>
        <w:tc>
          <w:tcPr>
            <w:tcW w:type="dxa" w:w="4608"/>
            <w:shd w:fill="F7F8FA"/>
            <w:vAlign w:val="center"/>
            <w:tcMar>
              <w:top w:w="90" w:type="dxa"/>
              <w:start w:w="100" w:type="dxa"/>
              <w:bottom w:w="90" w:type="dxa"/>
              <w:end w:w="100" w:type="dxa"/>
            </w:tcMar>
          </w:tcPr>
          <w:p>
            <w:pPr>
              <w:spacing w:after="0" w:before="0"/>
            </w:pPr>
            <w:r/>
            <w:r>
              <w:rPr>
                <w:rFonts w:ascii="Aptos" w:hAnsi="Aptos"/>
                <w:b w:val="0"/>
                <w:color w:val="1F252B"/>
                <w:sz w:val="15"/>
              </w:rPr>
              <w:t>Current-firm improvement and due diligence</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Assessment shows meaningful gap</w:t>
            </w:r>
          </w:p>
        </w:tc>
      </w:tr>
      <w:tr>
        <w:tc>
          <w:tcPr>
            <w:tcW w:type="dxa" w:w="2160"/>
            <w:vAlign w:val="center"/>
            <w:tcMar>
              <w:top w:w="90" w:type="dxa"/>
              <w:start w:w="100" w:type="dxa"/>
              <w:bottom w:w="90" w:type="dxa"/>
              <w:end w:w="100" w:type="dxa"/>
            </w:tcMar>
          </w:tcPr>
          <w:p>
            <w:pPr>
              <w:spacing w:after="0" w:before="0"/>
            </w:pPr>
            <w:r/>
            <w:r>
              <w:rPr>
                <w:rFonts w:ascii="Aptos" w:hAnsi="Aptos"/>
                <w:b w:val="0"/>
                <w:color w:val="1F252B"/>
                <w:sz w:val="15"/>
              </w:rPr>
              <w:t>Team / Talent</w:t>
            </w:r>
          </w:p>
        </w:tc>
        <w:tc>
          <w:tcPr>
            <w:tcW w:type="dxa" w:w="4608"/>
            <w:vAlign w:val="center"/>
            <w:tcMar>
              <w:top w:w="90" w:type="dxa"/>
              <w:start w:w="100" w:type="dxa"/>
              <w:bottom w:w="90" w:type="dxa"/>
              <w:end w:w="100" w:type="dxa"/>
            </w:tcMar>
          </w:tcPr>
          <w:p>
            <w:pPr>
              <w:spacing w:after="0" w:before="0"/>
            </w:pPr>
            <w:r/>
            <w:r>
              <w:rPr>
                <w:rFonts w:ascii="Aptos" w:hAnsi="Aptos"/>
                <w:b w:val="0"/>
                <w:color w:val="1F252B"/>
                <w:sz w:val="15"/>
              </w:rPr>
              <w:t>Career path, equity and matching</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Verified profile or opportunity request</w:t>
            </w:r>
          </w:p>
        </w:tc>
      </w:tr>
    </w:tbl>
    <w:p>
      <w:pPr>
        <w:spacing w:after="0"/>
      </w:pPr>
    </w:p>
    <w:p>
      <w:pPr>
        <w:pStyle w:val="Heading2"/>
      </w:pPr>
      <w:r>
        <w:t>Cadence</w:t>
      </w:r>
    </w:p>
    <w:p>
      <w:pPr>
        <w:pStyle w:val="ListBullet"/>
        <w:spacing w:after="40"/>
        <w:ind w:left="360" w:hanging="187"/>
      </w:pPr>
      <w:r>
        <w:rPr>
          <w:rFonts w:ascii="Aptos" w:hAnsi="Aptos"/>
          <w:color w:val="1F252B"/>
        </w:rPr>
        <w:t>Monthly flagship report.</w:t>
      </w:r>
    </w:p>
    <w:p>
      <w:pPr>
        <w:pStyle w:val="ListBullet"/>
        <w:spacing w:after="40"/>
        <w:ind w:left="360" w:hanging="187"/>
      </w:pPr>
      <w:r>
        <w:rPr>
          <w:rFonts w:ascii="Aptos" w:hAnsi="Aptos"/>
          <w:color w:val="1F252B"/>
        </w:rPr>
        <w:t>One to two high-quality articles per month during the first six months.</w:t>
      </w:r>
    </w:p>
    <w:p>
      <w:pPr>
        <w:pStyle w:val="ListBullet"/>
        <w:spacing w:after="40"/>
        <w:ind w:left="360" w:hanging="187"/>
      </w:pPr>
      <w:r>
        <w:rPr>
          <w:rFonts w:ascii="Aptos" w:hAnsi="Aptos"/>
          <w:color w:val="1F252B"/>
        </w:rPr>
        <w:t>One relevant email between reports only when it adds clear value.</w:t>
      </w:r>
    </w:p>
    <w:p>
      <w:pPr>
        <w:pStyle w:val="ListBullet"/>
        <w:spacing w:after="40"/>
        <w:ind w:left="360" w:hanging="187"/>
      </w:pPr>
      <w:r>
        <w:rPr>
          <w:rFonts w:ascii="Aptos" w:hAnsi="Aptos"/>
          <w:color w:val="1F252B"/>
        </w:rPr>
        <w:t>Quarterly personal outreach to high-priority dormant prospects.</w:t>
      </w:r>
    </w:p>
    <w:p>
      <w:pPr>
        <w:pStyle w:val="ListBullet"/>
        <w:spacing w:after="40"/>
        <w:ind w:left="360" w:hanging="187"/>
      </w:pPr>
      <w:r>
        <w:rPr>
          <w:rFonts w:ascii="Aptos" w:hAnsi="Aptos"/>
          <w:color w:val="1F252B"/>
        </w:rPr>
        <w:t>Event-driven outreach tied to the advisor's stated interest or firm.</w:t>
      </w:r>
    </w:p>
    <w:p>
      <w:pPr>
        <w:pStyle w:val="Heading1"/>
        <w:pBdr>
          <w:bottom w:val="single" w:sz="7" w:space="4" w:color="D5DBE3"/>
        </w:pBdr>
      </w:pPr>
      <w:r>
        <w:t>09  LinkedIn and distribution</w:t>
      </w:r>
    </w:p>
    <w:p>
      <w:pPr>
        <w:pStyle w:val="Heading2"/>
      </w:pPr>
      <w:r>
        <w:t>Role of LinkedIn</w:t>
      </w:r>
    </w:p>
    <w:p>
      <w:pPr>
        <w:keepLines w:val="0"/>
      </w:pPr>
      <w:r>
        <w:rPr>
          <w:rFonts w:ascii="Aptos" w:hAnsi="Aptos"/>
          <w:i w:val="0"/>
          <w:color w:val="1F252B"/>
        </w:rPr>
        <w:t>LinkedIn should distribute VYNE research, demonstrate judgment and create retargetable audiences. It should not be an automated stream of generic motivational posts. Financial advisors are a professional audience, and LinkedIn provides relevant B2B targeting and measurement tools; paid use should follow organic proof, not precede it. [9-11]</w:t>
      </w:r>
    </w:p>
    <w:p>
      <w:pPr>
        <w:pStyle w:val="Heading2"/>
      </w:pPr>
      <w:r>
        <w:t>Founder-light publishing model</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Publisher</w:t>
            </w:r>
          </w:p>
        </w:tc>
        <w:tc>
          <w:tcPr>
            <w:tcW w:type="dxa" w:w="7776"/>
            <w:shd w:fill="1C3857"/>
            <w:vAlign w:val="center"/>
            <w:tcMar>
              <w:top w:w="90" w:type="dxa"/>
              <w:start w:w="100" w:type="dxa"/>
              <w:bottom w:w="90" w:type="dxa"/>
              <w:end w:w="100" w:type="dxa"/>
            </w:tcMar>
          </w:tcPr>
          <w:p>
            <w:pPr>
              <w:spacing w:after="0" w:before="0"/>
            </w:pPr>
            <w:r/>
            <w:r>
              <w:rPr>
                <w:rFonts w:ascii="Aptos" w:hAnsi="Aptos"/>
                <w:b/>
                <w:color w:val="FFFFFF"/>
                <w:sz w:val="16"/>
              </w:rPr>
              <w:t>Content</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VYNE company page</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Research charts, firm/model analysis, newsletter and framework content</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5"/>
              </w:rPr>
              <w:t>Founder profile</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5"/>
              </w:rPr>
              <w:t>Interpretation, personal perspective, lessons and selected VYNE research</w:t>
            </w:r>
          </w:p>
        </w:tc>
      </w:tr>
      <w:tr>
        <w:tc>
          <w:tcPr>
            <w:tcW w:type="dxa" w:w="2304"/>
            <w:vAlign w:val="center"/>
            <w:tcMar>
              <w:top w:w="90" w:type="dxa"/>
              <w:start w:w="100" w:type="dxa"/>
              <w:bottom w:w="90" w:type="dxa"/>
              <w:end w:w="100" w:type="dxa"/>
            </w:tcMar>
          </w:tcPr>
          <w:p>
            <w:pPr>
              <w:spacing w:after="0" w:before="0"/>
            </w:pPr>
            <w:r/>
            <w:r>
              <w:rPr>
                <w:rFonts w:ascii="Aptos" w:hAnsi="Aptos"/>
                <w:b w:val="0"/>
                <w:color w:val="1F252B"/>
                <w:sz w:val="15"/>
              </w:rPr>
              <w:t>Future consultants</w:t>
            </w:r>
          </w:p>
        </w:tc>
        <w:tc>
          <w:tcPr>
            <w:tcW w:type="dxa" w:w="7776"/>
            <w:vAlign w:val="center"/>
            <w:tcMar>
              <w:top w:w="90" w:type="dxa"/>
              <w:start w:w="100" w:type="dxa"/>
              <w:bottom w:w="90" w:type="dxa"/>
              <w:end w:w="100" w:type="dxa"/>
            </w:tcMar>
          </w:tcPr>
          <w:p>
            <w:pPr>
              <w:spacing w:after="0" w:before="0"/>
            </w:pPr>
            <w:r/>
            <w:r>
              <w:rPr>
                <w:rFonts w:ascii="Aptos" w:hAnsi="Aptos"/>
                <w:b w:val="0"/>
                <w:color w:val="1F252B"/>
                <w:sz w:val="15"/>
              </w:rPr>
              <w:t>Subject-matter posts tied to actual expertise</w:t>
            </w:r>
          </w:p>
        </w:tc>
      </w:tr>
      <w:tr>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5"/>
              </w:rPr>
              <w:t>Placements page</w:t>
            </w:r>
          </w:p>
        </w:tc>
        <w:tc>
          <w:tcPr>
            <w:tcW w:type="dxa" w:w="7776"/>
            <w:shd w:fill="F7F8FA"/>
            <w:vAlign w:val="center"/>
            <w:tcMar>
              <w:top w:w="90" w:type="dxa"/>
              <w:start w:w="100" w:type="dxa"/>
              <w:bottom w:w="90" w:type="dxa"/>
              <w:end w:w="100" w:type="dxa"/>
            </w:tcMar>
          </w:tcPr>
          <w:p>
            <w:pPr>
              <w:spacing w:after="0" w:before="0"/>
            </w:pPr>
            <w:r/>
            <w:r>
              <w:rPr>
                <w:rFonts w:ascii="Aptos" w:hAnsi="Aptos"/>
                <w:b w:val="0"/>
                <w:color w:val="1F252B"/>
                <w:sz w:val="15"/>
              </w:rPr>
              <w:t>Approved announcements only after effective transition and permissions</w:t>
            </w:r>
          </w:p>
        </w:tc>
      </w:tr>
    </w:tbl>
    <w:p>
      <w:pPr>
        <w:spacing w:after="0"/>
      </w:pPr>
    </w:p>
    <w:p>
      <w:pPr>
        <w:pStyle w:val="Heading2"/>
      </w:pPr>
      <w:r>
        <w:t>Weekly organic cadence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440"/>
            <w:shd w:fill="1C3857"/>
            <w:vAlign w:val="center"/>
            <w:tcMar>
              <w:top w:w="90" w:type="dxa"/>
              <w:start w:w="100" w:type="dxa"/>
              <w:bottom w:w="90" w:type="dxa"/>
              <w:end w:w="100" w:type="dxa"/>
            </w:tcMar>
          </w:tcPr>
          <w:p>
            <w:pPr>
              <w:spacing w:after="0" w:before="0"/>
            </w:pPr>
            <w:r/>
            <w:r>
              <w:rPr>
                <w:rFonts w:ascii="Aptos" w:hAnsi="Aptos"/>
                <w:b/>
                <w:color w:val="FFFFFF"/>
                <w:sz w:val="16"/>
              </w:rPr>
              <w:t>Day</w:t>
            </w:r>
          </w:p>
        </w:tc>
        <w:tc>
          <w:tcPr>
            <w:tcW w:type="dxa" w:w="2160"/>
            <w:shd w:fill="1C3857"/>
            <w:vAlign w:val="center"/>
            <w:tcMar>
              <w:top w:w="90" w:type="dxa"/>
              <w:start w:w="100" w:type="dxa"/>
              <w:bottom w:w="90" w:type="dxa"/>
              <w:end w:w="100" w:type="dxa"/>
            </w:tcMar>
          </w:tcPr>
          <w:p>
            <w:pPr>
              <w:spacing w:after="0" w:before="0"/>
            </w:pPr>
            <w:r/>
            <w:r>
              <w:rPr>
                <w:rFonts w:ascii="Aptos" w:hAnsi="Aptos"/>
                <w:b/>
                <w:color w:val="FFFFFF"/>
                <w:sz w:val="16"/>
              </w:rPr>
              <w:t>Format</w:t>
            </w:r>
          </w:p>
        </w:tc>
        <w:tc>
          <w:tcPr>
            <w:tcW w:type="dxa" w:w="6480"/>
            <w:shd w:fill="1C3857"/>
            <w:vAlign w:val="center"/>
            <w:tcMar>
              <w:top w:w="90" w:type="dxa"/>
              <w:start w:w="100" w:type="dxa"/>
              <w:bottom w:w="90" w:type="dxa"/>
              <w:end w:w="100" w:type="dxa"/>
            </w:tcMar>
          </w:tcPr>
          <w:p>
            <w:pPr>
              <w:spacing w:after="0" w:before="0"/>
            </w:pPr>
            <w:r/>
            <w:r>
              <w:rPr>
                <w:rFonts w:ascii="Aptos" w:hAnsi="Aptos"/>
                <w:b/>
                <w:color w:val="FFFFFF"/>
                <w:sz w:val="16"/>
              </w:rPr>
              <w:t>Example</w:t>
            </w:r>
          </w:p>
        </w:tc>
      </w:tr>
      <w:tr>
        <w:tc>
          <w:tcPr>
            <w:tcW w:type="dxa" w:w="1440"/>
            <w:vAlign w:val="center"/>
            <w:tcMar>
              <w:top w:w="90" w:type="dxa"/>
              <w:start w:w="100" w:type="dxa"/>
              <w:bottom w:w="90" w:type="dxa"/>
              <w:end w:w="100" w:type="dxa"/>
            </w:tcMar>
          </w:tcPr>
          <w:p>
            <w:pPr>
              <w:spacing w:after="0" w:before="0"/>
            </w:pPr>
            <w:r/>
            <w:r>
              <w:rPr>
                <w:rFonts w:ascii="Aptos" w:hAnsi="Aptos"/>
                <w:b w:val="0"/>
                <w:color w:val="1F252B"/>
                <w:sz w:val="15"/>
              </w:rPr>
              <w:t>Tuesday</w:t>
            </w:r>
          </w:p>
        </w:tc>
        <w:tc>
          <w:tcPr>
            <w:tcW w:type="dxa" w:w="2160"/>
            <w:vAlign w:val="center"/>
            <w:tcMar>
              <w:top w:w="90" w:type="dxa"/>
              <w:start w:w="100" w:type="dxa"/>
              <w:bottom w:w="90" w:type="dxa"/>
              <w:end w:w="100" w:type="dxa"/>
            </w:tcMar>
          </w:tcPr>
          <w:p>
            <w:pPr>
              <w:spacing w:after="0" w:before="0"/>
            </w:pPr>
            <w:r/>
            <w:r>
              <w:rPr>
                <w:rFonts w:ascii="Aptos" w:hAnsi="Aptos"/>
                <w:b w:val="0"/>
                <w:color w:val="1F252B"/>
                <w:sz w:val="15"/>
              </w:rPr>
              <w:t>Decision insight</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A recruiting package can be the largest number and still be the wrong economic outcome.</w:t>
            </w:r>
          </w:p>
        </w:tc>
      </w:tr>
      <w:tr>
        <w:tc>
          <w:tcPr>
            <w:tcW w:type="dxa" w:w="1440"/>
            <w:shd w:fill="F7F8FA"/>
            <w:vAlign w:val="center"/>
            <w:tcMar>
              <w:top w:w="90" w:type="dxa"/>
              <w:start w:w="100" w:type="dxa"/>
              <w:bottom w:w="90" w:type="dxa"/>
              <w:end w:w="100" w:type="dxa"/>
            </w:tcMar>
          </w:tcPr>
          <w:p>
            <w:pPr>
              <w:spacing w:after="0" w:before="0"/>
            </w:pPr>
            <w:r/>
            <w:r>
              <w:rPr>
                <w:rFonts w:ascii="Aptos" w:hAnsi="Aptos"/>
                <w:b w:val="0"/>
                <w:color w:val="1F252B"/>
                <w:sz w:val="15"/>
              </w:rPr>
              <w:t>Thursday</w:t>
            </w:r>
          </w:p>
        </w:tc>
        <w:tc>
          <w:tcPr>
            <w:tcW w:type="dxa" w:w="2160"/>
            <w:shd w:fill="F7F8FA"/>
            <w:vAlign w:val="center"/>
            <w:tcMar>
              <w:top w:w="90" w:type="dxa"/>
              <w:start w:w="100" w:type="dxa"/>
              <w:bottom w:w="90" w:type="dxa"/>
              <w:end w:w="100" w:type="dxa"/>
            </w:tcMar>
          </w:tcPr>
          <w:p>
            <w:pPr>
              <w:spacing w:after="0" w:before="0"/>
            </w:pPr>
            <w:r/>
            <w:r>
              <w:rPr>
                <w:rFonts w:ascii="Aptos" w:hAnsi="Aptos"/>
                <w:b w:val="0"/>
                <w:color w:val="1F252B"/>
                <w:sz w:val="15"/>
              </w:rPr>
              <w:t>Chart or comparison</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Five-year cash flow vs. ownership value example.</w:t>
            </w:r>
          </w:p>
        </w:tc>
      </w:tr>
      <w:tr>
        <w:tc>
          <w:tcPr>
            <w:tcW w:type="dxa" w:w="1440"/>
            <w:vAlign w:val="center"/>
            <w:tcMar>
              <w:top w:w="90" w:type="dxa"/>
              <w:start w:w="100" w:type="dxa"/>
              <w:bottom w:w="90" w:type="dxa"/>
              <w:end w:w="100" w:type="dxa"/>
            </w:tcMar>
          </w:tcPr>
          <w:p>
            <w:pPr>
              <w:spacing w:after="0" w:before="0"/>
            </w:pPr>
            <w:r/>
            <w:r>
              <w:rPr>
                <w:rFonts w:ascii="Aptos" w:hAnsi="Aptos"/>
                <w:b w:val="0"/>
                <w:color w:val="1F252B"/>
                <w:sz w:val="15"/>
              </w:rPr>
              <w:t>Friday</w:t>
            </w:r>
          </w:p>
        </w:tc>
        <w:tc>
          <w:tcPr>
            <w:tcW w:type="dxa" w:w="2160"/>
            <w:vAlign w:val="center"/>
            <w:tcMar>
              <w:top w:w="90" w:type="dxa"/>
              <w:start w:w="100" w:type="dxa"/>
              <w:bottom w:w="90" w:type="dxa"/>
              <w:end w:w="100" w:type="dxa"/>
            </w:tcMar>
          </w:tcPr>
          <w:p>
            <w:pPr>
              <w:spacing w:after="0" w:before="0"/>
            </w:pPr>
            <w:r/>
            <w:r>
              <w:rPr>
                <w:rFonts w:ascii="Aptos" w:hAnsi="Aptos"/>
                <w:b w:val="0"/>
                <w:color w:val="1F252B"/>
                <w:sz w:val="15"/>
              </w:rPr>
              <w:t>Question / article</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What would have to improve for another firm to be better than staying?</w:t>
            </w:r>
          </w:p>
        </w:tc>
      </w:tr>
    </w:tbl>
    <w:p>
      <w:pPr>
        <w:spacing w:after="0"/>
      </w:pPr>
    </w:p>
    <w:p>
      <w:pPr>
        <w:pStyle w:val="Heading2"/>
      </w:pPr>
      <w:r>
        <w:t>Paid media gate</w:t>
      </w:r>
    </w:p>
    <w:p>
      <w:pPr>
        <w:keepLines w:val="0"/>
      </w:pPr>
      <w:r>
        <w:rPr>
          <w:rFonts w:ascii="Aptos" w:hAnsi="Aptos"/>
          <w:i w:val="0"/>
          <w:color w:val="1F252B"/>
        </w:rPr>
        <w:t>Do not run broad paid campaigns until VYNE can demonstrate: a converting assessment, a reliable CRM handoff, a strong thank-you/nurture sequence, retargeting consent and at least one organic content theme that produces qualified conversations. Begin with retargeting and narrow professional audiences rather than cold lead forms requesting sensitive data.</w:t>
      </w:r>
    </w:p>
    <w:p>
      <w:r>
        <w:br w:type="page"/>
      </w:r>
    </w:p>
    <w:p>
      <w:pPr>
        <w:pStyle w:val="Heading1"/>
        <w:pBdr>
          <w:bottom w:val="single" w:sz="7" w:space="4" w:color="D5DBE3"/>
        </w:pBdr>
      </w:pPr>
      <w:r>
        <w:t>10  Lead scoring and CRM handoff</w:t>
      </w:r>
    </w:p>
    <w:p>
      <w:pPr>
        <w:pStyle w:val="Heading2"/>
      </w:pPr>
      <w:r>
        <w:t>Lead score dimensions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872"/>
            <w:shd w:fill="1C3857"/>
            <w:vAlign w:val="center"/>
            <w:tcMar>
              <w:top w:w="90" w:type="dxa"/>
              <w:start w:w="100" w:type="dxa"/>
              <w:bottom w:w="90" w:type="dxa"/>
              <w:end w:w="100" w:type="dxa"/>
            </w:tcMar>
          </w:tcPr>
          <w:p>
            <w:pPr>
              <w:spacing w:after="0" w:before="0"/>
            </w:pPr>
            <w:r/>
            <w:r>
              <w:rPr>
                <w:rFonts w:ascii="Aptos" w:hAnsi="Aptos"/>
                <w:b/>
                <w:color w:val="FFFFFF"/>
                <w:sz w:val="16"/>
              </w:rPr>
              <w:t>Dimension</w:t>
            </w:r>
          </w:p>
        </w:tc>
        <w:tc>
          <w:tcPr>
            <w:tcW w:type="dxa" w:w="6480"/>
            <w:shd w:fill="1C3857"/>
            <w:vAlign w:val="center"/>
            <w:tcMar>
              <w:top w:w="90" w:type="dxa"/>
              <w:start w:w="100" w:type="dxa"/>
              <w:bottom w:w="90" w:type="dxa"/>
              <w:end w:w="100" w:type="dxa"/>
            </w:tcMar>
          </w:tcPr>
          <w:p>
            <w:pPr>
              <w:spacing w:after="0" w:before="0"/>
            </w:pPr>
            <w:r/>
            <w:r>
              <w:rPr>
                <w:rFonts w:ascii="Aptos" w:hAnsi="Aptos"/>
                <w:b/>
                <w:color w:val="FFFFFF"/>
                <w:sz w:val="16"/>
              </w:rPr>
              <w:t>Examples</w:t>
            </w:r>
          </w:p>
        </w:tc>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Weight</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Identity</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Verified CRD, professional email, current firm</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High</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5"/>
              </w:rPr>
              <w:t>Economic fit</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T12/AUM range and fee eligibility</w:t>
            </w:r>
          </w:p>
        </w:tc>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5"/>
              </w:rPr>
              <w:t>High</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Intent</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Offer review, compare firms, conversation request</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High</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5"/>
              </w:rPr>
              <w:t>Timing</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0-6, 6-18, 18-36 months</w:t>
            </w:r>
          </w:p>
        </w:tc>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5"/>
              </w:rPr>
              <w:t>High</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Engagement</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Assessment completion, repeat visits, newsletter interaction</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Medium</w:t>
            </w:r>
          </w:p>
        </w:tc>
      </w:tr>
      <w:tr>
        <w:tc>
          <w:tcPr>
            <w:tcW w:type="dxa" w:w="1872"/>
            <w:shd w:fill="F7F8FA"/>
            <w:vAlign w:val="center"/>
            <w:tcMar>
              <w:top w:w="90" w:type="dxa"/>
              <w:start w:w="100" w:type="dxa"/>
              <w:bottom w:w="90" w:type="dxa"/>
              <w:end w:w="100" w:type="dxa"/>
            </w:tcMar>
          </w:tcPr>
          <w:p>
            <w:pPr>
              <w:spacing w:after="0" w:before="0"/>
            </w:pPr>
            <w:r/>
            <w:r>
              <w:rPr>
                <w:rFonts w:ascii="Aptos" w:hAnsi="Aptos"/>
                <w:b w:val="0"/>
                <w:color w:val="1F252B"/>
                <w:sz w:val="15"/>
              </w:rPr>
              <w:t>Strategic fit</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Ownership, succession, team or platform issue</w:t>
            </w:r>
          </w:p>
        </w:tc>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5"/>
              </w:rPr>
              <w:t>Medium</w:t>
            </w:r>
          </w:p>
        </w:tc>
      </w:tr>
      <w:tr>
        <w:tc>
          <w:tcPr>
            <w:tcW w:type="dxa" w:w="1872"/>
            <w:vAlign w:val="center"/>
            <w:tcMar>
              <w:top w:w="90" w:type="dxa"/>
              <w:start w:w="100" w:type="dxa"/>
              <w:bottom w:w="90" w:type="dxa"/>
              <w:end w:w="100" w:type="dxa"/>
            </w:tcMar>
          </w:tcPr>
          <w:p>
            <w:pPr>
              <w:spacing w:after="0" w:before="0"/>
            </w:pPr>
            <w:r/>
            <w:r>
              <w:rPr>
                <w:rFonts w:ascii="Aptos" w:hAnsi="Aptos"/>
                <w:b w:val="0"/>
                <w:color w:val="1F252B"/>
                <w:sz w:val="15"/>
              </w:rPr>
              <w:t>Risk / exclusion</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Firm restrictions, duplicate attribution, no consent</w:t>
            </w:r>
          </w:p>
        </w:tc>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Negative</w:t>
            </w:r>
          </w:p>
        </w:tc>
      </w:tr>
    </w:tbl>
    <w:p>
      <w:pPr>
        <w:spacing w:after="0"/>
      </w:pPr>
    </w:p>
    <w:p>
      <w:pPr>
        <w:pStyle w:val="Heading2"/>
      </w:pPr>
      <w:r>
        <w:t>CRM handoff requirements</w:t>
      </w:r>
    </w:p>
    <w:p>
      <w:pPr>
        <w:pStyle w:val="ListBullet"/>
        <w:spacing w:after="40"/>
        <w:ind w:left="360" w:hanging="187"/>
      </w:pPr>
      <w:r>
        <w:rPr>
          <w:rFonts w:ascii="Aptos" w:hAnsi="Aptos"/>
          <w:color w:val="1F252B"/>
        </w:rPr>
        <w:t>Original source and landing page</w:t>
      </w:r>
    </w:p>
    <w:p>
      <w:pPr>
        <w:pStyle w:val="ListBullet"/>
        <w:spacing w:after="40"/>
        <w:ind w:left="360" w:hanging="187"/>
      </w:pPr>
      <w:r>
        <w:rPr>
          <w:rFonts w:ascii="Aptos" w:hAnsi="Aptos"/>
          <w:color w:val="1F252B"/>
        </w:rPr>
        <w:t>Content topic and assessment result</w:t>
      </w:r>
    </w:p>
    <w:p>
      <w:pPr>
        <w:pStyle w:val="ListBullet"/>
        <w:spacing w:after="40"/>
        <w:ind w:left="360" w:hanging="187"/>
      </w:pPr>
      <w:r>
        <w:rPr>
          <w:rFonts w:ascii="Aptos" w:hAnsi="Aptos"/>
          <w:color w:val="1F252B"/>
        </w:rPr>
        <w:t>Consent records and sharing restrictions</w:t>
      </w:r>
    </w:p>
    <w:p>
      <w:pPr>
        <w:pStyle w:val="ListBullet"/>
        <w:spacing w:after="40"/>
        <w:ind w:left="360" w:hanging="187"/>
      </w:pPr>
      <w:r>
        <w:rPr>
          <w:rFonts w:ascii="Aptos" w:hAnsi="Aptos"/>
          <w:color w:val="1F252B"/>
        </w:rPr>
        <w:t>Advisor relationship stage and advisory stage</w:t>
      </w:r>
    </w:p>
    <w:p>
      <w:pPr>
        <w:pStyle w:val="ListBullet"/>
        <w:spacing w:after="40"/>
        <w:ind w:left="360" w:hanging="187"/>
      </w:pPr>
      <w:r>
        <w:rPr>
          <w:rFonts w:ascii="Aptos" w:hAnsi="Aptos"/>
          <w:color w:val="1F252B"/>
        </w:rPr>
        <w:t>Lead score with reasons, not only a number</w:t>
      </w:r>
    </w:p>
    <w:p>
      <w:pPr>
        <w:pStyle w:val="ListBullet"/>
        <w:spacing w:after="40"/>
        <w:ind w:left="360" w:hanging="187"/>
      </w:pPr>
      <w:r>
        <w:rPr>
          <w:rFonts w:ascii="Aptos" w:hAnsi="Aptos"/>
          <w:color w:val="1F252B"/>
        </w:rPr>
        <w:t>Next action, owner and due date</w:t>
      </w:r>
    </w:p>
    <w:p>
      <w:pPr>
        <w:pStyle w:val="ListBullet"/>
        <w:spacing w:after="40"/>
        <w:ind w:left="360" w:hanging="187"/>
      </w:pPr>
      <w:r>
        <w:rPr>
          <w:rFonts w:ascii="Aptos" w:hAnsi="Aptos"/>
          <w:color w:val="1F252B"/>
        </w:rPr>
        <w:t>Firm restrictions or attribution risk</w:t>
      </w:r>
    </w:p>
    <w:p>
      <w:pPr>
        <w:pStyle w:val="ListBullet"/>
        <w:spacing w:after="40"/>
        <w:ind w:left="360" w:hanging="187"/>
      </w:pPr>
      <w:r>
        <w:rPr>
          <w:rFonts w:ascii="Aptos" w:hAnsi="Aptos"/>
          <w:color w:val="1F252B"/>
        </w:rPr>
        <w:t>Automated context summary for the introductory call</w:t>
      </w:r>
    </w:p>
    <w:p>
      <w:pPr>
        <w:pStyle w:val="Heading2"/>
      </w:pPr>
      <w:r>
        <w:t>Service-level response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3600"/>
            <w:shd w:fill="1C3857"/>
            <w:vAlign w:val="center"/>
            <w:tcMar>
              <w:top w:w="90" w:type="dxa"/>
              <w:start w:w="100" w:type="dxa"/>
              <w:bottom w:w="90" w:type="dxa"/>
              <w:end w:w="100" w:type="dxa"/>
            </w:tcMar>
          </w:tcPr>
          <w:p>
            <w:pPr>
              <w:spacing w:after="0" w:before="0"/>
            </w:pPr>
            <w:r/>
            <w:r>
              <w:rPr>
                <w:rFonts w:ascii="Aptos" w:hAnsi="Aptos"/>
                <w:b/>
                <w:color w:val="FFFFFF"/>
                <w:sz w:val="16"/>
              </w:rPr>
              <w:t>Action</w:t>
            </w:r>
          </w:p>
        </w:tc>
        <w:tc>
          <w:tcPr>
            <w:tcW w:type="dxa" w:w="6480"/>
            <w:shd w:fill="1C3857"/>
            <w:vAlign w:val="center"/>
            <w:tcMar>
              <w:top w:w="90" w:type="dxa"/>
              <w:start w:w="100" w:type="dxa"/>
              <w:bottom w:w="90" w:type="dxa"/>
              <w:end w:w="100" w:type="dxa"/>
            </w:tcMar>
          </w:tcPr>
          <w:p>
            <w:pPr>
              <w:spacing w:after="0" w:before="0"/>
            </w:pPr>
            <w:r/>
            <w:r>
              <w:rPr>
                <w:rFonts w:ascii="Aptos" w:hAnsi="Aptos"/>
                <w:b/>
                <w:color w:val="FFFFFF"/>
                <w:sz w:val="16"/>
              </w:rPr>
              <w:t>Target response</w:t>
            </w:r>
          </w:p>
        </w:tc>
      </w:tr>
      <w:tr>
        <w:tc>
          <w:tcPr>
            <w:tcW w:type="dxa" w:w="3600"/>
            <w:vAlign w:val="center"/>
            <w:tcMar>
              <w:top w:w="90" w:type="dxa"/>
              <w:start w:w="100" w:type="dxa"/>
              <w:bottom w:w="90" w:type="dxa"/>
              <w:end w:w="100" w:type="dxa"/>
            </w:tcMar>
          </w:tcPr>
          <w:p>
            <w:pPr>
              <w:spacing w:after="0" w:before="0"/>
            </w:pPr>
            <w:r/>
            <w:r>
              <w:rPr>
                <w:rFonts w:ascii="Aptos" w:hAnsi="Aptos"/>
                <w:b w:val="0"/>
                <w:color w:val="1F252B"/>
                <w:sz w:val="15"/>
              </w:rPr>
              <w:t>Newsletter signup</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Immediate confirmation; no personal sales outreach unless intent is shown</w:t>
            </w:r>
          </w:p>
        </w:tc>
      </w:tr>
      <w:tr>
        <w:tc>
          <w:tcPr>
            <w:tcW w:type="dxa" w:w="3600"/>
            <w:shd w:fill="F7F8FA"/>
            <w:vAlign w:val="center"/>
            <w:tcMar>
              <w:top w:w="90" w:type="dxa"/>
              <w:start w:w="100" w:type="dxa"/>
              <w:bottom w:w="90" w:type="dxa"/>
              <w:end w:w="100" w:type="dxa"/>
            </w:tcMar>
          </w:tcPr>
          <w:p>
            <w:pPr>
              <w:spacing w:after="0" w:before="0"/>
            </w:pPr>
            <w:r/>
            <w:r>
              <w:rPr>
                <w:rFonts w:ascii="Aptos" w:hAnsi="Aptos"/>
                <w:b w:val="0"/>
                <w:color w:val="1F252B"/>
                <w:sz w:val="15"/>
              </w:rPr>
              <w:t>Assessment completion</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Personalized result immediately; human review within 1 business day for high scores</w:t>
            </w:r>
          </w:p>
        </w:tc>
      </w:tr>
      <w:tr>
        <w:tc>
          <w:tcPr>
            <w:tcW w:type="dxa" w:w="3600"/>
            <w:vAlign w:val="center"/>
            <w:tcMar>
              <w:top w:w="90" w:type="dxa"/>
              <w:start w:w="100" w:type="dxa"/>
              <w:bottom w:w="90" w:type="dxa"/>
              <w:end w:w="100" w:type="dxa"/>
            </w:tcMar>
          </w:tcPr>
          <w:p>
            <w:pPr>
              <w:spacing w:after="0" w:before="0"/>
            </w:pPr>
            <w:r/>
            <w:r>
              <w:rPr>
                <w:rFonts w:ascii="Aptos" w:hAnsi="Aptos"/>
                <w:b w:val="0"/>
                <w:color w:val="1F252B"/>
                <w:sz w:val="15"/>
              </w:rPr>
              <w:t>Offer review request</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Acknowledgment immediately; human contact within 1 business day</w:t>
            </w:r>
          </w:p>
        </w:tc>
      </w:tr>
      <w:tr>
        <w:tc>
          <w:tcPr>
            <w:tcW w:type="dxa" w:w="3600"/>
            <w:shd w:fill="F7F8FA"/>
            <w:vAlign w:val="center"/>
            <w:tcMar>
              <w:top w:w="90" w:type="dxa"/>
              <w:start w:w="100" w:type="dxa"/>
              <w:bottom w:w="90" w:type="dxa"/>
              <w:end w:w="100" w:type="dxa"/>
            </w:tcMar>
          </w:tcPr>
          <w:p>
            <w:pPr>
              <w:spacing w:after="0" w:before="0"/>
            </w:pPr>
            <w:r/>
            <w:r>
              <w:rPr>
                <w:rFonts w:ascii="Aptos" w:hAnsi="Aptos"/>
                <w:b w:val="0"/>
                <w:color w:val="1F252B"/>
                <w:sz w:val="15"/>
              </w:rPr>
              <w:t>Confidential conversation</w:t>
            </w:r>
          </w:p>
        </w:tc>
        <w:tc>
          <w:tcPr>
            <w:tcW w:type="dxa" w:w="6480"/>
            <w:shd w:fill="F7F8FA"/>
            <w:vAlign w:val="center"/>
            <w:tcMar>
              <w:top w:w="90" w:type="dxa"/>
              <w:start w:w="100" w:type="dxa"/>
              <w:bottom w:w="90" w:type="dxa"/>
              <w:end w:w="100" w:type="dxa"/>
            </w:tcMar>
          </w:tcPr>
          <w:p>
            <w:pPr>
              <w:spacing w:after="0" w:before="0"/>
            </w:pPr>
            <w:r/>
            <w:r>
              <w:rPr>
                <w:rFonts w:ascii="Aptos" w:hAnsi="Aptos"/>
                <w:b w:val="0"/>
                <w:color w:val="1F252B"/>
                <w:sz w:val="15"/>
              </w:rPr>
              <w:t>Scheduling access immediately; personal response within 1 business day</w:t>
            </w:r>
          </w:p>
        </w:tc>
      </w:tr>
      <w:tr>
        <w:tc>
          <w:tcPr>
            <w:tcW w:type="dxa" w:w="3600"/>
            <w:vAlign w:val="center"/>
            <w:tcMar>
              <w:top w:w="90" w:type="dxa"/>
              <w:start w:w="100" w:type="dxa"/>
              <w:bottom w:w="90" w:type="dxa"/>
              <w:end w:w="100" w:type="dxa"/>
            </w:tcMar>
          </w:tcPr>
          <w:p>
            <w:pPr>
              <w:spacing w:after="0" w:before="0"/>
            </w:pPr>
            <w:r/>
            <w:r>
              <w:rPr>
                <w:rFonts w:ascii="Aptos" w:hAnsi="Aptos"/>
                <w:b w:val="0"/>
                <w:color w:val="1F252B"/>
                <w:sz w:val="15"/>
              </w:rPr>
              <w:t>Verified firm deep-dive request</w:t>
            </w:r>
          </w:p>
        </w:tc>
        <w:tc>
          <w:tcPr>
            <w:tcW w:type="dxa" w:w="6480"/>
            <w:vAlign w:val="center"/>
            <w:tcMar>
              <w:top w:w="90" w:type="dxa"/>
              <w:start w:w="100" w:type="dxa"/>
              <w:bottom w:w="90" w:type="dxa"/>
              <w:end w:w="100" w:type="dxa"/>
            </w:tcMar>
          </w:tcPr>
          <w:p>
            <w:pPr>
              <w:spacing w:after="0" w:before="0"/>
            </w:pPr>
            <w:r/>
            <w:r>
              <w:rPr>
                <w:rFonts w:ascii="Aptos" w:hAnsi="Aptos"/>
                <w:b w:val="0"/>
                <w:color w:val="1F252B"/>
                <w:sz w:val="15"/>
              </w:rPr>
              <w:t>Identity check and scope response within 2 business days</w:t>
            </w:r>
          </w:p>
        </w:tc>
      </w:tr>
    </w:tbl>
    <w:p>
      <w:pPr>
        <w:spacing w:after="0"/>
      </w:pPr>
    </w:p>
    <w:p>
      <w:r>
        <w:br w:type="page"/>
      </w:r>
    </w:p>
    <w:p>
      <w:pPr>
        <w:pStyle w:val="Heading1"/>
        <w:pBdr>
          <w:bottom w:val="single" w:sz="7" w:space="4" w:color="D5DBE3"/>
        </w:pBdr>
      </w:pPr>
      <w:r>
        <w:t>11  Measurement system</w:t>
      </w:r>
    </w:p>
    <w:p>
      <w:pPr>
        <w:pStyle w:val="Heading2"/>
      </w:pPr>
      <w:r>
        <w:t>The dashboard hierarchy</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Level</w:t>
            </w:r>
          </w:p>
        </w:tc>
        <w:tc>
          <w:tcPr>
            <w:tcW w:type="dxa" w:w="5472"/>
            <w:shd w:fill="1C3857"/>
            <w:vAlign w:val="center"/>
            <w:tcMar>
              <w:top w:w="90" w:type="dxa"/>
              <w:start w:w="100" w:type="dxa"/>
              <w:bottom w:w="90" w:type="dxa"/>
              <w:end w:w="100" w:type="dxa"/>
            </w:tcMar>
          </w:tcPr>
          <w:p>
            <w:pPr>
              <w:spacing w:after="0" w:before="0"/>
            </w:pPr>
            <w:r/>
            <w:r>
              <w:rPr>
                <w:rFonts w:ascii="Aptos" w:hAnsi="Aptos"/>
                <w:b/>
                <w:color w:val="FFFFFF"/>
                <w:sz w:val="16"/>
              </w:rPr>
              <w:t>Measures</w:t>
            </w:r>
          </w:p>
        </w:tc>
        <w:tc>
          <w:tcPr>
            <w:tcW w:type="dxa" w:w="2880"/>
            <w:shd w:fill="1C3857"/>
            <w:vAlign w:val="center"/>
            <w:tcMar>
              <w:top w:w="90" w:type="dxa"/>
              <w:start w:w="100" w:type="dxa"/>
              <w:bottom w:w="90" w:type="dxa"/>
              <w:end w:w="100" w:type="dxa"/>
            </w:tcMar>
          </w:tcPr>
          <w:p>
            <w:pPr>
              <w:spacing w:after="0" w:before="0"/>
            </w:pPr>
            <w:r/>
            <w:r>
              <w:rPr>
                <w:rFonts w:ascii="Aptos" w:hAnsi="Aptos"/>
                <w:b/>
                <w:color w:val="FFFFFF"/>
                <w:sz w:val="16"/>
              </w:rPr>
              <w:t>Why it matters</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Visibility</w:t>
            </w:r>
          </w:p>
        </w:tc>
        <w:tc>
          <w:tcPr>
            <w:tcW w:type="dxa" w:w="5472"/>
            <w:vAlign w:val="center"/>
            <w:tcMar>
              <w:top w:w="90" w:type="dxa"/>
              <w:start w:w="100" w:type="dxa"/>
              <w:bottom w:w="90" w:type="dxa"/>
              <w:end w:w="100" w:type="dxa"/>
            </w:tcMar>
          </w:tcPr>
          <w:p>
            <w:pPr>
              <w:spacing w:after="0" w:before="0"/>
            </w:pPr>
            <w:r/>
            <w:r>
              <w:rPr>
                <w:rFonts w:ascii="Aptos" w:hAnsi="Aptos"/>
                <w:b w:val="0"/>
                <w:color w:val="1F252B"/>
                <w:sz w:val="14"/>
              </w:rPr>
              <w:t>Indexed pages, impressions, AI citations, cited pages, branded search</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4"/>
              </w:rPr>
              <w:t>Shows whether VYNE is being discovered.</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Engagement</w:t>
            </w:r>
          </w:p>
        </w:tc>
        <w:tc>
          <w:tcPr>
            <w:tcW w:type="dxa" w:w="5472"/>
            <w:shd w:fill="F7F8FA"/>
            <w:vAlign w:val="center"/>
            <w:tcMar>
              <w:top w:w="90" w:type="dxa"/>
              <w:start w:w="100" w:type="dxa"/>
              <w:bottom w:w="90" w:type="dxa"/>
              <w:end w:w="100" w:type="dxa"/>
            </w:tcMar>
          </w:tcPr>
          <w:p>
            <w:pPr>
              <w:spacing w:after="0" w:before="0"/>
            </w:pPr>
            <w:r/>
            <w:r>
              <w:rPr>
                <w:rFonts w:ascii="Aptos" w:hAnsi="Aptos"/>
                <w:b w:val="0"/>
                <w:color w:val="1F252B"/>
                <w:sz w:val="14"/>
              </w:rPr>
              <w:t>Qualified time, repeat visitors, newsletter growth, assessment starts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4"/>
              </w:rPr>
              <w:t>Shows whether content earns attention.</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Intent</w:t>
            </w:r>
          </w:p>
        </w:tc>
        <w:tc>
          <w:tcPr>
            <w:tcW w:type="dxa" w:w="5472"/>
            <w:vAlign w:val="center"/>
            <w:tcMar>
              <w:top w:w="90" w:type="dxa"/>
              <w:start w:w="100" w:type="dxa"/>
              <w:bottom w:w="90" w:type="dxa"/>
              <w:end w:w="100" w:type="dxa"/>
            </w:tcMar>
          </w:tcPr>
          <w:p>
            <w:pPr>
              <w:spacing w:after="0" w:before="0"/>
            </w:pPr>
            <w:r/>
            <w:r>
              <w:rPr>
                <w:rFonts w:ascii="Aptos" w:hAnsi="Aptos"/>
                <w:b w:val="0"/>
                <w:color w:val="1F252B"/>
                <w:sz w:val="14"/>
              </w:rPr>
              <w:t>Assessment completions, verified access, offer reviews, calls</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4"/>
              </w:rPr>
              <w:t>Shows movement toward a relationship.</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Pipeline</w:t>
            </w:r>
          </w:p>
        </w:tc>
        <w:tc>
          <w:tcPr>
            <w:tcW w:type="dxa" w:w="5472"/>
            <w:shd w:fill="F7F8FA"/>
            <w:vAlign w:val="center"/>
            <w:tcMar>
              <w:top w:w="90" w:type="dxa"/>
              <w:start w:w="100" w:type="dxa"/>
              <w:bottom w:w="90" w:type="dxa"/>
              <w:end w:w="100" w:type="dxa"/>
            </w:tcMar>
          </w:tcPr>
          <w:p>
            <w:pPr>
              <w:spacing w:after="0" w:before="0"/>
            </w:pPr>
            <w:r/>
            <w:r>
              <w:rPr>
                <w:rFonts w:ascii="Aptos" w:hAnsi="Aptos"/>
                <w:b w:val="0"/>
                <w:color w:val="1F252B"/>
                <w:sz w:val="14"/>
              </w:rPr>
              <w:t>Qualified discovery, active cases, firm submissions, proposals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4"/>
              </w:rPr>
              <w:t>Connects marketing to advisory activity.</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4"/>
              </w:rPr>
              <w:t>Revenue</w:t>
            </w:r>
          </w:p>
        </w:tc>
        <w:tc>
          <w:tcPr>
            <w:tcW w:type="dxa" w:w="5472"/>
            <w:vAlign w:val="center"/>
            <w:tcMar>
              <w:top w:w="90" w:type="dxa"/>
              <w:start w:w="100" w:type="dxa"/>
              <w:bottom w:w="90" w:type="dxa"/>
              <w:end w:w="100" w:type="dxa"/>
            </w:tcMar>
          </w:tcPr>
          <w:p>
            <w:pPr>
              <w:spacing w:after="0" w:before="0"/>
            </w:pPr>
            <w:r/>
            <w:r>
              <w:rPr>
                <w:rFonts w:ascii="Aptos" w:hAnsi="Aptos"/>
                <w:b w:val="0"/>
                <w:color w:val="1F252B"/>
                <w:sz w:val="14"/>
              </w:rPr>
              <w:t>Placements, effective fee, collected cash, aging, clawback reserve</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4"/>
              </w:rPr>
              <w:t>Measures commercial result.</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4"/>
              </w:rPr>
              <w:t>Trust / quality</w:t>
            </w:r>
          </w:p>
        </w:tc>
        <w:tc>
          <w:tcPr>
            <w:tcW w:type="dxa" w:w="5472"/>
            <w:shd w:fill="F7F8FA"/>
            <w:vAlign w:val="center"/>
            <w:tcMar>
              <w:top w:w="90" w:type="dxa"/>
              <w:start w:w="100" w:type="dxa"/>
              <w:bottom w:w="90" w:type="dxa"/>
              <w:end w:w="100" w:type="dxa"/>
            </w:tcMar>
          </w:tcPr>
          <w:p>
            <w:pPr>
              <w:spacing w:after="0" w:before="0"/>
            </w:pPr>
            <w:r/>
            <w:r>
              <w:rPr>
                <w:rFonts w:ascii="Aptos" w:hAnsi="Aptos"/>
                <w:b w:val="0"/>
                <w:color w:val="1F252B"/>
                <w:sz w:val="14"/>
              </w:rPr>
              <w:t>Referral rate, advisor feedback, stay outcomes, corrections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4"/>
              </w:rPr>
              <w:t>Prevents revenue from becoming the only success measure.</w:t>
            </w:r>
          </w:p>
        </w:tc>
      </w:tr>
    </w:tbl>
    <w:p>
      <w:pPr>
        <w:spacing w:after="0"/>
      </w:pPr>
    </w:p>
    <w:p>
      <w:pPr>
        <w:pStyle w:val="Heading2"/>
      </w:pPr>
      <w:r>
        <w:t>First-year targets should be directional</w:t>
      </w:r>
    </w:p>
    <w:p>
      <w:pPr>
        <w:keepLines w:val="0"/>
      </w:pPr>
      <w:r>
        <w:rPr>
          <w:rFonts w:ascii="Aptos" w:hAnsi="Aptos"/>
          <w:i w:val="0"/>
          <w:color w:val="1F252B"/>
        </w:rPr>
        <w:t>VYNE should avoid artificial traffic targets before keyword and baseline data exist. The more useful Year 1 targets are operational: publish 12 high-quality cornerstone pieces, deliver 10-12 newsletter issues, complete 50 substantive advisor conversations, obtain 10 verified high-intent leads, move 3 cases into structured discovery and create at least one paid placement or validated alternative revenue outcome. These are proposed validation targets, not forecasts.</w:t>
      </w:r>
    </w:p>
    <w:p>
      <w:pPr>
        <w:pStyle w:val="Heading2"/>
      </w:pPr>
      <w:r>
        <w:t>Attribution</w:t>
      </w:r>
    </w:p>
    <w:p>
      <w:pPr>
        <w:pStyle w:val="ListBullet"/>
        <w:spacing w:after="40"/>
        <w:ind w:left="360" w:hanging="187"/>
      </w:pPr>
      <w:r>
        <w:rPr>
          <w:rFonts w:ascii="Aptos" w:hAnsi="Aptos"/>
          <w:color w:val="1F252B"/>
        </w:rPr>
        <w:t>Use first-touch, last-touch and self-reported source together.</w:t>
      </w:r>
    </w:p>
    <w:p>
      <w:pPr>
        <w:pStyle w:val="ListBullet"/>
        <w:spacing w:after="40"/>
        <w:ind w:left="360" w:hanging="187"/>
      </w:pPr>
      <w:r>
        <w:rPr>
          <w:rFonts w:ascii="Aptos" w:hAnsi="Aptos"/>
          <w:color w:val="1F252B"/>
        </w:rPr>
        <w:t>Track ChatGPT referrals using the utm_source=chatgpt.com parameter where present. [5]</w:t>
      </w:r>
    </w:p>
    <w:p>
      <w:pPr>
        <w:pStyle w:val="ListBullet"/>
        <w:spacing w:after="40"/>
        <w:ind w:left="360" w:hanging="187"/>
      </w:pPr>
      <w:r>
        <w:rPr>
          <w:rFonts w:ascii="Aptos" w:hAnsi="Aptos"/>
          <w:color w:val="1F252B"/>
        </w:rPr>
        <w:t>Use Google and Bing generative-AI reporting as it becomes available. [6-7]</w:t>
      </w:r>
    </w:p>
    <w:p>
      <w:pPr>
        <w:pStyle w:val="ListBullet"/>
        <w:spacing w:after="40"/>
        <w:ind w:left="360" w:hanging="187"/>
      </w:pPr>
      <w:r>
        <w:rPr>
          <w:rFonts w:ascii="Aptos" w:hAnsi="Aptos"/>
          <w:color w:val="1F252B"/>
        </w:rPr>
        <w:t>Do not attribute a multi-year advisor decision to the final form alone.</w:t>
      </w:r>
    </w:p>
    <w:p>
      <w:pPr>
        <w:pStyle w:val="ListBullet"/>
        <w:spacing w:after="40"/>
        <w:ind w:left="360" w:hanging="187"/>
      </w:pPr>
      <w:r>
        <w:rPr>
          <w:rFonts w:ascii="Aptos" w:hAnsi="Aptos"/>
          <w:color w:val="1F252B"/>
        </w:rPr>
        <w:t>Capture the content and question that first created trust.</w:t>
      </w:r>
    </w:p>
    <w:p>
      <w:r>
        <w:br w:type="page"/>
      </w:r>
    </w:p>
    <w:p>
      <w:pPr>
        <w:pStyle w:val="Heading1"/>
        <w:pBdr>
          <w:bottom w:val="single" w:sz="7" w:space="4" w:color="D5DBE3"/>
        </w:pBdr>
      </w:pPr>
      <w:r>
        <w:t>12  AI agent workflows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2541"/>
        <w:gridCol w:w="2541"/>
        <w:gridCol w:w="2541"/>
        <w:gridCol w:w="2541"/>
      </w:tblGrid>
      <w:tr>
        <w:trPr>
          <w:tblHeader w:val="true"/>
        </w:trPr>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Agent</w:t>
            </w:r>
          </w:p>
        </w:tc>
        <w:tc>
          <w:tcPr>
            <w:tcW w:type="dxa" w:w="2304"/>
            <w:shd w:fill="1C3857"/>
            <w:vAlign w:val="center"/>
            <w:tcMar>
              <w:top w:w="90" w:type="dxa"/>
              <w:start w:w="100" w:type="dxa"/>
              <w:bottom w:w="90" w:type="dxa"/>
              <w:end w:w="100" w:type="dxa"/>
            </w:tcMar>
          </w:tcPr>
          <w:p>
            <w:pPr>
              <w:spacing w:after="0" w:before="0"/>
            </w:pPr>
            <w:r/>
            <w:r>
              <w:rPr>
                <w:rFonts w:ascii="Aptos" w:hAnsi="Aptos"/>
                <w:b/>
                <w:color w:val="FFFFFF"/>
                <w:sz w:val="16"/>
              </w:rPr>
              <w:t>Inputs</w:t>
            </w:r>
          </w:p>
        </w:tc>
        <w:tc>
          <w:tcPr>
            <w:tcW w:type="dxa" w:w="3168"/>
            <w:shd w:fill="1C3857"/>
            <w:vAlign w:val="center"/>
            <w:tcMar>
              <w:top w:w="90" w:type="dxa"/>
              <w:start w:w="100" w:type="dxa"/>
              <w:bottom w:w="90" w:type="dxa"/>
              <w:end w:w="100" w:type="dxa"/>
            </w:tcMar>
          </w:tcPr>
          <w:p>
            <w:pPr>
              <w:spacing w:after="0" w:before="0"/>
            </w:pPr>
            <w:r/>
            <w:r>
              <w:rPr>
                <w:rFonts w:ascii="Aptos" w:hAnsi="Aptos"/>
                <w:b/>
                <w:color w:val="FFFFFF"/>
                <w:sz w:val="16"/>
              </w:rPr>
              <w:t>Outputs</w:t>
            </w:r>
          </w:p>
        </w:tc>
        <w:tc>
          <w:tcPr>
            <w:tcW w:type="dxa" w:w="2880"/>
            <w:shd w:fill="1C3857"/>
            <w:vAlign w:val="center"/>
            <w:tcMar>
              <w:top w:w="90" w:type="dxa"/>
              <w:start w:w="100" w:type="dxa"/>
              <w:bottom w:w="90" w:type="dxa"/>
              <w:end w:w="100" w:type="dxa"/>
            </w:tcMar>
          </w:tcPr>
          <w:p>
            <w:pPr>
              <w:spacing w:after="0" w:before="0"/>
            </w:pPr>
            <w:r/>
            <w:r>
              <w:rPr>
                <w:rFonts w:ascii="Aptos" w:hAnsi="Aptos"/>
                <w:b/>
                <w:color w:val="FFFFFF"/>
                <w:sz w:val="16"/>
              </w:rPr>
              <w:t>Do not automate</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3"/>
              </w:rPr>
              <w:t>Content/AEO</w:t>
            </w:r>
          </w:p>
        </w:tc>
        <w:tc>
          <w:tcPr>
            <w:tcW w:type="dxa" w:w="2304"/>
            <w:vAlign w:val="center"/>
            <w:tcMar>
              <w:top w:w="90" w:type="dxa"/>
              <w:start w:w="100" w:type="dxa"/>
              <w:bottom w:w="90" w:type="dxa"/>
              <w:end w:w="100" w:type="dxa"/>
            </w:tcMar>
          </w:tcPr>
          <w:p>
            <w:pPr>
              <w:spacing w:after="0" w:before="0"/>
            </w:pPr>
            <w:r/>
            <w:r>
              <w:rPr>
                <w:rFonts w:ascii="Aptos" w:hAnsi="Aptos"/>
                <w:b w:val="0"/>
                <w:color w:val="1F252B"/>
                <w:sz w:val="13"/>
              </w:rPr>
              <w:t>Search data, advisor questions, sources, content inventory</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3"/>
              </w:rPr>
              <w:t>Briefs, drafts, refresh flags, internal links</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3"/>
              </w:rPr>
              <w:t>Publication</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3"/>
              </w:rPr>
              <w:t>Newsletter</w:t>
            </w:r>
          </w:p>
        </w:tc>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3"/>
              </w:rPr>
              <w:t>Approved articles, news, firm changes, segments</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3"/>
              </w:rPr>
              <w:t>Draft issue, subject lines, subscriber segments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3"/>
              </w:rPr>
              <w:t>Send without approval</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3"/>
              </w:rPr>
              <w:t>Lead Intelligence</w:t>
            </w:r>
          </w:p>
        </w:tc>
        <w:tc>
          <w:tcPr>
            <w:tcW w:type="dxa" w:w="2304"/>
            <w:vAlign w:val="center"/>
            <w:tcMar>
              <w:top w:w="90" w:type="dxa"/>
              <w:start w:w="100" w:type="dxa"/>
              <w:bottom w:w="90" w:type="dxa"/>
              <w:end w:w="100" w:type="dxa"/>
            </w:tcMar>
          </w:tcPr>
          <w:p>
            <w:pPr>
              <w:spacing w:after="0" w:before="0"/>
            </w:pPr>
            <w:r/>
            <w:r>
              <w:rPr>
                <w:rFonts w:ascii="Aptos" w:hAnsi="Aptos"/>
                <w:b w:val="0"/>
                <w:color w:val="1F252B"/>
                <w:sz w:val="13"/>
              </w:rPr>
              <w:t>Forms, analytics, CRM history</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3"/>
              </w:rPr>
              <w:t>Score, context summary, recommended next action</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3"/>
              </w:rPr>
              <w:t>Contact sensitive leads autonomously</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3"/>
              </w:rPr>
              <w:t>Firm Intelligence</w:t>
            </w:r>
          </w:p>
        </w:tc>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3"/>
              </w:rPr>
              <w:t>Public sources, approved advisor reports, firm materials</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3"/>
              </w:rPr>
              <w:t>Dated profile, conflicts, stale-data alerts</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3"/>
              </w:rPr>
              <w:t>Present unverified claims as fact</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3"/>
              </w:rPr>
              <w:t>Chief of Staff</w:t>
            </w:r>
          </w:p>
        </w:tc>
        <w:tc>
          <w:tcPr>
            <w:tcW w:type="dxa" w:w="2304"/>
            <w:vAlign w:val="center"/>
            <w:tcMar>
              <w:top w:w="90" w:type="dxa"/>
              <w:start w:w="100" w:type="dxa"/>
              <w:bottom w:w="90" w:type="dxa"/>
              <w:end w:w="100" w:type="dxa"/>
            </w:tcMar>
          </w:tcPr>
          <w:p>
            <w:pPr>
              <w:spacing w:after="0" w:before="0"/>
            </w:pPr>
            <w:r/>
            <w:r>
              <w:rPr>
                <w:rFonts w:ascii="Aptos" w:hAnsi="Aptos"/>
                <w:b w:val="0"/>
                <w:color w:val="1F252B"/>
                <w:sz w:val="13"/>
              </w:rPr>
              <w:t>CRM, calendar, tasks, content plan</w:t>
            </w:r>
          </w:p>
        </w:tc>
        <w:tc>
          <w:tcPr>
            <w:tcW w:type="dxa" w:w="3168"/>
            <w:vAlign w:val="center"/>
            <w:tcMar>
              <w:top w:w="90" w:type="dxa"/>
              <w:start w:w="100" w:type="dxa"/>
              <w:bottom w:w="90" w:type="dxa"/>
              <w:end w:w="100" w:type="dxa"/>
            </w:tcMar>
          </w:tcPr>
          <w:p>
            <w:pPr>
              <w:spacing w:after="0" w:before="0"/>
            </w:pPr>
            <w:r/>
            <w:r>
              <w:rPr>
                <w:rFonts w:ascii="Aptos" w:hAnsi="Aptos"/>
                <w:b w:val="0"/>
                <w:color w:val="1F252B"/>
                <w:sz w:val="13"/>
              </w:rPr>
              <w:t>Morning brief and founder decisions</w:t>
            </w:r>
          </w:p>
        </w:tc>
        <w:tc>
          <w:tcPr>
            <w:tcW w:type="dxa" w:w="2880"/>
            <w:vAlign w:val="center"/>
            <w:tcMar>
              <w:top w:w="90" w:type="dxa"/>
              <w:start w:w="100" w:type="dxa"/>
              <w:bottom w:w="90" w:type="dxa"/>
              <w:end w:w="100" w:type="dxa"/>
            </w:tcMar>
          </w:tcPr>
          <w:p>
            <w:pPr>
              <w:spacing w:after="0" w:before="0"/>
            </w:pPr>
            <w:r/>
            <w:r>
              <w:rPr>
                <w:rFonts w:ascii="Aptos" w:hAnsi="Aptos"/>
                <w:b w:val="0"/>
                <w:color w:val="1F252B"/>
                <w:sz w:val="13"/>
              </w:rPr>
              <w:t>External actions</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3"/>
              </w:rPr>
              <w:t>Press / Placement</w:t>
            </w:r>
          </w:p>
        </w:tc>
        <w:tc>
          <w:tcPr>
            <w:tcW w:type="dxa" w:w="2304"/>
            <w:shd w:fill="F7F8FA"/>
            <w:vAlign w:val="center"/>
            <w:tcMar>
              <w:top w:w="90" w:type="dxa"/>
              <w:start w:w="100" w:type="dxa"/>
              <w:bottom w:w="90" w:type="dxa"/>
              <w:end w:w="100" w:type="dxa"/>
            </w:tcMar>
          </w:tcPr>
          <w:p>
            <w:pPr>
              <w:spacing w:after="0" w:before="0"/>
            </w:pPr>
            <w:r/>
            <w:r>
              <w:rPr>
                <w:rFonts w:ascii="Aptos" w:hAnsi="Aptos"/>
                <w:b w:val="0"/>
                <w:color w:val="1F252B"/>
                <w:sz w:val="13"/>
              </w:rPr>
              <w:t>Approved case details and permissions</w:t>
            </w:r>
          </w:p>
        </w:tc>
        <w:tc>
          <w:tcPr>
            <w:tcW w:type="dxa" w:w="3168"/>
            <w:shd w:fill="F7F8FA"/>
            <w:vAlign w:val="center"/>
            <w:tcMar>
              <w:top w:w="90" w:type="dxa"/>
              <w:start w:w="100" w:type="dxa"/>
              <w:bottom w:w="90" w:type="dxa"/>
              <w:end w:w="100" w:type="dxa"/>
            </w:tcMar>
          </w:tcPr>
          <w:p>
            <w:pPr>
              <w:spacing w:after="0" w:before="0"/>
            </w:pPr>
            <w:r/>
            <w:r>
              <w:rPr>
                <w:rFonts w:ascii="Aptos" w:hAnsi="Aptos"/>
                <w:b w:val="0"/>
                <w:color w:val="1F252B"/>
                <w:sz w:val="13"/>
              </w:rPr>
              <w:t>Draft release, website item, social post</w:t>
            </w:r>
          </w:p>
        </w:tc>
        <w:tc>
          <w:tcPr>
            <w:tcW w:type="dxa" w:w="2880"/>
            <w:shd w:fill="F7F8FA"/>
            <w:vAlign w:val="center"/>
            <w:tcMar>
              <w:top w:w="90" w:type="dxa"/>
              <w:start w:w="100" w:type="dxa"/>
              <w:bottom w:w="90" w:type="dxa"/>
              <w:end w:w="100" w:type="dxa"/>
            </w:tcMar>
          </w:tcPr>
          <w:p>
            <w:pPr>
              <w:spacing w:after="0" w:before="0"/>
            </w:pPr>
            <w:r/>
            <w:r>
              <w:rPr>
                <w:rFonts w:ascii="Aptos" w:hAnsi="Aptos"/>
                <w:b w:val="0"/>
                <w:color w:val="1F252B"/>
                <w:sz w:val="13"/>
              </w:rPr>
              <w:t>Publish before approvals</w:t>
            </w:r>
          </w:p>
        </w:tc>
      </w:tr>
    </w:tbl>
    <w:p>
      <w:pPr>
        <w:spacing w:after="0"/>
      </w:pPr>
    </w:p>
    <w:p>
      <w:pPr>
        <w:pStyle w:val="Heading2"/>
      </w:pPr>
      <w:r>
        <w:t>Agent-to-agent workflow</w:t>
      </w:r>
    </w:p>
    <w:p>
      <w:pPr>
        <w:keepLines w:val="0"/>
      </w:pPr>
      <w:r>
        <w:rPr>
          <w:rFonts w:ascii="Aptos" w:hAnsi="Aptos"/>
          <w:i w:val="0"/>
          <w:color w:val="1F252B"/>
        </w:rPr>
        <w:t>The Content Agent identifies a high-intent topic. The Firm Intelligence Agent supplies dated research. The Content Agent drafts. The Data Governance Agent checks sourcing and confidentiality. The founder approves. The Newsletter Agent distributes. The Lead Intelligence Agent monitors responses. The Chief of Staff surfaces qualified actions. All agents use a common content ID, advisor case ID and permission model.</w:t>
      </w:r>
    </w:p>
    <w:p>
      <w:r>
        <w:br w:type="page"/>
      </w:r>
    </w:p>
    <w:p>
      <w:pPr>
        <w:pStyle w:val="Heading1"/>
        <w:pBdr>
          <w:bottom w:val="single" w:sz="7" w:space="4" w:color="D5DBE3"/>
        </w:pBdr>
      </w:pPr>
      <w:r>
        <w:t>13  12-month editorial and launch plan</w:t>
      </w:r>
    </w:p>
    <w:p>
      <w:pPr>
        <w:pStyle w:val="Heading2"/>
      </w:pPr>
      <w:r>
        <w:t>Quarter 1 - Establish the entity and questions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008"/>
            <w:shd w:fill="1C3857"/>
            <w:vAlign w:val="center"/>
            <w:tcMar>
              <w:top w:w="90" w:type="dxa"/>
              <w:start w:w="100" w:type="dxa"/>
              <w:bottom w:w="90" w:type="dxa"/>
              <w:end w:w="100" w:type="dxa"/>
            </w:tcMar>
          </w:tcPr>
          <w:p>
            <w:pPr>
              <w:spacing w:after="0" w:before="0"/>
            </w:pPr>
            <w:r/>
            <w:r>
              <w:rPr>
                <w:rFonts w:ascii="Aptos" w:hAnsi="Aptos"/>
                <w:b/>
                <w:color w:val="FFFFFF"/>
                <w:sz w:val="16"/>
              </w:rPr>
              <w:t>Month</w:t>
            </w:r>
          </w:p>
        </w:tc>
        <w:tc>
          <w:tcPr>
            <w:tcW w:type="dxa" w:w="5760"/>
            <w:shd w:fill="1C3857"/>
            <w:vAlign w:val="center"/>
            <w:tcMar>
              <w:top w:w="90" w:type="dxa"/>
              <w:start w:w="100" w:type="dxa"/>
              <w:bottom w:w="90" w:type="dxa"/>
              <w:end w:w="100" w:type="dxa"/>
            </w:tcMar>
          </w:tcPr>
          <w:p>
            <w:pPr>
              <w:spacing w:after="0" w:before="0"/>
            </w:pPr>
            <w:r/>
            <w:r>
              <w:rPr>
                <w:rFonts w:ascii="Aptos" w:hAnsi="Aptos"/>
                <w:b/>
                <w:color w:val="FFFFFF"/>
                <w:sz w:val="16"/>
              </w:rPr>
              <w:t>Cornerstone content</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Interactive / conversion</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1</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Should I stay or change firms?</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Eight VYNE Questions</w:t>
            </w:r>
          </w:p>
        </w:tc>
      </w:tr>
      <w:tr>
        <w:tc>
          <w:tcPr>
            <w:tcW w:type="dxa" w:w="1008"/>
            <w:shd w:fill="F7F8FA"/>
            <w:vAlign w:val="center"/>
            <w:tcMar>
              <w:top w:w="90" w:type="dxa"/>
              <w:start w:w="100" w:type="dxa"/>
              <w:bottom w:w="90" w:type="dxa"/>
              <w:end w:w="100" w:type="dxa"/>
            </w:tcMar>
          </w:tcPr>
          <w:p>
            <w:pPr>
              <w:spacing w:after="0" w:before="0"/>
            </w:pPr>
            <w:r/>
            <w:r>
              <w:rPr>
                <w:rFonts w:ascii="Aptos" w:hAnsi="Aptos"/>
                <w:b w:val="0"/>
                <w:color w:val="1F252B"/>
                <w:sz w:val="15"/>
              </w:rPr>
              <w:t>2</w:t>
            </w:r>
          </w:p>
        </w:tc>
        <w:tc>
          <w:tcPr>
            <w:tcW w:type="dxa" w:w="5760"/>
            <w:shd w:fill="F7F8FA"/>
            <w:vAlign w:val="center"/>
            <w:tcMar>
              <w:top w:w="90" w:type="dxa"/>
              <w:start w:w="100" w:type="dxa"/>
              <w:bottom w:w="90" w:type="dxa"/>
              <w:end w:w="100" w:type="dxa"/>
            </w:tcMar>
          </w:tcPr>
          <w:p>
            <w:pPr>
              <w:spacing w:after="0" w:before="0"/>
            </w:pPr>
            <w:r/>
            <w:r>
              <w:rPr>
                <w:rFonts w:ascii="Aptos" w:hAnsi="Aptos"/>
                <w:b w:val="0"/>
                <w:color w:val="1F252B"/>
                <w:sz w:val="15"/>
              </w:rPr>
              <w:t>What should advisors evaluate beyond the recruiting package?</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Newsletter launch</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3</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What does a financial advisor actually own?</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Enterprise Economics Check</w:t>
            </w:r>
          </w:p>
        </w:tc>
      </w:tr>
    </w:tbl>
    <w:p>
      <w:pPr>
        <w:spacing w:after="0"/>
      </w:pPr>
    </w:p>
    <w:p>
      <w:pPr>
        <w:pStyle w:val="Heading2"/>
      </w:pPr>
      <w:r>
        <w:t>Quarter 2 - Own economics and portability</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008"/>
            <w:shd w:fill="1C3857"/>
            <w:vAlign w:val="center"/>
            <w:tcMar>
              <w:top w:w="90" w:type="dxa"/>
              <w:start w:w="100" w:type="dxa"/>
              <w:bottom w:w="90" w:type="dxa"/>
              <w:end w:w="100" w:type="dxa"/>
            </w:tcMar>
          </w:tcPr>
          <w:p>
            <w:pPr>
              <w:spacing w:after="0" w:before="0"/>
            </w:pPr>
            <w:r/>
            <w:r>
              <w:rPr>
                <w:rFonts w:ascii="Aptos" w:hAnsi="Aptos"/>
                <w:b/>
                <w:color w:val="FFFFFF"/>
                <w:sz w:val="16"/>
              </w:rPr>
              <w:t>Month</w:t>
            </w:r>
          </w:p>
        </w:tc>
        <w:tc>
          <w:tcPr>
            <w:tcW w:type="dxa" w:w="5760"/>
            <w:shd w:fill="1C3857"/>
            <w:vAlign w:val="center"/>
            <w:tcMar>
              <w:top w:w="90" w:type="dxa"/>
              <w:start w:w="100" w:type="dxa"/>
              <w:bottom w:w="90" w:type="dxa"/>
              <w:end w:w="100" w:type="dxa"/>
            </w:tcMar>
          </w:tcPr>
          <w:p>
            <w:pPr>
              <w:spacing w:after="0" w:before="0"/>
            </w:pPr>
            <w:r/>
            <w:r>
              <w:rPr>
                <w:rFonts w:ascii="Aptos" w:hAnsi="Aptos"/>
                <w:b/>
                <w:color w:val="FFFFFF"/>
                <w:sz w:val="16"/>
              </w:rPr>
              <w:t>Cornerstone content</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Interactive / conversion</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4</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How do recruiting offers work?</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Offer Review request</w:t>
            </w:r>
          </w:p>
        </w:tc>
      </w:tr>
      <w:tr>
        <w:tc>
          <w:tcPr>
            <w:tcW w:type="dxa" w:w="1008"/>
            <w:shd w:fill="F7F8FA"/>
            <w:vAlign w:val="center"/>
            <w:tcMar>
              <w:top w:w="90" w:type="dxa"/>
              <w:start w:w="100" w:type="dxa"/>
              <w:bottom w:w="90" w:type="dxa"/>
              <w:end w:w="100" w:type="dxa"/>
            </w:tcMar>
          </w:tcPr>
          <w:p>
            <w:pPr>
              <w:spacing w:after="0" w:before="0"/>
            </w:pPr>
            <w:r/>
            <w:r>
              <w:rPr>
                <w:rFonts w:ascii="Aptos" w:hAnsi="Aptos"/>
                <w:b w:val="0"/>
                <w:color w:val="1F252B"/>
                <w:sz w:val="15"/>
              </w:rPr>
              <w:t>5</w:t>
            </w:r>
          </w:p>
        </w:tc>
        <w:tc>
          <w:tcPr>
            <w:tcW w:type="dxa" w:w="5760"/>
            <w:shd w:fill="F7F8FA"/>
            <w:vAlign w:val="center"/>
            <w:tcMar>
              <w:top w:w="90" w:type="dxa"/>
              <w:start w:w="100" w:type="dxa"/>
              <w:bottom w:w="90" w:type="dxa"/>
              <w:end w:w="100" w:type="dxa"/>
            </w:tcMar>
          </w:tcPr>
          <w:p>
            <w:pPr>
              <w:spacing w:after="0" w:before="0"/>
            </w:pPr>
            <w:r/>
            <w:r>
              <w:rPr>
                <w:rFonts w:ascii="Aptos" w:hAnsi="Aptos"/>
                <w:b w:val="0"/>
                <w:color w:val="1F252B"/>
                <w:sz w:val="15"/>
              </w:rPr>
              <w:t>How portable is a financial advisor's book?</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Preliminary Portability assessment</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6</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Employee vs supported independence</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Firm/Model comparison request</w:t>
            </w:r>
          </w:p>
        </w:tc>
      </w:tr>
    </w:tbl>
    <w:p>
      <w:pPr>
        <w:spacing w:after="0"/>
      </w:pPr>
    </w:p>
    <w:p>
      <w:pPr>
        <w:pStyle w:val="Heading2"/>
      </w:pPr>
      <w:r>
        <w:t>Quarter 3 - Build succession and firm intelligence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008"/>
            <w:shd w:fill="1C3857"/>
            <w:vAlign w:val="center"/>
            <w:tcMar>
              <w:top w:w="90" w:type="dxa"/>
              <w:start w:w="100" w:type="dxa"/>
              <w:bottom w:w="90" w:type="dxa"/>
              <w:end w:w="100" w:type="dxa"/>
            </w:tcMar>
          </w:tcPr>
          <w:p>
            <w:pPr>
              <w:spacing w:after="0" w:before="0"/>
            </w:pPr>
            <w:r/>
            <w:r>
              <w:rPr>
                <w:rFonts w:ascii="Aptos" w:hAnsi="Aptos"/>
                <w:b/>
                <w:color w:val="FFFFFF"/>
                <w:sz w:val="16"/>
              </w:rPr>
              <w:t>Month</w:t>
            </w:r>
          </w:p>
        </w:tc>
        <w:tc>
          <w:tcPr>
            <w:tcW w:type="dxa" w:w="5760"/>
            <w:shd w:fill="1C3857"/>
            <w:vAlign w:val="center"/>
            <w:tcMar>
              <w:top w:w="90" w:type="dxa"/>
              <w:start w:w="100" w:type="dxa"/>
              <w:bottom w:w="90" w:type="dxa"/>
              <w:end w:w="100" w:type="dxa"/>
            </w:tcMar>
          </w:tcPr>
          <w:p>
            <w:pPr>
              <w:spacing w:after="0" w:before="0"/>
            </w:pPr>
            <w:r/>
            <w:r>
              <w:rPr>
                <w:rFonts w:ascii="Aptos" w:hAnsi="Aptos"/>
                <w:b/>
                <w:color w:val="FFFFFF"/>
                <w:sz w:val="16"/>
              </w:rPr>
              <w:t>Cornerstone content</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Interactive / conversion</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7</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How should advisors evaluate equity offers?</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Equity checklist</w:t>
            </w:r>
          </w:p>
        </w:tc>
      </w:tr>
      <w:tr>
        <w:tc>
          <w:tcPr>
            <w:tcW w:type="dxa" w:w="1008"/>
            <w:shd w:fill="F7F8FA"/>
            <w:vAlign w:val="center"/>
            <w:tcMar>
              <w:top w:w="90" w:type="dxa"/>
              <w:start w:w="100" w:type="dxa"/>
              <w:bottom w:w="90" w:type="dxa"/>
              <w:end w:w="100" w:type="dxa"/>
            </w:tcMar>
          </w:tcPr>
          <w:p>
            <w:pPr>
              <w:spacing w:after="0" w:before="0"/>
            </w:pPr>
            <w:r/>
            <w:r>
              <w:rPr>
                <w:rFonts w:ascii="Aptos" w:hAnsi="Aptos"/>
                <w:b w:val="0"/>
                <w:color w:val="1F252B"/>
                <w:sz w:val="15"/>
              </w:rPr>
              <w:t>8</w:t>
            </w:r>
          </w:p>
        </w:tc>
        <w:tc>
          <w:tcPr>
            <w:tcW w:type="dxa" w:w="5760"/>
            <w:shd w:fill="F7F8FA"/>
            <w:vAlign w:val="center"/>
            <w:tcMar>
              <w:top w:w="90" w:type="dxa"/>
              <w:start w:w="100" w:type="dxa"/>
              <w:bottom w:w="90" w:type="dxa"/>
              <w:end w:w="100" w:type="dxa"/>
            </w:tcMar>
          </w:tcPr>
          <w:p>
            <w:pPr>
              <w:spacing w:after="0" w:before="0"/>
            </w:pPr>
            <w:r/>
            <w:r>
              <w:rPr>
                <w:rFonts w:ascii="Aptos" w:hAnsi="Aptos"/>
                <w:b w:val="0"/>
                <w:color w:val="1F252B"/>
                <w:sz w:val="15"/>
              </w:rPr>
              <w:t>How should an advisor choose a successor?</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Succession Readiness</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9</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How many firms should an advisor evaluate?</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Verified firm research access</w:t>
            </w:r>
          </w:p>
        </w:tc>
      </w:tr>
    </w:tbl>
    <w:p>
      <w:pPr>
        <w:spacing w:after="0"/>
      </w:pPr>
    </w:p>
    <w:p>
      <w:pPr>
        <w:pStyle w:val="Heading2"/>
      </w:pPr>
      <w:r>
        <w:t>Quarter 4 - Publish evidence and deepen the network</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008"/>
            <w:shd w:fill="1C3857"/>
            <w:vAlign w:val="center"/>
            <w:tcMar>
              <w:top w:w="90" w:type="dxa"/>
              <w:start w:w="100" w:type="dxa"/>
              <w:bottom w:w="90" w:type="dxa"/>
              <w:end w:w="100" w:type="dxa"/>
            </w:tcMar>
          </w:tcPr>
          <w:p>
            <w:pPr>
              <w:spacing w:after="0" w:before="0"/>
            </w:pPr>
            <w:r/>
            <w:r>
              <w:rPr>
                <w:rFonts w:ascii="Aptos" w:hAnsi="Aptos"/>
                <w:b/>
                <w:color w:val="FFFFFF"/>
                <w:sz w:val="16"/>
              </w:rPr>
              <w:t>Month</w:t>
            </w:r>
          </w:p>
        </w:tc>
        <w:tc>
          <w:tcPr>
            <w:tcW w:type="dxa" w:w="5760"/>
            <w:shd w:fill="1C3857"/>
            <w:vAlign w:val="center"/>
            <w:tcMar>
              <w:top w:w="90" w:type="dxa"/>
              <w:start w:w="100" w:type="dxa"/>
              <w:bottom w:w="90" w:type="dxa"/>
              <w:end w:w="100" w:type="dxa"/>
            </w:tcMar>
          </w:tcPr>
          <w:p>
            <w:pPr>
              <w:spacing w:after="0" w:before="0"/>
            </w:pPr>
            <w:r/>
            <w:r>
              <w:rPr>
                <w:rFonts w:ascii="Aptos" w:hAnsi="Aptos"/>
                <w:b/>
                <w:color w:val="FFFFFF"/>
                <w:sz w:val="16"/>
              </w:rPr>
              <w:t>Cornerstone content</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Interactive / conversion</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10</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What happens to clients during a move?</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Client-impact assessment</w:t>
            </w:r>
          </w:p>
        </w:tc>
      </w:tr>
      <w:tr>
        <w:tc>
          <w:tcPr>
            <w:tcW w:type="dxa" w:w="1008"/>
            <w:shd w:fill="F7F8FA"/>
            <w:vAlign w:val="center"/>
            <w:tcMar>
              <w:top w:w="90" w:type="dxa"/>
              <w:start w:w="100" w:type="dxa"/>
              <w:bottom w:w="90" w:type="dxa"/>
              <w:end w:w="100" w:type="dxa"/>
            </w:tcMar>
          </w:tcPr>
          <w:p>
            <w:pPr>
              <w:spacing w:after="0" w:before="0"/>
            </w:pPr>
            <w:r/>
            <w:r>
              <w:rPr>
                <w:rFonts w:ascii="Aptos" w:hAnsi="Aptos"/>
                <w:b w:val="0"/>
                <w:color w:val="1F252B"/>
                <w:sz w:val="15"/>
              </w:rPr>
              <w:t>11</w:t>
            </w:r>
          </w:p>
        </w:tc>
        <w:tc>
          <w:tcPr>
            <w:tcW w:type="dxa" w:w="5760"/>
            <w:shd w:fill="F7F8FA"/>
            <w:vAlign w:val="center"/>
            <w:tcMar>
              <w:top w:w="90" w:type="dxa"/>
              <w:start w:w="100" w:type="dxa"/>
              <w:bottom w:w="90" w:type="dxa"/>
              <w:end w:w="100" w:type="dxa"/>
            </w:tcMar>
          </w:tcPr>
          <w:p>
            <w:pPr>
              <w:spacing w:after="0" w:before="0"/>
            </w:pPr>
            <w:r/>
            <w:r>
              <w:rPr>
                <w:rFonts w:ascii="Aptos" w:hAnsi="Aptos"/>
                <w:b w:val="0"/>
                <w:color w:val="1F252B"/>
                <w:sz w:val="15"/>
              </w:rPr>
              <w:t>The cost of staying, waiting and moving</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Decision scenario request</w:t>
            </w:r>
          </w:p>
        </w:tc>
      </w:tr>
      <w:tr>
        <w:tc>
          <w:tcPr>
            <w:tcW w:type="dxa" w:w="1008"/>
            <w:vAlign w:val="center"/>
            <w:tcMar>
              <w:top w:w="90" w:type="dxa"/>
              <w:start w:w="100" w:type="dxa"/>
              <w:bottom w:w="90" w:type="dxa"/>
              <w:end w:w="100" w:type="dxa"/>
            </w:tcMar>
          </w:tcPr>
          <w:p>
            <w:pPr>
              <w:spacing w:after="0" w:before="0"/>
            </w:pPr>
            <w:r/>
            <w:r>
              <w:rPr>
                <w:rFonts w:ascii="Aptos" w:hAnsi="Aptos"/>
                <w:b w:val="0"/>
                <w:color w:val="1F252B"/>
                <w:sz w:val="15"/>
              </w:rPr>
              <w:t>12</w:t>
            </w:r>
          </w:p>
        </w:tc>
        <w:tc>
          <w:tcPr>
            <w:tcW w:type="dxa" w:w="5760"/>
            <w:vAlign w:val="center"/>
            <w:tcMar>
              <w:top w:w="90" w:type="dxa"/>
              <w:start w:w="100" w:type="dxa"/>
              <w:bottom w:w="90" w:type="dxa"/>
              <w:end w:w="100" w:type="dxa"/>
            </w:tcMar>
          </w:tcPr>
          <w:p>
            <w:pPr>
              <w:spacing w:after="0" w:before="0"/>
            </w:pPr>
            <w:r/>
            <w:r>
              <w:rPr>
                <w:rFonts w:ascii="Aptos" w:hAnsi="Aptos"/>
                <w:b w:val="0"/>
                <w:color w:val="1F252B"/>
                <w:sz w:val="15"/>
              </w:rPr>
              <w:t>Annual Advisor Decision and Movement Report</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Annual confidential review</w:t>
            </w:r>
          </w:p>
        </w:tc>
      </w:tr>
    </w:tbl>
    <w:p>
      <w:pPr>
        <w:spacing w:after="0"/>
      </w:pPr>
    </w:p>
    <w:p>
      <w:pPr>
        <w:pStyle w:val="Heading2"/>
      </w:pPr>
      <w:r>
        <w:t>Editorial production rule</w:t>
      </w:r>
    </w:p>
    <w:p>
      <w:pPr>
        <w:keepLines w:val="0"/>
      </w:pPr>
      <w:r>
        <w:rPr>
          <w:rFonts w:ascii="Aptos" w:hAnsi="Aptos"/>
          <w:i w:val="0"/>
          <w:color w:val="1F252B"/>
        </w:rPr>
        <w:t>One excellent cornerstone article, one newsletter and several derivative LinkedIn posts per month are enough to begin. Consistency and quality matter more than volume. Public content should be created from real advisor questions and operating insights, not a generic keyword list.</w:t>
      </w:r>
    </w:p>
    <w:p>
      <w:r>
        <w:br w:type="page"/>
      </w:r>
    </w:p>
    <w:p>
      <w:pPr>
        <w:pStyle w:val="Heading1"/>
        <w:pBdr>
          <w:bottom w:val="single" w:sz="7" w:space="4" w:color="D5DBE3"/>
        </w:pBdr>
      </w:pPr>
      <w:r>
        <w:t>14  Guardrails and risks</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800"/>
            <w:shd w:fill="1C3857"/>
            <w:vAlign w:val="center"/>
            <w:tcMar>
              <w:top w:w="90" w:type="dxa"/>
              <w:start w:w="100" w:type="dxa"/>
              <w:bottom w:w="90" w:type="dxa"/>
              <w:end w:w="100" w:type="dxa"/>
            </w:tcMar>
          </w:tcPr>
          <w:p>
            <w:pPr>
              <w:spacing w:after="0" w:before="0"/>
            </w:pPr>
            <w:r/>
            <w:r>
              <w:rPr>
                <w:rFonts w:ascii="Aptos" w:hAnsi="Aptos"/>
                <w:b/>
                <w:color w:val="FFFFFF"/>
                <w:sz w:val="16"/>
              </w:rPr>
              <w:t>Risk</w:t>
            </w:r>
          </w:p>
        </w:tc>
        <w:tc>
          <w:tcPr>
            <w:tcW w:type="dxa" w:w="3816"/>
            <w:shd w:fill="1C3857"/>
            <w:vAlign w:val="center"/>
            <w:tcMar>
              <w:top w:w="90" w:type="dxa"/>
              <w:start w:w="100" w:type="dxa"/>
              <w:bottom w:w="90" w:type="dxa"/>
              <w:end w:w="100" w:type="dxa"/>
            </w:tcMar>
          </w:tcPr>
          <w:p>
            <w:pPr>
              <w:spacing w:after="0" w:before="0"/>
            </w:pPr>
            <w:r/>
            <w:r>
              <w:rPr>
                <w:rFonts w:ascii="Aptos" w:hAnsi="Aptos"/>
                <w:b/>
                <w:color w:val="FFFFFF"/>
                <w:sz w:val="16"/>
              </w:rPr>
              <w:t>Why it matters</w:t>
            </w:r>
          </w:p>
        </w:tc>
        <w:tc>
          <w:tcPr>
            <w:tcW w:type="dxa" w:w="4464"/>
            <w:shd w:fill="1C3857"/>
            <w:vAlign w:val="center"/>
            <w:tcMar>
              <w:top w:w="90" w:type="dxa"/>
              <w:start w:w="100" w:type="dxa"/>
              <w:bottom w:w="90" w:type="dxa"/>
              <w:end w:w="100" w:type="dxa"/>
            </w:tcMar>
          </w:tcPr>
          <w:p>
            <w:pPr>
              <w:spacing w:after="0" w:before="0"/>
            </w:pPr>
            <w:r/>
            <w:r>
              <w:rPr>
                <w:rFonts w:ascii="Aptos" w:hAnsi="Aptos"/>
                <w:b/>
                <w:color w:val="FFFFFF"/>
                <w:sz w:val="16"/>
              </w:rPr>
              <w:t>Guardrail</w:t>
            </w:r>
          </w:p>
        </w:tc>
      </w:tr>
      <w:tr>
        <w:tc>
          <w:tcPr>
            <w:tcW w:type="dxa" w:w="1800"/>
            <w:vAlign w:val="center"/>
            <w:tcMar>
              <w:top w:w="90" w:type="dxa"/>
              <w:start w:w="100" w:type="dxa"/>
              <w:bottom w:w="90" w:type="dxa"/>
              <w:end w:w="100" w:type="dxa"/>
            </w:tcMar>
          </w:tcPr>
          <w:p>
            <w:pPr>
              <w:spacing w:after="0" w:before="0"/>
            </w:pPr>
            <w:r/>
            <w:r>
              <w:rPr>
                <w:rFonts w:ascii="Aptos" w:hAnsi="Aptos"/>
                <w:b w:val="0"/>
                <w:color w:val="1F252B"/>
                <w:sz w:val="14"/>
              </w:rPr>
              <w:t>Over-gating</w:t>
            </w:r>
          </w:p>
        </w:tc>
        <w:tc>
          <w:tcPr>
            <w:tcW w:type="dxa" w:w="3816"/>
            <w:vAlign w:val="center"/>
            <w:tcMar>
              <w:top w:w="90" w:type="dxa"/>
              <w:start w:w="100" w:type="dxa"/>
              <w:bottom w:w="90" w:type="dxa"/>
              <w:end w:w="100" w:type="dxa"/>
            </w:tcMar>
          </w:tcPr>
          <w:p>
            <w:pPr>
              <w:spacing w:after="0" w:before="0"/>
            </w:pPr>
            <w:r/>
            <w:r>
              <w:rPr>
                <w:rFonts w:ascii="Aptos" w:hAnsi="Aptos"/>
                <w:b w:val="0"/>
                <w:color w:val="1F252B"/>
                <w:sz w:val="14"/>
              </w:rPr>
              <w:t>Search systems and advisors cannot access enough useful content</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4"/>
              </w:rPr>
              <w:t>Keep cornerstone answers public; gate only personalized analysis.</w:t>
            </w:r>
          </w:p>
        </w:tc>
      </w:tr>
      <w:tr>
        <w:tc>
          <w:tcPr>
            <w:tcW w:type="dxa" w:w="1800"/>
            <w:shd w:fill="F7F8FA"/>
            <w:vAlign w:val="center"/>
            <w:tcMar>
              <w:top w:w="90" w:type="dxa"/>
              <w:start w:w="100" w:type="dxa"/>
              <w:bottom w:w="90" w:type="dxa"/>
              <w:end w:w="100" w:type="dxa"/>
            </w:tcMar>
          </w:tcPr>
          <w:p>
            <w:pPr>
              <w:spacing w:after="0" w:before="0"/>
            </w:pPr>
            <w:r/>
            <w:r>
              <w:rPr>
                <w:rFonts w:ascii="Aptos" w:hAnsi="Aptos"/>
                <w:b w:val="0"/>
                <w:color w:val="1F252B"/>
                <w:sz w:val="14"/>
              </w:rPr>
              <w:t>Under-gating</w:t>
            </w:r>
          </w:p>
        </w:tc>
        <w:tc>
          <w:tcPr>
            <w:tcW w:type="dxa" w:w="3816"/>
            <w:shd w:fill="F7F8FA"/>
            <w:vAlign w:val="center"/>
            <w:tcMar>
              <w:top w:w="90" w:type="dxa"/>
              <w:start w:w="100" w:type="dxa"/>
              <w:bottom w:w="90" w:type="dxa"/>
              <w:end w:w="100" w:type="dxa"/>
            </w:tcMar>
          </w:tcPr>
          <w:p>
            <w:pPr>
              <w:spacing w:after="0" w:before="0"/>
            </w:pPr>
            <w:r/>
            <w:r>
              <w:rPr>
                <w:rFonts w:ascii="Aptos" w:hAnsi="Aptos"/>
                <w:b w:val="0"/>
                <w:color w:val="1F252B"/>
                <w:sz w:val="14"/>
              </w:rPr>
              <w:t>VYNE gives away proprietary or sensitive intelligence</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4"/>
              </w:rPr>
              <w:t>Use public/verified/active-case access layers.</w:t>
            </w:r>
          </w:p>
        </w:tc>
      </w:tr>
      <w:tr>
        <w:tc>
          <w:tcPr>
            <w:tcW w:type="dxa" w:w="1800"/>
            <w:vAlign w:val="center"/>
            <w:tcMar>
              <w:top w:w="90" w:type="dxa"/>
              <w:start w:w="100" w:type="dxa"/>
              <w:bottom w:w="90" w:type="dxa"/>
              <w:end w:w="100" w:type="dxa"/>
            </w:tcMar>
          </w:tcPr>
          <w:p>
            <w:pPr>
              <w:spacing w:after="0" w:before="0"/>
            </w:pPr>
            <w:r/>
            <w:r>
              <w:rPr>
                <w:rFonts w:ascii="Aptos" w:hAnsi="Aptos"/>
                <w:b w:val="0"/>
                <w:color w:val="1F252B"/>
                <w:sz w:val="14"/>
              </w:rPr>
              <w:t>Faceless trust gap</w:t>
            </w:r>
          </w:p>
        </w:tc>
        <w:tc>
          <w:tcPr>
            <w:tcW w:type="dxa" w:w="3816"/>
            <w:vAlign w:val="center"/>
            <w:tcMar>
              <w:top w:w="90" w:type="dxa"/>
              <w:start w:w="100" w:type="dxa"/>
              <w:bottom w:w="90" w:type="dxa"/>
              <w:end w:w="100" w:type="dxa"/>
            </w:tcMar>
          </w:tcPr>
          <w:p>
            <w:pPr>
              <w:spacing w:after="0" w:before="0"/>
            </w:pPr>
            <w:r/>
            <w:r>
              <w:rPr>
                <w:rFonts w:ascii="Aptos" w:hAnsi="Aptos"/>
                <w:b w:val="0"/>
                <w:color w:val="1F252B"/>
                <w:sz w:val="14"/>
              </w:rPr>
              <w:t>Advisor cannot verify who is accountable</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4"/>
              </w:rPr>
              <w:t>Founder-light but transparent identity and credentials.</w:t>
            </w:r>
          </w:p>
        </w:tc>
      </w:tr>
      <w:tr>
        <w:tc>
          <w:tcPr>
            <w:tcW w:type="dxa" w:w="1800"/>
            <w:shd w:fill="F7F8FA"/>
            <w:vAlign w:val="center"/>
            <w:tcMar>
              <w:top w:w="90" w:type="dxa"/>
              <w:start w:w="100" w:type="dxa"/>
              <w:bottom w:w="90" w:type="dxa"/>
              <w:end w:w="100" w:type="dxa"/>
            </w:tcMar>
          </w:tcPr>
          <w:p>
            <w:pPr>
              <w:spacing w:after="0" w:before="0"/>
            </w:pPr>
            <w:r/>
            <w:r>
              <w:rPr>
                <w:rFonts w:ascii="Aptos" w:hAnsi="Aptos"/>
                <w:b w:val="0"/>
                <w:color w:val="1F252B"/>
                <w:sz w:val="14"/>
              </w:rPr>
              <w:t>Unsupported claims</w:t>
            </w:r>
          </w:p>
        </w:tc>
        <w:tc>
          <w:tcPr>
            <w:tcW w:type="dxa" w:w="3816"/>
            <w:shd w:fill="F7F8FA"/>
            <w:vAlign w:val="center"/>
            <w:tcMar>
              <w:top w:w="90" w:type="dxa"/>
              <w:start w:w="100" w:type="dxa"/>
              <w:bottom w:w="90" w:type="dxa"/>
              <w:end w:w="100" w:type="dxa"/>
            </w:tcMar>
          </w:tcPr>
          <w:p>
            <w:pPr>
              <w:spacing w:after="0" w:before="0"/>
            </w:pPr>
            <w:r/>
            <w:r>
              <w:rPr>
                <w:rFonts w:ascii="Aptos" w:hAnsi="Aptos"/>
                <w:b w:val="0"/>
                <w:color w:val="1F252B"/>
                <w:sz w:val="14"/>
              </w:rPr>
              <w:t>New firm implies scale, success or data it does not have</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4"/>
              </w:rPr>
              <w:t>Evidence review and claims register.</w:t>
            </w:r>
          </w:p>
        </w:tc>
      </w:tr>
      <w:tr>
        <w:tc>
          <w:tcPr>
            <w:tcW w:type="dxa" w:w="1800"/>
            <w:vAlign w:val="center"/>
            <w:tcMar>
              <w:top w:w="90" w:type="dxa"/>
              <w:start w:w="100" w:type="dxa"/>
              <w:bottom w:w="90" w:type="dxa"/>
              <w:end w:w="100" w:type="dxa"/>
            </w:tcMar>
          </w:tcPr>
          <w:p>
            <w:pPr>
              <w:spacing w:after="0" w:before="0"/>
            </w:pPr>
            <w:r/>
            <w:r>
              <w:rPr>
                <w:rFonts w:ascii="Aptos" w:hAnsi="Aptos"/>
                <w:b w:val="0"/>
                <w:color w:val="1F252B"/>
                <w:sz w:val="14"/>
              </w:rPr>
              <w:t>Content commoditization</w:t>
            </w:r>
          </w:p>
        </w:tc>
        <w:tc>
          <w:tcPr>
            <w:tcW w:type="dxa" w:w="3816"/>
            <w:vAlign w:val="center"/>
            <w:tcMar>
              <w:top w:w="90" w:type="dxa"/>
              <w:start w:w="100" w:type="dxa"/>
              <w:bottom w:w="90" w:type="dxa"/>
              <w:end w:w="100" w:type="dxa"/>
            </w:tcMar>
          </w:tcPr>
          <w:p>
            <w:pPr>
              <w:spacing w:after="0" w:before="0"/>
            </w:pPr>
            <w:r/>
            <w:r>
              <w:rPr>
                <w:rFonts w:ascii="Aptos" w:hAnsi="Aptos"/>
                <w:b w:val="0"/>
                <w:color w:val="1F252B"/>
                <w:sz w:val="14"/>
              </w:rPr>
              <w:t>AI drafts sound like every competitor</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4"/>
              </w:rPr>
              <w:t>Original models, calculations, data and strong editorial voice.</w:t>
            </w:r>
          </w:p>
        </w:tc>
      </w:tr>
      <w:tr>
        <w:tc>
          <w:tcPr>
            <w:tcW w:type="dxa" w:w="1800"/>
            <w:shd w:fill="F7F8FA"/>
            <w:vAlign w:val="center"/>
            <w:tcMar>
              <w:top w:w="90" w:type="dxa"/>
              <w:start w:w="100" w:type="dxa"/>
              <w:bottom w:w="90" w:type="dxa"/>
              <w:end w:w="100" w:type="dxa"/>
            </w:tcMar>
          </w:tcPr>
          <w:p>
            <w:pPr>
              <w:spacing w:after="0" w:before="0"/>
            </w:pPr>
            <w:r/>
            <w:r>
              <w:rPr>
                <w:rFonts w:ascii="Aptos" w:hAnsi="Aptos"/>
                <w:b w:val="0"/>
                <w:color w:val="1F252B"/>
                <w:sz w:val="14"/>
              </w:rPr>
              <w:t>Sensitive data capture</w:t>
            </w:r>
          </w:p>
        </w:tc>
        <w:tc>
          <w:tcPr>
            <w:tcW w:type="dxa" w:w="3816"/>
            <w:shd w:fill="F7F8FA"/>
            <w:vAlign w:val="center"/>
            <w:tcMar>
              <w:top w:w="90" w:type="dxa"/>
              <w:start w:w="100" w:type="dxa"/>
              <w:bottom w:w="90" w:type="dxa"/>
              <w:end w:w="100" w:type="dxa"/>
            </w:tcMar>
          </w:tcPr>
          <w:p>
            <w:pPr>
              <w:spacing w:after="0" w:before="0"/>
            </w:pPr>
            <w:r/>
            <w:r>
              <w:rPr>
                <w:rFonts w:ascii="Aptos" w:hAnsi="Aptos"/>
                <w:b w:val="0"/>
                <w:color w:val="1F252B"/>
                <w:sz w:val="14"/>
              </w:rPr>
              <w:t>Website forms collect more than security supports</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4"/>
              </w:rPr>
              <w:t>Progressive profiling and secure portal separation.</w:t>
            </w:r>
          </w:p>
        </w:tc>
      </w:tr>
      <w:tr>
        <w:tc>
          <w:tcPr>
            <w:tcW w:type="dxa" w:w="1800"/>
            <w:vAlign w:val="center"/>
            <w:tcMar>
              <w:top w:w="90" w:type="dxa"/>
              <w:start w:w="100" w:type="dxa"/>
              <w:bottom w:w="90" w:type="dxa"/>
              <w:end w:w="100" w:type="dxa"/>
            </w:tcMar>
          </w:tcPr>
          <w:p>
            <w:pPr>
              <w:spacing w:after="0" w:before="0"/>
            </w:pPr>
            <w:r/>
            <w:r>
              <w:rPr>
                <w:rFonts w:ascii="Aptos" w:hAnsi="Aptos"/>
                <w:b w:val="0"/>
                <w:color w:val="1F252B"/>
                <w:sz w:val="14"/>
              </w:rPr>
              <w:t>AEO obsession</w:t>
            </w:r>
          </w:p>
        </w:tc>
        <w:tc>
          <w:tcPr>
            <w:tcW w:type="dxa" w:w="3816"/>
            <w:vAlign w:val="center"/>
            <w:tcMar>
              <w:top w:w="90" w:type="dxa"/>
              <w:start w:w="100" w:type="dxa"/>
              <w:bottom w:w="90" w:type="dxa"/>
              <w:end w:w="100" w:type="dxa"/>
            </w:tcMar>
          </w:tcPr>
          <w:p>
            <w:pPr>
              <w:spacing w:after="0" w:before="0"/>
            </w:pPr>
            <w:r/>
            <w:r>
              <w:rPr>
                <w:rFonts w:ascii="Aptos" w:hAnsi="Aptos"/>
                <w:b w:val="0"/>
                <w:color w:val="1F252B"/>
                <w:sz w:val="14"/>
              </w:rPr>
              <w:t>Founder ignores relationships and firm contracts</w:t>
            </w:r>
          </w:p>
        </w:tc>
        <w:tc>
          <w:tcPr>
            <w:tcW w:type="dxa" w:w="4464"/>
            <w:vAlign w:val="center"/>
            <w:tcMar>
              <w:top w:w="90" w:type="dxa"/>
              <w:start w:w="100" w:type="dxa"/>
              <w:bottom w:w="90" w:type="dxa"/>
              <w:end w:w="100" w:type="dxa"/>
            </w:tcMar>
          </w:tcPr>
          <w:p>
            <w:pPr>
              <w:spacing w:after="0" w:before="0"/>
            </w:pPr>
            <w:r/>
            <w:r>
              <w:rPr>
                <w:rFonts w:ascii="Aptos" w:hAnsi="Aptos"/>
                <w:b w:val="0"/>
                <w:color w:val="1F252B"/>
                <w:sz w:val="14"/>
              </w:rPr>
              <w:t>Channel scorecard and required direct distribution.</w:t>
            </w:r>
          </w:p>
        </w:tc>
      </w:tr>
      <w:tr>
        <w:tc>
          <w:tcPr>
            <w:tcW w:type="dxa" w:w="1800"/>
            <w:shd w:fill="F7F8FA"/>
            <w:vAlign w:val="center"/>
            <w:tcMar>
              <w:top w:w="90" w:type="dxa"/>
              <w:start w:w="100" w:type="dxa"/>
              <w:bottom w:w="90" w:type="dxa"/>
              <w:end w:w="100" w:type="dxa"/>
            </w:tcMar>
          </w:tcPr>
          <w:p>
            <w:pPr>
              <w:spacing w:after="0" w:before="0"/>
            </w:pPr>
            <w:r/>
            <w:r>
              <w:rPr>
                <w:rFonts w:ascii="Aptos" w:hAnsi="Aptos"/>
                <w:b w:val="0"/>
                <w:color w:val="1F252B"/>
                <w:sz w:val="14"/>
              </w:rPr>
              <w:t>Firm conflict</w:t>
            </w:r>
          </w:p>
        </w:tc>
        <w:tc>
          <w:tcPr>
            <w:tcW w:type="dxa" w:w="3816"/>
            <w:shd w:fill="F7F8FA"/>
            <w:vAlign w:val="center"/>
            <w:tcMar>
              <w:top w:w="90" w:type="dxa"/>
              <w:start w:w="100" w:type="dxa"/>
              <w:bottom w:w="90" w:type="dxa"/>
              <w:end w:w="100" w:type="dxa"/>
            </w:tcMar>
          </w:tcPr>
          <w:p>
            <w:pPr>
              <w:spacing w:after="0" w:before="0"/>
            </w:pPr>
            <w:r/>
            <w:r>
              <w:rPr>
                <w:rFonts w:ascii="Aptos" w:hAnsi="Aptos"/>
                <w:b w:val="0"/>
                <w:color w:val="1F252B"/>
                <w:sz w:val="14"/>
              </w:rPr>
              <w:t>Firm-sponsored economics influence public research</w:t>
            </w:r>
          </w:p>
        </w:tc>
        <w:tc>
          <w:tcPr>
            <w:tcW w:type="dxa" w:w="4464"/>
            <w:shd w:fill="F7F8FA"/>
            <w:vAlign w:val="center"/>
            <w:tcMar>
              <w:top w:w="90" w:type="dxa"/>
              <w:start w:w="100" w:type="dxa"/>
              <w:bottom w:w="90" w:type="dxa"/>
              <w:end w:w="100" w:type="dxa"/>
            </w:tcMar>
          </w:tcPr>
          <w:p>
            <w:pPr>
              <w:spacing w:after="0" w:before="0"/>
            </w:pPr>
            <w:r/>
            <w:r>
              <w:rPr>
                <w:rFonts w:ascii="Aptos" w:hAnsi="Aptos"/>
                <w:b w:val="0"/>
                <w:color w:val="1F252B"/>
                <w:sz w:val="14"/>
              </w:rPr>
              <w:t>Source labels, editorial policy and current-firm option.</w:t>
            </w:r>
          </w:p>
        </w:tc>
      </w:tr>
    </w:tbl>
    <w:p>
      <w:pPr>
        <w:spacing w:after="0"/>
      </w:pPr>
    </w:p>
    <w:p>
      <w:pPr>
        <w:pStyle w:val="Heading2"/>
      </w:pPr>
      <w:r>
        <w:t>Neutral warning about AEO</w:t>
      </w:r>
    </w:p>
    <w:p>
      <w:pPr>
        <w:keepLines w:val="0"/>
      </w:pPr>
      <w:r>
        <w:rPr>
          <w:rFonts w:ascii="Aptos" w:hAnsi="Aptos"/>
          <w:i w:val="0"/>
          <w:color w:val="1F252B"/>
        </w:rPr>
        <w:t>VYNE may produce excellent content and still receive little AI citation or qualified inbound traffic. Search visibility depends on competition, domain history, external authority, crawlability, content quality and system behavior outside VYNE's control. The business plan must work with AEO as a long-term asset, not as a guaranteed lead source.</w:t>
      </w:r>
    </w:p>
    <w:p>
      <w:r>
        <w:br w:type="page"/>
      </w:r>
    </w:p>
    <w:p>
      <w:pPr>
        <w:pStyle w:val="Heading1"/>
        <w:pBdr>
          <w:bottom w:val="single" w:sz="7" w:space="4" w:color="D5DBE3"/>
        </w:pBdr>
      </w:pPr>
      <w:r>
        <w:t>15  Recommended first build</w:t>
      </w:r>
    </w:p>
    <w:tbl>
      <w:tblPr>
        <w:tblW w:type="auto" w:w="0"/>
        <w:jc w:val="center"/>
        <w:tblLayout w:type="autofit"/>
        <w:tblLook w:firstColumn="1" w:firstRow="1" w:lastColumn="0" w:lastRow="0" w:noHBand="0" w:noVBand="1" w:val="04A0"/>
      </w:tblPr>
      <w:tblGrid>
        <w:gridCol w:w="10166"/>
      </w:tblGrid>
      <w:tr>
        <w:tc>
          <w:tcPr>
            <w:tcW w:type="dxa" w:w="10166"/>
            <w:shd w:fill="F4EFE3"/>
            <w:tcMar>
              <w:top w:w="130" w:type="dxa"/>
              <w:start w:w="160" w:type="dxa"/>
              <w:bottom w:w="130" w:type="dxa"/>
              <w:end w:w="160" w:type="dxa"/>
            </w:tcMar>
          </w:tcPr>
          <w:p>
            <w:pPr>
              <w:spacing w:after="60"/>
            </w:pPr>
            <w:r>
              <w:rPr>
                <w:rFonts w:ascii="Aptos" w:hAnsi="Aptos"/>
                <w:b/>
                <w:color w:val="12263F"/>
                <w:sz w:val="20"/>
              </w:rPr>
              <w:t>FIRST 60-DAY DIGITAL MVP</w:t>
            </w:r>
          </w:p>
          <w:p>
            <w:pPr>
              <w:spacing w:after="0"/>
            </w:pPr>
            <w:r>
              <w:rPr>
                <w:rFonts w:ascii="Aptos" w:hAnsi="Aptos"/>
                <w:color w:val="1F252B"/>
                <w:sz w:val="19"/>
              </w:rPr>
              <w:t>Build the brand foundation, the eight-question assessment, newsletter signup, confidential conversation flow, five cornerstone articles and analytics. Do not begin with hundreds of firm pages, paid ads, a public marketplace or holdings uploads.</w:t>
            </w:r>
          </w:p>
        </w:tc>
      </w:tr>
    </w:tbl>
    <w:p>
      <w:pPr>
        <w:spacing w:after="0"/>
      </w:pPr>
    </w:p>
    <w:p>
      <w:pPr>
        <w:pStyle w:val="Heading2"/>
      </w:pPr>
      <w:r>
        <w:t>Build sequence</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1152"/>
            <w:shd w:fill="1C3857"/>
            <w:vAlign w:val="center"/>
            <w:tcMar>
              <w:top w:w="90" w:type="dxa"/>
              <w:start w:w="100" w:type="dxa"/>
              <w:bottom w:w="90" w:type="dxa"/>
              <w:end w:w="100" w:type="dxa"/>
            </w:tcMar>
          </w:tcPr>
          <w:p>
            <w:pPr>
              <w:spacing w:after="0" w:before="0"/>
            </w:pPr>
            <w:r/>
            <w:r>
              <w:rPr>
                <w:rFonts w:ascii="Aptos" w:hAnsi="Aptos"/>
                <w:b/>
                <w:color w:val="FFFFFF"/>
                <w:sz w:val="16"/>
              </w:rPr>
              <w:t>Week</w:t>
            </w:r>
          </w:p>
        </w:tc>
        <w:tc>
          <w:tcPr>
            <w:tcW w:type="dxa" w:w="8928"/>
            <w:shd w:fill="1C3857"/>
            <w:vAlign w:val="center"/>
            <w:tcMar>
              <w:top w:w="90" w:type="dxa"/>
              <w:start w:w="100" w:type="dxa"/>
              <w:bottom w:w="90" w:type="dxa"/>
              <w:end w:w="100" w:type="dxa"/>
            </w:tcMar>
          </w:tcPr>
          <w:p>
            <w:pPr>
              <w:spacing w:after="0" w:before="0"/>
            </w:pPr>
            <w:r/>
            <w:r>
              <w:rPr>
                <w:rFonts w:ascii="Aptos" w:hAnsi="Aptos"/>
                <w:b/>
                <w:color w:val="FFFFFF"/>
                <w:sz w:val="16"/>
              </w:rPr>
              <w:t>Work product</w:t>
            </w:r>
          </w:p>
        </w:tc>
      </w:tr>
      <w:tr>
        <w:tc>
          <w:tcPr>
            <w:tcW w:type="dxa" w:w="1152"/>
            <w:vAlign w:val="center"/>
            <w:tcMar>
              <w:top w:w="90" w:type="dxa"/>
              <w:start w:w="100" w:type="dxa"/>
              <w:bottom w:w="90" w:type="dxa"/>
              <w:end w:w="100" w:type="dxa"/>
            </w:tcMar>
          </w:tcPr>
          <w:p>
            <w:pPr>
              <w:spacing w:after="0" w:before="0"/>
            </w:pPr>
            <w:r/>
            <w:r>
              <w:rPr>
                <w:rFonts w:ascii="Aptos" w:hAnsi="Aptos"/>
                <w:b w:val="0"/>
                <w:color w:val="1F252B"/>
                <w:sz w:val="15"/>
              </w:rPr>
              <w:t>1</w:t>
            </w:r>
          </w:p>
        </w:tc>
        <w:tc>
          <w:tcPr>
            <w:tcW w:type="dxa" w:w="8928"/>
            <w:vAlign w:val="center"/>
            <w:tcMar>
              <w:top w:w="90" w:type="dxa"/>
              <w:start w:w="100" w:type="dxa"/>
              <w:bottom w:w="90" w:type="dxa"/>
              <w:end w:w="100" w:type="dxa"/>
            </w:tcMar>
          </w:tcPr>
          <w:p>
            <w:pPr>
              <w:spacing w:after="0" w:before="0"/>
            </w:pPr>
            <w:r/>
            <w:r>
              <w:rPr>
                <w:rFonts w:ascii="Aptos" w:hAnsi="Aptos"/>
                <w:b w:val="0"/>
                <w:color w:val="1F252B"/>
                <w:sz w:val="15"/>
              </w:rPr>
              <w:t>Brand message, audience, claims register, privacy/security requirements</w:t>
            </w:r>
          </w:p>
        </w:tc>
      </w:tr>
      <w:tr>
        <w:tc>
          <w:tcPr>
            <w:tcW w:type="dxa" w:w="1152"/>
            <w:shd w:fill="F7F8FA"/>
            <w:vAlign w:val="center"/>
            <w:tcMar>
              <w:top w:w="90" w:type="dxa"/>
              <w:start w:w="100" w:type="dxa"/>
              <w:bottom w:w="90" w:type="dxa"/>
              <w:end w:w="100" w:type="dxa"/>
            </w:tcMar>
          </w:tcPr>
          <w:p>
            <w:pPr>
              <w:spacing w:after="0" w:before="0"/>
            </w:pPr>
            <w:r/>
            <w:r>
              <w:rPr>
                <w:rFonts w:ascii="Aptos" w:hAnsi="Aptos"/>
                <w:b w:val="0"/>
                <w:color w:val="1F252B"/>
                <w:sz w:val="15"/>
              </w:rPr>
              <w:t>2</w:t>
            </w:r>
          </w:p>
        </w:tc>
        <w:tc>
          <w:tcPr>
            <w:tcW w:type="dxa" w:w="8928"/>
            <w:shd w:fill="F7F8FA"/>
            <w:vAlign w:val="center"/>
            <w:tcMar>
              <w:top w:w="90" w:type="dxa"/>
              <w:start w:w="100" w:type="dxa"/>
              <w:bottom w:w="90" w:type="dxa"/>
              <w:end w:w="100" w:type="dxa"/>
            </w:tcMar>
          </w:tcPr>
          <w:p>
            <w:pPr>
              <w:spacing w:after="0" w:before="0"/>
            </w:pPr>
            <w:r/>
            <w:r>
              <w:rPr>
                <w:rFonts w:ascii="Aptos" w:hAnsi="Aptos"/>
                <w:b w:val="0"/>
                <w:color w:val="1F252B"/>
                <w:sz w:val="15"/>
              </w:rPr>
              <w:t>Site map, homepage wireframe, framework and advisor journey copy</w:t>
            </w:r>
          </w:p>
        </w:tc>
      </w:tr>
      <w:tr>
        <w:tc>
          <w:tcPr>
            <w:tcW w:type="dxa" w:w="1152"/>
            <w:vAlign w:val="center"/>
            <w:tcMar>
              <w:top w:w="90" w:type="dxa"/>
              <w:start w:w="100" w:type="dxa"/>
              <w:bottom w:w="90" w:type="dxa"/>
              <w:end w:w="100" w:type="dxa"/>
            </w:tcMar>
          </w:tcPr>
          <w:p>
            <w:pPr>
              <w:spacing w:after="0" w:before="0"/>
            </w:pPr>
            <w:r/>
            <w:r>
              <w:rPr>
                <w:rFonts w:ascii="Aptos" w:hAnsi="Aptos"/>
                <w:b w:val="0"/>
                <w:color w:val="1F252B"/>
                <w:sz w:val="15"/>
              </w:rPr>
              <w:t>3</w:t>
            </w:r>
          </w:p>
        </w:tc>
        <w:tc>
          <w:tcPr>
            <w:tcW w:type="dxa" w:w="8928"/>
            <w:vAlign w:val="center"/>
            <w:tcMar>
              <w:top w:w="90" w:type="dxa"/>
              <w:start w:w="100" w:type="dxa"/>
              <w:bottom w:w="90" w:type="dxa"/>
              <w:end w:w="100" w:type="dxa"/>
            </w:tcMar>
          </w:tcPr>
          <w:p>
            <w:pPr>
              <w:spacing w:after="0" w:before="0"/>
            </w:pPr>
            <w:r/>
            <w:r>
              <w:rPr>
                <w:rFonts w:ascii="Aptos" w:hAnsi="Aptos"/>
                <w:b w:val="0"/>
                <w:color w:val="1F252B"/>
                <w:sz w:val="15"/>
              </w:rPr>
              <w:t>Eight Questions logic, results and CRM fields</w:t>
            </w:r>
          </w:p>
        </w:tc>
      </w:tr>
      <w:tr>
        <w:tc>
          <w:tcPr>
            <w:tcW w:type="dxa" w:w="1152"/>
            <w:shd w:fill="F7F8FA"/>
            <w:vAlign w:val="center"/>
            <w:tcMar>
              <w:top w:w="90" w:type="dxa"/>
              <w:start w:w="100" w:type="dxa"/>
              <w:bottom w:w="90" w:type="dxa"/>
              <w:end w:w="100" w:type="dxa"/>
            </w:tcMar>
          </w:tcPr>
          <w:p>
            <w:pPr>
              <w:spacing w:after="0" w:before="0"/>
            </w:pPr>
            <w:r/>
            <w:r>
              <w:rPr>
                <w:rFonts w:ascii="Aptos" w:hAnsi="Aptos"/>
                <w:b w:val="0"/>
                <w:color w:val="1F252B"/>
                <w:sz w:val="15"/>
              </w:rPr>
              <w:t>4</w:t>
            </w:r>
          </w:p>
        </w:tc>
        <w:tc>
          <w:tcPr>
            <w:tcW w:type="dxa" w:w="8928"/>
            <w:shd w:fill="F7F8FA"/>
            <w:vAlign w:val="center"/>
            <w:tcMar>
              <w:top w:w="90" w:type="dxa"/>
              <w:start w:w="100" w:type="dxa"/>
              <w:bottom w:w="90" w:type="dxa"/>
              <w:end w:w="100" w:type="dxa"/>
            </w:tcMar>
          </w:tcPr>
          <w:p>
            <w:pPr>
              <w:spacing w:after="0" w:before="0"/>
            </w:pPr>
            <w:r/>
            <w:r>
              <w:rPr>
                <w:rFonts w:ascii="Aptos" w:hAnsi="Aptos"/>
                <w:b w:val="0"/>
                <w:color w:val="1F252B"/>
                <w:sz w:val="15"/>
              </w:rPr>
              <w:t>Newsletter design, signup and first issue</w:t>
            </w:r>
          </w:p>
        </w:tc>
      </w:tr>
      <w:tr>
        <w:tc>
          <w:tcPr>
            <w:tcW w:type="dxa" w:w="1152"/>
            <w:vAlign w:val="center"/>
            <w:tcMar>
              <w:top w:w="90" w:type="dxa"/>
              <w:start w:w="100" w:type="dxa"/>
              <w:bottom w:w="90" w:type="dxa"/>
              <w:end w:w="100" w:type="dxa"/>
            </w:tcMar>
          </w:tcPr>
          <w:p>
            <w:pPr>
              <w:spacing w:after="0" w:before="0"/>
            </w:pPr>
            <w:r/>
            <w:r>
              <w:rPr>
                <w:rFonts w:ascii="Aptos" w:hAnsi="Aptos"/>
                <w:b w:val="0"/>
                <w:color w:val="1F252B"/>
                <w:sz w:val="15"/>
              </w:rPr>
              <w:t>5</w:t>
            </w:r>
          </w:p>
        </w:tc>
        <w:tc>
          <w:tcPr>
            <w:tcW w:type="dxa" w:w="8928"/>
            <w:vAlign w:val="center"/>
            <w:tcMar>
              <w:top w:w="90" w:type="dxa"/>
              <w:start w:w="100" w:type="dxa"/>
              <w:bottom w:w="90" w:type="dxa"/>
              <w:end w:w="100" w:type="dxa"/>
            </w:tcMar>
          </w:tcPr>
          <w:p>
            <w:pPr>
              <w:spacing w:after="0" w:before="0"/>
            </w:pPr>
            <w:r/>
            <w:r>
              <w:rPr>
                <w:rFonts w:ascii="Aptos" w:hAnsi="Aptos"/>
                <w:b w:val="0"/>
                <w:color w:val="1F252B"/>
                <w:sz w:val="15"/>
              </w:rPr>
              <w:t>Three cornerstone articles and internal linking</w:t>
            </w:r>
          </w:p>
        </w:tc>
      </w:tr>
      <w:tr>
        <w:tc>
          <w:tcPr>
            <w:tcW w:type="dxa" w:w="1152"/>
            <w:shd w:fill="F7F8FA"/>
            <w:vAlign w:val="center"/>
            <w:tcMar>
              <w:top w:w="90" w:type="dxa"/>
              <w:start w:w="100" w:type="dxa"/>
              <w:bottom w:w="90" w:type="dxa"/>
              <w:end w:w="100" w:type="dxa"/>
            </w:tcMar>
          </w:tcPr>
          <w:p>
            <w:pPr>
              <w:spacing w:after="0" w:before="0"/>
            </w:pPr>
            <w:r/>
            <w:r>
              <w:rPr>
                <w:rFonts w:ascii="Aptos" w:hAnsi="Aptos"/>
                <w:b w:val="0"/>
                <w:color w:val="1F252B"/>
                <w:sz w:val="15"/>
              </w:rPr>
              <w:t>6</w:t>
            </w:r>
          </w:p>
        </w:tc>
        <w:tc>
          <w:tcPr>
            <w:tcW w:type="dxa" w:w="8928"/>
            <w:shd w:fill="F7F8FA"/>
            <w:vAlign w:val="center"/>
            <w:tcMar>
              <w:top w:w="90" w:type="dxa"/>
              <w:start w:w="100" w:type="dxa"/>
              <w:bottom w:w="90" w:type="dxa"/>
              <w:end w:w="100" w:type="dxa"/>
            </w:tcMar>
          </w:tcPr>
          <w:p>
            <w:pPr>
              <w:spacing w:after="0" w:before="0"/>
            </w:pPr>
            <w:r/>
            <w:r>
              <w:rPr>
                <w:rFonts w:ascii="Aptos" w:hAnsi="Aptos"/>
                <w:b w:val="0"/>
                <w:color w:val="1F252B"/>
                <w:sz w:val="15"/>
              </w:rPr>
              <w:t>Offer Review and confidential conversation forms</w:t>
            </w:r>
          </w:p>
        </w:tc>
      </w:tr>
      <w:tr>
        <w:tc>
          <w:tcPr>
            <w:tcW w:type="dxa" w:w="1152"/>
            <w:vAlign w:val="center"/>
            <w:tcMar>
              <w:top w:w="90" w:type="dxa"/>
              <w:start w:w="100" w:type="dxa"/>
              <w:bottom w:w="90" w:type="dxa"/>
              <w:end w:w="100" w:type="dxa"/>
            </w:tcMar>
          </w:tcPr>
          <w:p>
            <w:pPr>
              <w:spacing w:after="0" w:before="0"/>
            </w:pPr>
            <w:r/>
            <w:r>
              <w:rPr>
                <w:rFonts w:ascii="Aptos" w:hAnsi="Aptos"/>
                <w:b w:val="0"/>
                <w:color w:val="1F252B"/>
                <w:sz w:val="15"/>
              </w:rPr>
              <w:t>7</w:t>
            </w:r>
          </w:p>
        </w:tc>
        <w:tc>
          <w:tcPr>
            <w:tcW w:type="dxa" w:w="8928"/>
            <w:vAlign w:val="center"/>
            <w:tcMar>
              <w:top w:w="90" w:type="dxa"/>
              <w:start w:w="100" w:type="dxa"/>
              <w:bottom w:w="90" w:type="dxa"/>
              <w:end w:w="100" w:type="dxa"/>
            </w:tcMar>
          </w:tcPr>
          <w:p>
            <w:pPr>
              <w:spacing w:after="0" w:before="0"/>
            </w:pPr>
            <w:r/>
            <w:r>
              <w:rPr>
                <w:rFonts w:ascii="Aptos" w:hAnsi="Aptos"/>
                <w:b w:val="0"/>
                <w:color w:val="1F252B"/>
                <w:sz w:val="15"/>
              </w:rPr>
              <w:t>Search Console, Bing, OAI-SearchBot, analytics and conversion tests</w:t>
            </w:r>
          </w:p>
        </w:tc>
      </w:tr>
      <w:tr>
        <w:tc>
          <w:tcPr>
            <w:tcW w:type="dxa" w:w="1152"/>
            <w:shd w:fill="F7F8FA"/>
            <w:vAlign w:val="center"/>
            <w:tcMar>
              <w:top w:w="90" w:type="dxa"/>
              <w:start w:w="100" w:type="dxa"/>
              <w:bottom w:w="90" w:type="dxa"/>
              <w:end w:w="100" w:type="dxa"/>
            </w:tcMar>
          </w:tcPr>
          <w:p>
            <w:pPr>
              <w:spacing w:after="0" w:before="0"/>
            </w:pPr>
            <w:r/>
            <w:r>
              <w:rPr>
                <w:rFonts w:ascii="Aptos" w:hAnsi="Aptos"/>
                <w:b w:val="0"/>
                <w:color w:val="1F252B"/>
                <w:sz w:val="15"/>
              </w:rPr>
              <w:t>8</w:t>
            </w:r>
          </w:p>
        </w:tc>
        <w:tc>
          <w:tcPr>
            <w:tcW w:type="dxa" w:w="8928"/>
            <w:shd w:fill="F7F8FA"/>
            <w:vAlign w:val="center"/>
            <w:tcMar>
              <w:top w:w="90" w:type="dxa"/>
              <w:start w:w="100" w:type="dxa"/>
              <w:bottom w:w="90" w:type="dxa"/>
              <w:end w:w="100" w:type="dxa"/>
            </w:tcMar>
          </w:tcPr>
          <w:p>
            <w:pPr>
              <w:spacing w:after="0" w:before="0"/>
            </w:pPr>
            <w:r/>
            <w:r>
              <w:rPr>
                <w:rFonts w:ascii="Aptos" w:hAnsi="Aptos"/>
                <w:b w:val="0"/>
                <w:color w:val="1F252B"/>
                <w:sz w:val="15"/>
              </w:rPr>
              <w:t>Soft launch to a controlled advisor audience; interview users and revise</w:t>
            </w:r>
          </w:p>
        </w:tc>
      </w:tr>
    </w:tbl>
    <w:p>
      <w:pPr>
        <w:spacing w:after="0"/>
      </w:pPr>
    </w:p>
    <w:p>
      <w:pPr>
        <w:pStyle w:val="Heading2"/>
      </w:pPr>
      <w:r>
        <w:t>Launch decision</w:t>
      </w:r>
    </w:p>
    <w:p>
      <w:pPr>
        <w:keepLines w:val="0"/>
      </w:pPr>
      <w:r>
        <w:rPr>
          <w:rFonts w:ascii="Aptos" w:hAnsi="Aptos"/>
          <w:i w:val="0"/>
          <w:color w:val="1F252B"/>
        </w:rPr>
        <w:t>The site should launch when VYNE can truthfully explain who it serves, how the process works, how it is paid, how information is protected and what happens after an advisor submits a form. It should not wait for the full software vision. It also should not launch as an empty shell whose primary purpose is collecting advisor data.</w:t>
      </w:r>
    </w:p>
    <w:p>
      <w:r>
        <w:br w:type="page"/>
      </w:r>
    </w:p>
    <w:p>
      <w:pPr>
        <w:pStyle w:val="Heading1"/>
        <w:pBdr>
          <w:bottom w:val="single" w:sz="7" w:space="4" w:color="D5DBE3"/>
        </w:pBdr>
      </w:pPr>
      <w:r>
        <w:t>Appendix A  Hooks, CTAs and form fields</w:t>
      </w:r>
    </w:p>
    <w:p>
      <w:pPr>
        <w:pStyle w:val="Heading2"/>
      </w:pPr>
      <w:r>
        <w:t>Recommended hook hierarchy</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016"/>
            <w:shd w:fill="1C3857"/>
            <w:vAlign w:val="center"/>
            <w:tcMar>
              <w:top w:w="90" w:type="dxa"/>
              <w:start w:w="100" w:type="dxa"/>
              <w:bottom w:w="90" w:type="dxa"/>
              <w:end w:w="100" w:type="dxa"/>
            </w:tcMar>
          </w:tcPr>
          <w:p>
            <w:pPr>
              <w:spacing w:after="0" w:before="0"/>
            </w:pPr>
            <w:r/>
            <w:r>
              <w:rPr>
                <w:rFonts w:ascii="Aptos" w:hAnsi="Aptos"/>
                <w:b/>
                <w:color w:val="FFFFFF"/>
                <w:sz w:val="16"/>
              </w:rPr>
              <w:t>Use</w:t>
            </w:r>
          </w:p>
        </w:tc>
        <w:tc>
          <w:tcPr>
            <w:tcW w:type="dxa" w:w="8064"/>
            <w:shd w:fill="1C3857"/>
            <w:vAlign w:val="center"/>
            <w:tcMar>
              <w:top w:w="90" w:type="dxa"/>
              <w:start w:w="100" w:type="dxa"/>
              <w:bottom w:w="90" w:type="dxa"/>
              <w:end w:w="100" w:type="dxa"/>
            </w:tcMar>
          </w:tcPr>
          <w:p>
            <w:pPr>
              <w:spacing w:after="0" w:before="0"/>
            </w:pPr>
            <w:r/>
            <w:r>
              <w:rPr>
                <w:rFonts w:ascii="Aptos" w:hAnsi="Aptos"/>
                <w:b/>
                <w:color w:val="FFFFFF"/>
                <w:sz w:val="16"/>
              </w:rPr>
              <w:t>Copy</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Homepage</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Before you move your practice, know what you are moving toward.</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Supporting</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VYNE helps financial advisors privately determine whether to stay, strengthen, prepare or move.</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Trust</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The right answer may be to move. It may be to stay. Our role is to help you know why.</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Research</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Research privately. Decide confidently.</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Economics</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A recruiting package is temporary. The future of your practice is not.</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Portability</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Before choosing a destination, understand what can make the journey.</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Succession</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The future of your practice should not depend on chance.</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Firm comparison</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The right firm is not the one with the best pitch. It is the one that best supports what you are building.</w:t>
            </w:r>
          </w:p>
        </w:tc>
      </w:tr>
    </w:tbl>
    <w:p>
      <w:pPr>
        <w:spacing w:after="0"/>
      </w:pPr>
    </w:p>
    <w:p>
      <w:pPr>
        <w:pStyle w:val="Heading2"/>
      </w:pPr>
      <w:r>
        <w:t>CTA hierarchy</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5083"/>
        <w:gridCol w:w="5083"/>
      </w:tblGrid>
      <w:tr>
        <w:trPr>
          <w:tblHeader w:val="true"/>
        </w:trPr>
        <w:tc>
          <w:tcPr>
            <w:tcW w:type="dxa" w:w="2016"/>
            <w:shd w:fill="1C3857"/>
            <w:vAlign w:val="center"/>
            <w:tcMar>
              <w:top w:w="90" w:type="dxa"/>
              <w:start w:w="100" w:type="dxa"/>
              <w:bottom w:w="90" w:type="dxa"/>
              <w:end w:w="100" w:type="dxa"/>
            </w:tcMar>
          </w:tcPr>
          <w:p>
            <w:pPr>
              <w:spacing w:after="0" w:before="0"/>
            </w:pPr>
            <w:r/>
            <w:r>
              <w:rPr>
                <w:rFonts w:ascii="Aptos" w:hAnsi="Aptos"/>
                <w:b/>
                <w:color w:val="FFFFFF"/>
                <w:sz w:val="16"/>
              </w:rPr>
              <w:t>Intent</w:t>
            </w:r>
          </w:p>
        </w:tc>
        <w:tc>
          <w:tcPr>
            <w:tcW w:type="dxa" w:w="8064"/>
            <w:shd w:fill="1C3857"/>
            <w:vAlign w:val="center"/>
            <w:tcMar>
              <w:top w:w="90" w:type="dxa"/>
              <w:start w:w="100" w:type="dxa"/>
              <w:bottom w:w="90" w:type="dxa"/>
              <w:end w:w="100" w:type="dxa"/>
            </w:tcMar>
          </w:tcPr>
          <w:p>
            <w:pPr>
              <w:spacing w:after="0" w:before="0"/>
            </w:pPr>
            <w:r/>
            <w:r>
              <w:rPr>
                <w:rFonts w:ascii="Aptos" w:hAnsi="Aptos"/>
                <w:b/>
                <w:color w:val="FFFFFF"/>
                <w:sz w:val="16"/>
              </w:rPr>
              <w:t>CTA</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Low</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Read the Eight VYNE Questions</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Subscriber</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Get the VYNE Advisor Intelligence Report</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Self-assessment</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See where your decision stands</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High intent</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Review my offer</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Research</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Compare firms privately</w:t>
            </w:r>
          </w:p>
        </w:tc>
      </w:tr>
      <w:tr>
        <w:tc>
          <w:tcPr>
            <w:tcW w:type="dxa" w:w="2016"/>
            <w:shd w:fill="F7F8FA"/>
            <w:vAlign w:val="center"/>
            <w:tcMar>
              <w:top w:w="90" w:type="dxa"/>
              <w:start w:w="100" w:type="dxa"/>
              <w:bottom w:w="90" w:type="dxa"/>
              <w:end w:w="100" w:type="dxa"/>
            </w:tcMar>
          </w:tcPr>
          <w:p>
            <w:pPr>
              <w:spacing w:after="0" w:before="0"/>
            </w:pPr>
            <w:r/>
            <w:r>
              <w:rPr>
                <w:rFonts w:ascii="Aptos" w:hAnsi="Aptos"/>
                <w:b w:val="0"/>
                <w:color w:val="1F252B"/>
                <w:sz w:val="15"/>
              </w:rPr>
              <w:t>Succession</w:t>
            </w:r>
          </w:p>
        </w:tc>
        <w:tc>
          <w:tcPr>
            <w:tcW w:type="dxa" w:w="8064"/>
            <w:shd w:fill="F7F8FA"/>
            <w:vAlign w:val="center"/>
            <w:tcMar>
              <w:top w:w="90" w:type="dxa"/>
              <w:start w:w="100" w:type="dxa"/>
              <w:bottom w:w="90" w:type="dxa"/>
              <w:end w:w="100" w:type="dxa"/>
            </w:tcMar>
          </w:tcPr>
          <w:p>
            <w:pPr>
              <w:spacing w:after="0" w:before="0"/>
            </w:pPr>
            <w:r/>
            <w:r>
              <w:rPr>
                <w:rFonts w:ascii="Aptos" w:hAnsi="Aptos"/>
                <w:b w:val="0"/>
                <w:color w:val="1F252B"/>
                <w:sz w:val="15"/>
              </w:rPr>
              <w:t>Assess my succession plan</w:t>
            </w:r>
          </w:p>
        </w:tc>
      </w:tr>
      <w:tr>
        <w:tc>
          <w:tcPr>
            <w:tcW w:type="dxa" w:w="2016"/>
            <w:vAlign w:val="center"/>
            <w:tcMar>
              <w:top w:w="90" w:type="dxa"/>
              <w:start w:w="100" w:type="dxa"/>
              <w:bottom w:w="90" w:type="dxa"/>
              <w:end w:w="100" w:type="dxa"/>
            </w:tcMar>
          </w:tcPr>
          <w:p>
            <w:pPr>
              <w:spacing w:after="0" w:before="0"/>
            </w:pPr>
            <w:r/>
            <w:r>
              <w:rPr>
                <w:rFonts w:ascii="Aptos" w:hAnsi="Aptos"/>
                <w:b w:val="0"/>
                <w:color w:val="1F252B"/>
                <w:sz w:val="15"/>
              </w:rPr>
              <w:t>Primary</w:t>
            </w:r>
          </w:p>
        </w:tc>
        <w:tc>
          <w:tcPr>
            <w:tcW w:type="dxa" w:w="8064"/>
            <w:vAlign w:val="center"/>
            <w:tcMar>
              <w:top w:w="90" w:type="dxa"/>
              <w:start w:w="100" w:type="dxa"/>
              <w:bottom w:w="90" w:type="dxa"/>
              <w:end w:w="100" w:type="dxa"/>
            </w:tcMar>
          </w:tcPr>
          <w:p>
            <w:pPr>
              <w:spacing w:after="0" w:before="0"/>
            </w:pPr>
            <w:r/>
            <w:r>
              <w:rPr>
                <w:rFonts w:ascii="Aptos" w:hAnsi="Aptos"/>
                <w:b w:val="0"/>
                <w:color w:val="1F252B"/>
                <w:sz w:val="15"/>
              </w:rPr>
              <w:t>Start a confidential conversation</w:t>
            </w:r>
          </w:p>
        </w:tc>
      </w:tr>
    </w:tbl>
    <w:p>
      <w:pPr>
        <w:spacing w:after="0"/>
      </w:pPr>
    </w:p>
    <w:p>
      <w:pPr>
        <w:pStyle w:val="Heading2"/>
      </w:pPr>
      <w:r>
        <w:t>Form fields by level</w:t>
      </w:r>
    </w:p>
    <w:tbl>
      <w:tblPr>
        <w:tblW w:type="auto" w:w="0"/>
        <w:jc w:val="center"/>
        <w:tblLayout w:type="fixed"/>
        <w:tblLook w:firstColumn="1" w:firstRow="1" w:lastColumn="0" w:lastRow="0" w:noHBand="0" w:noVBand="1" w:val="04A0"/>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Pr>
      <w:tblGrid>
        <w:gridCol w:w="3389"/>
        <w:gridCol w:w="3389"/>
        <w:gridCol w:w="3389"/>
      </w:tblGrid>
      <w:tr>
        <w:trPr>
          <w:tblHeader w:val="true"/>
        </w:trPr>
        <w:tc>
          <w:tcPr>
            <w:tcW w:type="dxa" w:w="1728"/>
            <w:shd w:fill="1C3857"/>
            <w:vAlign w:val="center"/>
            <w:tcMar>
              <w:top w:w="90" w:type="dxa"/>
              <w:start w:w="100" w:type="dxa"/>
              <w:bottom w:w="90" w:type="dxa"/>
              <w:end w:w="100" w:type="dxa"/>
            </w:tcMar>
          </w:tcPr>
          <w:p>
            <w:pPr>
              <w:spacing w:after="0" w:before="0"/>
            </w:pPr>
            <w:r/>
            <w:r>
              <w:rPr>
                <w:rFonts w:ascii="Aptos" w:hAnsi="Aptos"/>
                <w:b/>
                <w:color w:val="FFFFFF"/>
                <w:sz w:val="16"/>
              </w:rPr>
              <w:t>Level</w:t>
            </w:r>
          </w:p>
        </w:tc>
        <w:tc>
          <w:tcPr>
            <w:tcW w:type="dxa" w:w="5040"/>
            <w:shd w:fill="1C3857"/>
            <w:vAlign w:val="center"/>
            <w:tcMar>
              <w:top w:w="90" w:type="dxa"/>
              <w:start w:w="100" w:type="dxa"/>
              <w:bottom w:w="90" w:type="dxa"/>
              <w:end w:w="100" w:type="dxa"/>
            </w:tcMar>
          </w:tcPr>
          <w:p>
            <w:pPr>
              <w:spacing w:after="0" w:before="0"/>
            </w:pPr>
            <w:r/>
            <w:r>
              <w:rPr>
                <w:rFonts w:ascii="Aptos" w:hAnsi="Aptos"/>
                <w:b/>
                <w:color w:val="FFFFFF"/>
                <w:sz w:val="16"/>
              </w:rPr>
              <w:t>Required</w:t>
            </w:r>
          </w:p>
        </w:tc>
        <w:tc>
          <w:tcPr>
            <w:tcW w:type="dxa" w:w="3312"/>
            <w:shd w:fill="1C3857"/>
            <w:vAlign w:val="center"/>
            <w:tcMar>
              <w:top w:w="90" w:type="dxa"/>
              <w:start w:w="100" w:type="dxa"/>
              <w:bottom w:w="90" w:type="dxa"/>
              <w:end w:w="100" w:type="dxa"/>
            </w:tcMar>
          </w:tcPr>
          <w:p>
            <w:pPr>
              <w:spacing w:after="0" w:before="0"/>
            </w:pPr>
            <w:r/>
            <w:r>
              <w:rPr>
                <w:rFonts w:ascii="Aptos" w:hAnsi="Aptos"/>
                <w:b/>
                <w:color w:val="FFFFFF"/>
                <w:sz w:val="16"/>
              </w:rPr>
              <w:t>Optional / later</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Newsletter</w:t>
            </w:r>
          </w:p>
        </w:tc>
        <w:tc>
          <w:tcPr>
            <w:tcW w:type="dxa" w:w="5040"/>
            <w:vAlign w:val="center"/>
            <w:tcMar>
              <w:top w:w="90" w:type="dxa"/>
              <w:start w:w="100" w:type="dxa"/>
              <w:bottom w:w="90" w:type="dxa"/>
              <w:end w:w="100" w:type="dxa"/>
            </w:tcMar>
          </w:tcPr>
          <w:p>
            <w:pPr>
              <w:spacing w:after="0" w:before="0"/>
            </w:pPr>
            <w:r/>
            <w:r>
              <w:rPr>
                <w:rFonts w:ascii="Aptos" w:hAnsi="Aptos"/>
                <w:b w:val="0"/>
                <w:color w:val="1F252B"/>
                <w:sz w:val="15"/>
              </w:rPr>
              <w:t>First name, last name, email, consent</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Interest area, current firm</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5"/>
              </w:rPr>
              <w:t>Assessment</w:t>
            </w:r>
          </w:p>
        </w:tc>
        <w:tc>
          <w:tcPr>
            <w:tcW w:type="dxa" w:w="5040"/>
            <w:shd w:fill="F7F8FA"/>
            <w:vAlign w:val="center"/>
            <w:tcMar>
              <w:top w:w="90" w:type="dxa"/>
              <w:start w:w="100" w:type="dxa"/>
              <w:bottom w:w="90" w:type="dxa"/>
              <w:end w:w="100" w:type="dxa"/>
            </w:tcMar>
          </w:tcPr>
          <w:p>
            <w:pPr>
              <w:spacing w:after="0" w:before="0"/>
            </w:pPr>
            <w:r/>
            <w:r>
              <w:rPr>
                <w:rFonts w:ascii="Aptos" w:hAnsi="Aptos"/>
                <w:b w:val="0"/>
                <w:color w:val="1F252B"/>
                <w:sz w:val="15"/>
              </w:rPr>
              <w:t>Name, email, current firm, role, T12/AUM range, team, timing</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Phone, CRD</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Verified access</w:t>
            </w:r>
          </w:p>
        </w:tc>
        <w:tc>
          <w:tcPr>
            <w:tcW w:type="dxa" w:w="5040"/>
            <w:vAlign w:val="center"/>
            <w:tcMar>
              <w:top w:w="90" w:type="dxa"/>
              <w:start w:w="100" w:type="dxa"/>
              <w:bottom w:w="90" w:type="dxa"/>
              <w:end w:w="100" w:type="dxa"/>
            </w:tcMar>
          </w:tcPr>
          <w:p>
            <w:pPr>
              <w:spacing w:after="0" w:before="0"/>
            </w:pPr>
            <w:r/>
            <w:r>
              <w:rPr>
                <w:rFonts w:ascii="Aptos" w:hAnsi="Aptos"/>
                <w:b w:val="0"/>
                <w:color w:val="1F252B"/>
                <w:sz w:val="15"/>
              </w:rPr>
              <w:t>CRD, professional email, firm, market, reason</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Exact T12/AUM after trust</w:t>
            </w:r>
          </w:p>
        </w:tc>
      </w:tr>
      <w:tr>
        <w:tc>
          <w:tcPr>
            <w:tcW w:type="dxa" w:w="1728"/>
            <w:shd w:fill="F7F8FA"/>
            <w:vAlign w:val="center"/>
            <w:tcMar>
              <w:top w:w="90" w:type="dxa"/>
              <w:start w:w="100" w:type="dxa"/>
              <w:bottom w:w="90" w:type="dxa"/>
              <w:end w:w="100" w:type="dxa"/>
            </w:tcMar>
          </w:tcPr>
          <w:p>
            <w:pPr>
              <w:spacing w:after="0" w:before="0"/>
            </w:pPr>
            <w:r/>
            <w:r>
              <w:rPr>
                <w:rFonts w:ascii="Aptos" w:hAnsi="Aptos"/>
                <w:b w:val="0"/>
                <w:color w:val="1F252B"/>
                <w:sz w:val="15"/>
              </w:rPr>
              <w:t>Offer review</w:t>
            </w:r>
          </w:p>
        </w:tc>
        <w:tc>
          <w:tcPr>
            <w:tcW w:type="dxa" w:w="5040"/>
            <w:shd w:fill="F7F8FA"/>
            <w:vAlign w:val="center"/>
            <w:tcMar>
              <w:top w:w="90" w:type="dxa"/>
              <w:start w:w="100" w:type="dxa"/>
              <w:bottom w:w="90" w:type="dxa"/>
              <w:end w:w="100" w:type="dxa"/>
            </w:tcMar>
          </w:tcPr>
          <w:p>
            <w:pPr>
              <w:spacing w:after="0" w:before="0"/>
            </w:pPr>
            <w:r/>
            <w:r>
              <w:rPr>
                <w:rFonts w:ascii="Aptos" w:hAnsi="Aptos"/>
                <w:b w:val="0"/>
                <w:color w:val="1F252B"/>
                <w:sz w:val="15"/>
              </w:rPr>
              <w:t>Verified profile, firm offer, secure upload consent</w:t>
            </w:r>
          </w:p>
        </w:tc>
        <w:tc>
          <w:tcPr>
            <w:tcW w:type="dxa" w:w="3312"/>
            <w:shd w:fill="F7F8FA"/>
            <w:vAlign w:val="center"/>
            <w:tcMar>
              <w:top w:w="90" w:type="dxa"/>
              <w:start w:w="100" w:type="dxa"/>
              <w:bottom w:w="90" w:type="dxa"/>
              <w:end w:w="100" w:type="dxa"/>
            </w:tcMar>
          </w:tcPr>
          <w:p>
            <w:pPr>
              <w:spacing w:after="0" w:before="0"/>
            </w:pPr>
            <w:r/>
            <w:r>
              <w:rPr>
                <w:rFonts w:ascii="Aptos" w:hAnsi="Aptos"/>
                <w:b w:val="0"/>
                <w:color w:val="1F252B"/>
                <w:sz w:val="15"/>
              </w:rPr>
              <w:t>Current grid and deferred comp</w:t>
            </w:r>
          </w:p>
        </w:tc>
      </w:tr>
      <w:tr>
        <w:tc>
          <w:tcPr>
            <w:tcW w:type="dxa" w:w="1728"/>
            <w:vAlign w:val="center"/>
            <w:tcMar>
              <w:top w:w="90" w:type="dxa"/>
              <w:start w:w="100" w:type="dxa"/>
              <w:bottom w:w="90" w:type="dxa"/>
              <w:end w:w="100" w:type="dxa"/>
            </w:tcMar>
          </w:tcPr>
          <w:p>
            <w:pPr>
              <w:spacing w:after="0" w:before="0"/>
            </w:pPr>
            <w:r/>
            <w:r>
              <w:rPr>
                <w:rFonts w:ascii="Aptos" w:hAnsi="Aptos"/>
                <w:b w:val="0"/>
                <w:color w:val="1F252B"/>
                <w:sz w:val="15"/>
              </w:rPr>
              <w:t>Portability case</w:t>
            </w:r>
          </w:p>
        </w:tc>
        <w:tc>
          <w:tcPr>
            <w:tcW w:type="dxa" w:w="5040"/>
            <w:vAlign w:val="center"/>
            <w:tcMar>
              <w:top w:w="90" w:type="dxa"/>
              <w:start w:w="100" w:type="dxa"/>
              <w:bottom w:w="90" w:type="dxa"/>
              <w:end w:w="100" w:type="dxa"/>
            </w:tcMar>
          </w:tcPr>
          <w:p>
            <w:pPr>
              <w:spacing w:after="0" w:before="0"/>
            </w:pPr>
            <w:r/>
            <w:r>
              <w:rPr>
                <w:rFonts w:ascii="Aptos" w:hAnsi="Aptos"/>
                <w:b w:val="0"/>
                <w:color w:val="1F252B"/>
                <w:sz w:val="15"/>
              </w:rPr>
              <w:t>Active engagement and secure consent</w:t>
            </w:r>
          </w:p>
        </w:tc>
        <w:tc>
          <w:tcPr>
            <w:tcW w:type="dxa" w:w="3312"/>
            <w:vAlign w:val="center"/>
            <w:tcMar>
              <w:top w:w="90" w:type="dxa"/>
              <w:start w:w="100" w:type="dxa"/>
              <w:bottom w:w="90" w:type="dxa"/>
              <w:end w:w="100" w:type="dxa"/>
            </w:tcMar>
          </w:tcPr>
          <w:p>
            <w:pPr>
              <w:spacing w:after="0" w:before="0"/>
            </w:pPr>
            <w:r/>
            <w:r>
              <w:rPr>
                <w:rFonts w:ascii="Aptos" w:hAnsi="Aptos"/>
                <w:b w:val="0"/>
                <w:color w:val="1F252B"/>
                <w:sz w:val="15"/>
              </w:rPr>
              <w:t>De-identified account/product dataset</w:t>
            </w:r>
          </w:p>
        </w:tc>
      </w:tr>
    </w:tbl>
    <w:p>
      <w:pPr>
        <w:spacing w:after="0"/>
      </w:pPr>
    </w:p>
    <w:p>
      <w:pPr>
        <w:pStyle w:val="Heading1"/>
        <w:pBdr>
          <w:bottom w:val="single" w:sz="7" w:space="4" w:color="D5DBE3"/>
        </w:pBdr>
      </w:pPr>
      <w:r>
        <w:t>Sources and Research Notes</w:t>
      </w:r>
    </w:p>
    <w:p>
      <w:pPr>
        <w:keepLines w:val="0"/>
      </w:pPr>
      <w:r>
        <w:rPr>
          <w:rFonts w:ascii="Aptos" w:hAnsi="Aptos"/>
          <w:i w:val="0"/>
          <w:color w:val="1F252B"/>
        </w:rPr>
        <w:t>Sources were reviewed in July 2026. Competitor descriptions are based on their own public websites and should not be interpreted as an independent verification of performance claims. Market estimates are directional and must be refreshed before external publication.</w:t>
      </w:r>
    </w:p>
    <w:p>
      <w:pPr>
        <w:spacing w:after="60"/>
        <w:ind w:left="288" w:hanging="288"/>
      </w:pPr>
      <w:r>
        <w:rPr>
          <w:rFonts w:ascii="Aptos" w:hAnsi="Aptos"/>
          <w:b/>
          <w:color w:val="12263F"/>
          <w:sz w:val="17"/>
        </w:rPr>
        <w:t xml:space="preserve">[1] Google - AI Features and Your Website. </w:t>
      </w:r>
      <w:hyperlink r:id="rId11">
        <w:r>
          <w:rPr>
            <w:color w:val="2C5282"/>
            <w:u w:val="single"/>
            <w:rFonts w:ascii="Aptos" w:hAnsi="Aptos"/>
            <w:sz w:val="18"/>
          </w:rPr>
          <w:t>https://developers.google.com/search/docs/appearance/ai-features</w:t>
        </w:r>
      </w:hyperlink>
      <w:r>
        <w:rPr>
          <w:rFonts w:ascii="Aptos" w:hAnsi="Aptos"/>
          <w:color w:val="5C6570"/>
          <w:sz w:val="17"/>
        </w:rPr>
        <w:t xml:space="preserve"> - Official site-owner guidance.</w:t>
      </w:r>
    </w:p>
    <w:p>
      <w:pPr>
        <w:spacing w:after="60"/>
        <w:ind w:left="288" w:hanging="288"/>
      </w:pPr>
      <w:r>
        <w:rPr>
          <w:rFonts w:ascii="Aptos" w:hAnsi="Aptos"/>
          <w:b/>
          <w:color w:val="12263F"/>
          <w:sz w:val="17"/>
        </w:rPr>
        <w:t xml:space="preserve">[2] Google - AI Optimization Guide. </w:t>
      </w:r>
      <w:hyperlink r:id="rId12">
        <w:r>
          <w:rPr>
            <w:color w:val="2C5282"/>
            <w:u w:val="single"/>
            <w:rFonts w:ascii="Aptos" w:hAnsi="Aptos"/>
            <w:sz w:val="18"/>
          </w:rPr>
          <w:t>https://developers.google.com/search/docs/fundamentals/ai-optimization-guide</w:t>
        </w:r>
      </w:hyperlink>
      <w:r>
        <w:rPr>
          <w:rFonts w:ascii="Aptos" w:hAnsi="Aptos"/>
          <w:color w:val="5C6570"/>
          <w:sz w:val="17"/>
        </w:rPr>
        <w:t xml:space="preserve"> - Official guidance that generative visibility relies on core SEO and useful content.</w:t>
      </w:r>
    </w:p>
    <w:p>
      <w:pPr>
        <w:spacing w:after="60"/>
        <w:ind w:left="288" w:hanging="288"/>
      </w:pPr>
      <w:r>
        <w:rPr>
          <w:rFonts w:ascii="Aptos" w:hAnsi="Aptos"/>
          <w:b/>
          <w:color w:val="12263F"/>
          <w:sz w:val="17"/>
        </w:rPr>
        <w:t xml:space="preserve">[3] Google - Succeeding in AI Search. </w:t>
      </w:r>
      <w:hyperlink r:id="rId13">
        <w:r>
          <w:rPr>
            <w:color w:val="2C5282"/>
            <w:u w:val="single"/>
            <w:rFonts w:ascii="Aptos" w:hAnsi="Aptos"/>
            <w:sz w:val="18"/>
          </w:rPr>
          <w:t>https://developers.google.com/search/blog/2025/05/succeeding-in-ai-search</w:t>
        </w:r>
      </w:hyperlink>
      <w:r>
        <w:rPr>
          <w:rFonts w:ascii="Aptos" w:hAnsi="Aptos"/>
          <w:color w:val="5C6570"/>
          <w:sz w:val="17"/>
        </w:rPr>
        <w:t xml:space="preserve"> - Official recommendations.</w:t>
      </w:r>
    </w:p>
    <w:p>
      <w:pPr>
        <w:spacing w:after="60"/>
        <w:ind w:left="288" w:hanging="288"/>
      </w:pPr>
      <w:r>
        <w:rPr>
          <w:rFonts w:ascii="Aptos" w:hAnsi="Aptos"/>
          <w:b/>
          <w:color w:val="12263F"/>
          <w:sz w:val="17"/>
        </w:rPr>
        <w:t xml:space="preserve">[4] OpenAI - Overview of OpenAI Crawlers. </w:t>
      </w:r>
      <w:hyperlink r:id="rId14">
        <w:r>
          <w:rPr>
            <w:color w:val="2C5282"/>
            <w:u w:val="single"/>
            <w:rFonts w:ascii="Aptos" w:hAnsi="Aptos"/>
            <w:sz w:val="18"/>
          </w:rPr>
          <w:t>https://developers.openai.com/api/docs/bots</w:t>
        </w:r>
      </w:hyperlink>
      <w:r>
        <w:rPr>
          <w:rFonts w:ascii="Aptos" w:hAnsi="Aptos"/>
          <w:color w:val="5C6570"/>
          <w:sz w:val="17"/>
        </w:rPr>
        <w:t xml:space="preserve"> - OAI-SearchBot guidance.</w:t>
      </w:r>
    </w:p>
    <w:p>
      <w:pPr>
        <w:spacing w:after="60"/>
        <w:ind w:left="288" w:hanging="288"/>
      </w:pPr>
      <w:r>
        <w:rPr>
          <w:rFonts w:ascii="Aptos" w:hAnsi="Aptos"/>
          <w:b/>
          <w:color w:val="12263F"/>
          <w:sz w:val="17"/>
        </w:rPr>
        <w:t xml:space="preserve">[5] OpenAI - Publishers and Developers FAQ. </w:t>
      </w:r>
      <w:hyperlink r:id="rId15">
        <w:r>
          <w:rPr>
            <w:color w:val="2C5282"/>
            <w:u w:val="single"/>
            <w:rFonts w:ascii="Aptos" w:hAnsi="Aptos"/>
            <w:sz w:val="18"/>
          </w:rPr>
          <w:t>https://help.openai.com/en/articles/12627856-publishers-and-developers-faq</w:t>
        </w:r>
      </w:hyperlink>
      <w:r>
        <w:rPr>
          <w:rFonts w:ascii="Aptos" w:hAnsi="Aptos"/>
          <w:color w:val="5C6570"/>
          <w:sz w:val="17"/>
        </w:rPr>
        <w:t xml:space="preserve"> - Referral tracking and publisher guidance.</w:t>
      </w:r>
    </w:p>
    <w:p>
      <w:pPr>
        <w:spacing w:after="60"/>
        <w:ind w:left="288" w:hanging="288"/>
      </w:pPr>
      <w:r>
        <w:rPr>
          <w:rFonts w:ascii="Aptos" w:hAnsi="Aptos"/>
          <w:b/>
          <w:color w:val="12263F"/>
          <w:sz w:val="17"/>
        </w:rPr>
        <w:t xml:space="preserve">[6] Bing - AI Performance in Webmaster Tools. </w:t>
      </w:r>
      <w:hyperlink r:id="rId16">
        <w:r>
          <w:rPr>
            <w:color w:val="2C5282"/>
            <w:u w:val="single"/>
            <w:rFonts w:ascii="Aptos" w:hAnsi="Aptos"/>
            <w:sz w:val="18"/>
          </w:rPr>
          <w:t>https://blogs.bing.com/webmaster/February-2026/Introducing-AI-Performance-in-Bing-Webmaster-Tools-Public-Preview</w:t>
        </w:r>
      </w:hyperlink>
      <w:r>
        <w:rPr>
          <w:rFonts w:ascii="Aptos" w:hAnsi="Aptos"/>
          <w:color w:val="5C6570"/>
          <w:sz w:val="17"/>
        </w:rPr>
        <w:t xml:space="preserve"> - Citation and grounding-query reporting.</w:t>
      </w:r>
    </w:p>
    <w:p>
      <w:pPr>
        <w:spacing w:after="60"/>
        <w:ind w:left="288" w:hanging="288"/>
      </w:pPr>
      <w:r>
        <w:rPr>
          <w:rFonts w:ascii="Aptos" w:hAnsi="Aptos"/>
          <w:b/>
          <w:color w:val="12263F"/>
          <w:sz w:val="17"/>
        </w:rPr>
        <w:t xml:space="preserve">[7] Bing - AI Visibility Insights. </w:t>
      </w:r>
      <w:hyperlink r:id="rId17">
        <w:r>
          <w:rPr>
            <w:color w:val="2C5282"/>
            <w:u w:val="single"/>
            <w:rFonts w:ascii="Aptos" w:hAnsi="Aptos"/>
            <w:sz w:val="18"/>
          </w:rPr>
          <w:t>https://blogs.bing.com/search/June-2026/New-AI-Visibility-Insights-in-Bing-Webmaster-Tools-Intents-Topics-Citation-Share-Compare</w:t>
        </w:r>
      </w:hyperlink>
      <w:r>
        <w:rPr>
          <w:rFonts w:ascii="Aptos" w:hAnsi="Aptos"/>
          <w:color w:val="5C6570"/>
          <w:sz w:val="17"/>
        </w:rPr>
        <w:t xml:space="preserve"> - Intent, topic and citation share features.</w:t>
      </w:r>
    </w:p>
    <w:p>
      <w:pPr>
        <w:spacing w:after="60"/>
        <w:ind w:left="288" w:hanging="288"/>
      </w:pPr>
      <w:r>
        <w:rPr>
          <w:rFonts w:ascii="Aptos" w:hAnsi="Aptos"/>
          <w:b/>
          <w:color w:val="12263F"/>
          <w:sz w:val="17"/>
        </w:rPr>
        <w:t xml:space="preserve">[8] Google - Using Generative AI Content. </w:t>
      </w:r>
      <w:hyperlink r:id="rId18">
        <w:r>
          <w:rPr>
            <w:color w:val="2C5282"/>
            <w:u w:val="single"/>
            <w:rFonts w:ascii="Aptos" w:hAnsi="Aptos"/>
            <w:sz w:val="18"/>
          </w:rPr>
          <w:t>https://developers.google.com/search/docs/fundamentals/using-gen-ai-content</w:t>
        </w:r>
      </w:hyperlink>
      <w:r>
        <w:rPr>
          <w:rFonts w:ascii="Aptos" w:hAnsi="Aptos"/>
          <w:color w:val="5C6570"/>
          <w:sz w:val="17"/>
        </w:rPr>
        <w:t xml:space="preserve"> - Scaled content warning and quality standards.</w:t>
      </w:r>
    </w:p>
    <w:p>
      <w:pPr>
        <w:spacing w:after="60"/>
        <w:ind w:left="288" w:hanging="288"/>
      </w:pPr>
      <w:r>
        <w:rPr>
          <w:rFonts w:ascii="Aptos" w:hAnsi="Aptos"/>
          <w:b/>
          <w:color w:val="12263F"/>
          <w:sz w:val="17"/>
        </w:rPr>
        <w:t xml:space="preserve">[9] LinkedIn - Financial Services Marketing. </w:t>
      </w:r>
      <w:hyperlink r:id="rId19">
        <w:r>
          <w:rPr>
            <w:color w:val="2C5282"/>
            <w:u w:val="single"/>
            <w:rFonts w:ascii="Aptos" w:hAnsi="Aptos"/>
            <w:sz w:val="18"/>
          </w:rPr>
          <w:t>https://www.linkedin.com/business/marketing/blog/financial-services</w:t>
        </w:r>
      </w:hyperlink>
      <w:r>
        <w:rPr>
          <w:rFonts w:ascii="Aptos" w:hAnsi="Aptos"/>
          <w:color w:val="5C6570"/>
          <w:sz w:val="17"/>
        </w:rPr>
        <w:t xml:space="preserve"> - Official industry marketing resources.</w:t>
      </w:r>
    </w:p>
    <w:p>
      <w:pPr>
        <w:spacing w:after="60"/>
        <w:ind w:left="288" w:hanging="288"/>
      </w:pPr>
      <w:r>
        <w:rPr>
          <w:rFonts w:ascii="Aptos" w:hAnsi="Aptos"/>
          <w:b/>
          <w:color w:val="12263F"/>
          <w:sz w:val="17"/>
        </w:rPr>
        <w:t xml:space="preserve">[10] LinkedIn - B2B Targeting. </w:t>
      </w:r>
      <w:hyperlink r:id="rId20">
        <w:r>
          <w:rPr>
            <w:color w:val="2C5282"/>
            <w:u w:val="single"/>
            <w:rFonts w:ascii="Aptos" w:hAnsi="Aptos"/>
            <w:sz w:val="18"/>
          </w:rPr>
          <w:t>https://www.linkedin.com/business/marketing/blog/targeting</w:t>
        </w:r>
      </w:hyperlink>
      <w:r>
        <w:rPr>
          <w:rFonts w:ascii="Aptos" w:hAnsi="Aptos"/>
          <w:color w:val="5C6570"/>
          <w:sz w:val="17"/>
        </w:rPr>
        <w:t xml:space="preserve"> - Official audience research and targeting resources.</w:t>
      </w:r>
    </w:p>
    <w:p>
      <w:pPr>
        <w:spacing w:after="60"/>
        <w:ind w:left="288" w:hanging="288"/>
      </w:pPr>
      <w:r>
        <w:rPr>
          <w:rFonts w:ascii="Aptos" w:hAnsi="Aptos"/>
          <w:b/>
          <w:color w:val="12263F"/>
          <w:sz w:val="17"/>
        </w:rPr>
        <w:t xml:space="preserve">[11] LinkedIn - Marketing Measurement. </w:t>
      </w:r>
      <w:hyperlink r:id="rId21">
        <w:r>
          <w:rPr>
            <w:color w:val="2C5282"/>
            <w:u w:val="single"/>
            <w:rFonts w:ascii="Aptos" w:hAnsi="Aptos"/>
            <w:sz w:val="18"/>
          </w:rPr>
          <w:t>https://www.linkedin.com/business/marketing/blog/linkedin-ads/a-new-guide-how-top-prove-the-value-of-b2b-marketing</w:t>
        </w:r>
      </w:hyperlink>
      <w:r>
        <w:rPr>
          <w:rFonts w:ascii="Aptos" w:hAnsi="Aptos"/>
          <w:color w:val="5C6570"/>
          <w:sz w:val="17"/>
        </w:rPr>
        <w:t xml:space="preserve"> - Insight Tag and conversion tracking overview.</w:t>
      </w:r>
    </w:p>
    <w:p>
      <w:pPr>
        <w:spacing w:after="60"/>
        <w:ind w:left="288" w:hanging="288"/>
      </w:pPr>
      <w:r>
        <w:rPr>
          <w:rFonts w:ascii="Aptos" w:hAnsi="Aptos"/>
          <w:b/>
          <w:color w:val="12263F"/>
          <w:sz w:val="17"/>
        </w:rPr>
        <w:t xml:space="preserve">[12] Spartan Advisory. </w:t>
      </w:r>
      <w:hyperlink r:id="rId22">
        <w:r>
          <w:rPr>
            <w:color w:val="2C5282"/>
            <w:u w:val="single"/>
            <w:rFonts w:ascii="Aptos" w:hAnsi="Aptos"/>
            <w:sz w:val="18"/>
          </w:rPr>
          <w:t>https://spartan-advisory.com/</w:t>
        </w:r>
      </w:hyperlink>
      <w:r>
        <w:rPr>
          <w:rFonts w:ascii="Aptos" w:hAnsi="Aptos"/>
          <w:color w:val="5C6570"/>
          <w:sz w:val="17"/>
        </w:rPr>
        <w:t xml:space="preserve"> - Public assessment-led advisor acquisition model.</w:t>
      </w:r>
    </w:p>
    <w:p>
      <w:pPr>
        <w:spacing w:after="60"/>
        <w:ind w:left="288" w:hanging="288"/>
      </w:pPr>
      <w:r>
        <w:rPr>
          <w:rFonts w:ascii="Aptos" w:hAnsi="Aptos"/>
          <w:b/>
          <w:color w:val="12263F"/>
          <w:sz w:val="17"/>
        </w:rPr>
        <w:t xml:space="preserve">[13] Diamond Consultants. </w:t>
      </w:r>
      <w:hyperlink r:id="rId23">
        <w:r>
          <w:rPr>
            <w:color w:val="2C5282"/>
            <w:u w:val="single"/>
            <w:rFonts w:ascii="Aptos" w:hAnsi="Aptos"/>
            <w:sz w:val="18"/>
          </w:rPr>
          <w:t>https://www.diamond-consultants.com/</w:t>
        </w:r>
      </w:hyperlink>
      <w:r>
        <w:rPr>
          <w:rFonts w:ascii="Aptos" w:hAnsi="Aptos"/>
          <w:color w:val="5C6570"/>
          <w:sz w:val="17"/>
        </w:rPr>
        <w:t xml:space="preserve"> - Public content and advisor-service model.</w:t>
      </w:r>
    </w:p>
    <w:p>
      <w:pPr>
        <w:spacing w:after="60"/>
        <w:ind w:left="288" w:hanging="288"/>
      </w:pPr>
      <w:r>
        <w:rPr>
          <w:rFonts w:ascii="Aptos" w:hAnsi="Aptos"/>
          <w:b/>
          <w:color w:val="12263F"/>
          <w:sz w:val="17"/>
        </w:rPr>
        <w:t xml:space="preserve">[14] Bridgemark Strategies. </w:t>
      </w:r>
      <w:hyperlink r:id="rId24">
        <w:r>
          <w:rPr>
            <w:color w:val="2C5282"/>
            <w:u w:val="single"/>
            <w:rFonts w:ascii="Aptos" w:hAnsi="Aptos"/>
            <w:sz w:val="18"/>
          </w:rPr>
          <w:t>https://www.bridgemarkstrategies.com/</w:t>
        </w:r>
      </w:hyperlink>
      <w:r>
        <w:rPr>
          <w:rFonts w:ascii="Aptos" w:hAnsi="Aptos"/>
          <w:color w:val="5C6570"/>
          <w:sz w:val="17"/>
        </w:rPr>
        <w:t xml:space="preserve"> - Public framework, resources and marketplace.</w:t>
      </w:r>
    </w:p>
    <w:p>
      <w:pPr>
        <w:spacing w:after="60"/>
        <w:ind w:left="288" w:hanging="288"/>
      </w:pPr>
      <w:r>
        <w:rPr>
          <w:rFonts w:ascii="Aptos" w:hAnsi="Aptos"/>
          <w:b/>
          <w:color w:val="12263F"/>
          <w:sz w:val="17"/>
        </w:rPr>
        <w:t xml:space="preserve">[15] Elite Consulting Partners. </w:t>
      </w:r>
      <w:hyperlink r:id="rId25">
        <w:r>
          <w:rPr>
            <w:color w:val="2C5282"/>
            <w:u w:val="single"/>
            <w:rFonts w:ascii="Aptos" w:hAnsi="Aptos"/>
            <w:sz w:val="18"/>
          </w:rPr>
          <w:t>https://eliteconsultingpartners.com/</w:t>
        </w:r>
      </w:hyperlink>
      <w:r>
        <w:rPr>
          <w:rFonts w:ascii="Aptos" w:hAnsi="Aptos"/>
          <w:color w:val="5C6570"/>
          <w:sz w:val="17"/>
        </w:rPr>
        <w:t xml:space="preserve"> - Public consulting, podcast and service ecosystem.</w:t>
      </w:r>
    </w:p>
    <w:p>
      <w:pPr>
        <w:spacing w:after="60"/>
        <w:ind w:left="288" w:hanging="288"/>
      </w:pPr>
      <w:r>
        <w:rPr>
          <w:rFonts w:ascii="Aptos" w:hAnsi="Aptos"/>
          <w:b/>
          <w:color w:val="12263F"/>
          <w:sz w:val="17"/>
        </w:rPr>
        <w:t xml:space="preserve">[16] Fin.Link. </w:t>
      </w:r>
      <w:hyperlink r:id="rId26">
        <w:r>
          <w:rPr>
            <w:color w:val="2C5282"/>
            <w:u w:val="single"/>
            <w:rFonts w:ascii="Aptos" w:hAnsi="Aptos"/>
            <w:sz w:val="18"/>
          </w:rPr>
          <w:t>https://fin.link/</w:t>
        </w:r>
      </w:hyperlink>
      <w:r>
        <w:rPr>
          <w:rFonts w:ascii="Aptos" w:hAnsi="Aptos"/>
          <w:color w:val="5C6570"/>
          <w:sz w:val="17"/>
        </w:rPr>
        <w:t xml:space="preserve"> - Public marketplace, network and AI matching model.</w:t>
      </w:r>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570"/>
        <w:sz w:val="15"/>
      </w:rPr>
      <w:t xml:space="preserve">CONFIDENTIAL - FOR STRATEGIC PLANNING  |  </w:t>
    </w:r>
    <w:r>
      <w:rPr>
        <w:rFonts w:ascii="Aptos" w:hAnsi="Aptos"/>
        <w:color w:val="5C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D5DBE3"/>
      </w:pBdr>
    </w:pPr>
    <w:r>
      <w:rPr>
        <w:rFonts w:ascii="Aptos" w:hAnsi="Aptos"/>
        <w:b/>
        <w:color w:val="5C6570"/>
        <w:sz w:val="15"/>
      </w:rPr>
      <w:t>VYNE STRATEGIES  |  DIGITAL AUTHORITY, AEO &amp; ADVISOR ACQUISITION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F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63F"/>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22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26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C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403" w:right="403"/>
    </w:pPr>
    <w:rPr>
      <w:rFonts w:ascii="Aptos" w:hAnsi="Aptos"/>
      <w:i/>
      <w:color w:val="1226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ai-features" TargetMode="External"/><Relationship Id="rId12" Type="http://schemas.openxmlformats.org/officeDocument/2006/relationships/hyperlink" Target="https://developers.google.com/search/docs/fundamentals/ai-optimization-guide" TargetMode="External"/><Relationship Id="rId13" Type="http://schemas.openxmlformats.org/officeDocument/2006/relationships/hyperlink" Target="https://developers.google.com/search/blog/2025/05/succeeding-in-ai-search" TargetMode="External"/><Relationship Id="rId14" Type="http://schemas.openxmlformats.org/officeDocument/2006/relationships/hyperlink" Target="https://developers.openai.com/api/docs/bots" TargetMode="External"/><Relationship Id="rId15" Type="http://schemas.openxmlformats.org/officeDocument/2006/relationships/hyperlink" Target="https://help.openai.com/en/articles/12627856-publishers-and-developers-faq" TargetMode="External"/><Relationship Id="rId16" Type="http://schemas.openxmlformats.org/officeDocument/2006/relationships/hyperlink" Target="https://blogs.bing.com/webmaster/February-2026/Introducing-AI-Performance-in-Bing-Webmaster-Tools-Public-Preview" TargetMode="External"/><Relationship Id="rId17" Type="http://schemas.openxmlformats.org/officeDocument/2006/relationships/hyperlink" Target="https://blogs.bing.com/search/June-2026/New-AI-Visibility-Insights-in-Bing-Webmaster-Tools-Intents-Topics-Citation-Share-Compare" TargetMode="External"/><Relationship Id="rId18" Type="http://schemas.openxmlformats.org/officeDocument/2006/relationships/hyperlink" Target="https://developers.google.com/search/docs/fundamentals/using-gen-ai-content" TargetMode="External"/><Relationship Id="rId19" Type="http://schemas.openxmlformats.org/officeDocument/2006/relationships/hyperlink" Target="https://www.linkedin.com/business/marketing/blog/financial-services" TargetMode="External"/><Relationship Id="rId20" Type="http://schemas.openxmlformats.org/officeDocument/2006/relationships/hyperlink" Target="https://www.linkedin.com/business/marketing/blog/targeting" TargetMode="External"/><Relationship Id="rId21" Type="http://schemas.openxmlformats.org/officeDocument/2006/relationships/hyperlink" Target="https://www.linkedin.com/business/marketing/blog/linkedin-ads/a-new-guide-how-top-prove-the-value-of-b2b-marketing" TargetMode="External"/><Relationship Id="rId22" Type="http://schemas.openxmlformats.org/officeDocument/2006/relationships/hyperlink" Target="https://spartan-advisory.com/" TargetMode="External"/><Relationship Id="rId23" Type="http://schemas.openxmlformats.org/officeDocument/2006/relationships/hyperlink" Target="https://www.diamond-consultants.com/" TargetMode="External"/><Relationship Id="rId24" Type="http://schemas.openxmlformats.org/officeDocument/2006/relationships/hyperlink" Target="https://www.bridgemarkstrategies.com/" TargetMode="External"/><Relationship Id="rId25" Type="http://schemas.openxmlformats.org/officeDocument/2006/relationships/hyperlink" Target="https://eliteconsultingpartners.com/" TargetMode="External"/><Relationship Id="rId26" Type="http://schemas.openxmlformats.org/officeDocument/2006/relationships/hyperlink" Target="https://f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