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i w:val="0"/>
          <w:color w:val="12263F"/>
          <w:sz w:val="24"/>
        </w:rPr>
        <w:t>VYNE STRATEGIES</w:t>
      </w:r>
    </w:p>
    <w:p>
      <w:pPr>
        <w:spacing w:before="560"/>
        <w:jc w:val="center"/>
      </w:pPr>
      <w:r>
        <w:rPr>
          <w:rFonts w:ascii="Aptos Display" w:hAnsi="Aptos Display"/>
          <w:b/>
          <w:i w:val="0"/>
          <w:color w:val="12263F"/>
          <w:sz w:val="56"/>
        </w:rPr>
        <w:t>Website Copy Deck &amp; Messaging System</w:t>
      </w:r>
    </w:p>
    <w:p>
      <w:pPr>
        <w:spacing w:before="240"/>
        <w:jc w:val="center"/>
      </w:pPr>
      <w:r>
        <w:rPr>
          <w:b w:val="0"/>
          <w:i w:val="0"/>
          <w:color w:val="5C6570"/>
          <w:sz w:val="26"/>
        </w:rPr>
        <w:t>Final-form public copy, conversion language, trust architecture and editorial standards for the VYNE authority website</w:t>
      </w:r>
    </w:p>
    <w:p>
      <w:pPr>
        <w:spacing w:before="560"/>
        <w:jc w:val="center"/>
      </w:pPr>
      <w:r>
        <w:rPr>
          <w:b w:val="0"/>
          <w:i w:val="0"/>
          <w:color w:val="2C5282"/>
          <w:sz w:val="20"/>
        </w:rPr>
        <w:t>━━━━━━━━━━━━━━━━━━━━━━━━━━━━━━━━━━</w:t>
      </w:r>
    </w:p>
    <w:p>
      <w:pPr>
        <w:spacing w:before="360"/>
        <w:jc w:val="center"/>
      </w:pPr>
      <w:r>
        <w:rPr>
          <w:b w:val="0"/>
          <w:i w:val="0"/>
          <w:color w:val="5C6570"/>
          <w:sz w:val="20"/>
        </w:rPr>
        <w:t>Version 1.0  |  July 2026</w:t>
      </w:r>
    </w:p>
    <w:p>
      <w:pPr>
        <w:jc w:val="center"/>
      </w:pPr>
      <w:r>
        <w:rPr>
          <w:b w:val="0"/>
          <w:i w:val="0"/>
          <w:color w:val="5C6570"/>
          <w:sz w:val="18"/>
        </w:rPr>
        <w:t>Companion to the Website Requirements, Digital Authority Blueprint and Eight Questions Assessment</w:t>
      </w:r>
    </w:p>
    <w:p>
      <w:pPr>
        <w:spacing w:before="960"/>
        <w:jc w:val="center"/>
      </w:pPr>
      <w:r>
        <w:rPr>
          <w:b w:val="0"/>
          <w:i/>
          <w:color w:val="5C6570"/>
          <w:sz w:val="18"/>
        </w:rPr>
        <w:t>Working copy system. Claims requiring substantiation are excluded or labeled.</w:t>
        <w:br/>
        <w:t>Legal, regulatory, privacy and compliance language requires professional review before publication.</w:t>
      </w:r>
    </w:p>
    <w:p>
      <w:r>
        <w:br w:type="page"/>
      </w:r>
    </w:p>
    <w:p>
      <w:pPr>
        <w:pStyle w:val="Heading1"/>
      </w:pPr>
      <w:r>
        <w:t>Contents</w:t>
      </w:r>
    </w:p>
    <w:p>
      <w:r>
        <w:rPr>
          <w:b/>
          <w:i w:val="0"/>
          <w:color w:val="2C5282"/>
          <w:sz w:val="19"/>
        </w:rPr>
        <w:t xml:space="preserve">01  </w:t>
      </w:r>
      <w:r>
        <w:rPr>
          <w:b w:val="0"/>
          <w:i w:val="0"/>
          <w:color w:val="1F252B"/>
          <w:sz w:val="19"/>
        </w:rPr>
        <w:t>Executive copy decision</w:t>
      </w:r>
    </w:p>
    <w:p>
      <w:r>
        <w:rPr>
          <w:b/>
          <w:i w:val="0"/>
          <w:color w:val="2C5282"/>
          <w:sz w:val="19"/>
        </w:rPr>
        <w:t xml:space="preserve">02  </w:t>
      </w:r>
      <w:r>
        <w:rPr>
          <w:b w:val="0"/>
          <w:i w:val="0"/>
          <w:color w:val="1F252B"/>
          <w:sz w:val="19"/>
        </w:rPr>
        <w:t>Message hierarchy</w:t>
      </w:r>
    </w:p>
    <w:p>
      <w:r>
        <w:rPr>
          <w:b/>
          <w:i w:val="0"/>
          <w:color w:val="2C5282"/>
          <w:sz w:val="19"/>
        </w:rPr>
        <w:t xml:space="preserve">03  </w:t>
      </w:r>
      <w:r>
        <w:rPr>
          <w:b w:val="0"/>
          <w:i w:val="0"/>
          <w:color w:val="1F252B"/>
          <w:sz w:val="19"/>
        </w:rPr>
        <w:t>Voice and trust rules</w:t>
      </w:r>
    </w:p>
    <w:p>
      <w:r>
        <w:rPr>
          <w:b/>
          <w:i w:val="0"/>
          <w:color w:val="2C5282"/>
          <w:sz w:val="19"/>
        </w:rPr>
        <w:t xml:space="preserve">04  </w:t>
      </w:r>
      <w:r>
        <w:rPr>
          <w:b w:val="0"/>
          <w:i w:val="0"/>
          <w:color w:val="1F252B"/>
          <w:sz w:val="19"/>
        </w:rPr>
        <w:t>Global navigation and footer</w:t>
      </w:r>
    </w:p>
    <w:p>
      <w:r>
        <w:rPr>
          <w:b/>
          <w:i w:val="0"/>
          <w:color w:val="2C5282"/>
          <w:sz w:val="19"/>
        </w:rPr>
        <w:t xml:space="preserve">05  </w:t>
      </w:r>
      <w:r>
        <w:rPr>
          <w:b w:val="0"/>
          <w:i w:val="0"/>
          <w:color w:val="1F252B"/>
          <w:sz w:val="19"/>
        </w:rPr>
        <w:t>Homepage</w:t>
      </w:r>
    </w:p>
    <w:p>
      <w:r>
        <w:rPr>
          <w:b/>
          <w:i w:val="0"/>
          <w:color w:val="2C5282"/>
          <w:sz w:val="19"/>
        </w:rPr>
        <w:t xml:space="preserve">06  </w:t>
      </w:r>
      <w:r>
        <w:rPr>
          <w:b w:val="0"/>
          <w:i w:val="0"/>
          <w:color w:val="1F252B"/>
          <w:sz w:val="19"/>
        </w:rPr>
        <w:t>The VYNE Framework</w:t>
      </w:r>
    </w:p>
    <w:p>
      <w:r>
        <w:rPr>
          <w:b/>
          <w:i w:val="0"/>
          <w:color w:val="2C5282"/>
          <w:sz w:val="19"/>
        </w:rPr>
        <w:t xml:space="preserve">07  </w:t>
      </w:r>
      <w:r>
        <w:rPr>
          <w:b w:val="0"/>
          <w:i w:val="0"/>
          <w:color w:val="1F252B"/>
          <w:sz w:val="19"/>
        </w:rPr>
        <w:t>Advisor Journey</w:t>
      </w:r>
    </w:p>
    <w:p>
      <w:r>
        <w:rPr>
          <w:b/>
          <w:i w:val="0"/>
          <w:color w:val="2C5282"/>
          <w:sz w:val="19"/>
        </w:rPr>
        <w:t xml:space="preserve">08  </w:t>
      </w:r>
      <w:r>
        <w:rPr>
          <w:b w:val="0"/>
          <w:i w:val="0"/>
          <w:color w:val="1F252B"/>
          <w:sz w:val="19"/>
        </w:rPr>
        <w:t>Eight Questions</w:t>
      </w:r>
    </w:p>
    <w:p>
      <w:r>
        <w:rPr>
          <w:b/>
          <w:i w:val="0"/>
          <w:color w:val="2C5282"/>
          <w:sz w:val="19"/>
        </w:rPr>
        <w:t xml:space="preserve">09  </w:t>
      </w:r>
      <w:r>
        <w:rPr>
          <w:b w:val="0"/>
          <w:i w:val="0"/>
          <w:color w:val="1F252B"/>
          <w:sz w:val="19"/>
        </w:rPr>
        <w:t>Stay, Strengthen, Prepare or Move</w:t>
      </w:r>
    </w:p>
    <w:p>
      <w:r>
        <w:rPr>
          <w:b/>
          <w:i w:val="0"/>
          <w:color w:val="2C5282"/>
          <w:sz w:val="19"/>
        </w:rPr>
        <w:t xml:space="preserve">10  </w:t>
      </w:r>
      <w:r>
        <w:rPr>
          <w:b w:val="0"/>
          <w:i w:val="0"/>
          <w:color w:val="1F252B"/>
          <w:sz w:val="19"/>
        </w:rPr>
        <w:t>Enterprise Economics</w:t>
      </w:r>
    </w:p>
    <w:p>
      <w:r>
        <w:rPr>
          <w:b/>
          <w:i w:val="0"/>
          <w:color w:val="2C5282"/>
          <w:sz w:val="19"/>
        </w:rPr>
        <w:t xml:space="preserve">11  </w:t>
      </w:r>
      <w:r>
        <w:rPr>
          <w:b w:val="0"/>
          <w:i w:val="0"/>
          <w:color w:val="1F252B"/>
          <w:sz w:val="19"/>
        </w:rPr>
        <w:t>Portability and Platform Compatibility</w:t>
      </w:r>
    </w:p>
    <w:p>
      <w:r>
        <w:rPr>
          <w:b/>
          <w:i w:val="0"/>
          <w:color w:val="2C5282"/>
          <w:sz w:val="19"/>
        </w:rPr>
        <w:t xml:space="preserve">12  </w:t>
      </w:r>
      <w:r>
        <w:rPr>
          <w:b w:val="0"/>
          <w:i w:val="0"/>
          <w:color w:val="1F252B"/>
          <w:sz w:val="19"/>
        </w:rPr>
        <w:t>Firm Research</w:t>
      </w:r>
    </w:p>
    <w:p>
      <w:r>
        <w:rPr>
          <w:b/>
          <w:i w:val="0"/>
          <w:color w:val="2C5282"/>
          <w:sz w:val="19"/>
        </w:rPr>
        <w:t xml:space="preserve">13  </w:t>
      </w:r>
      <w:r>
        <w:rPr>
          <w:b w:val="0"/>
          <w:i w:val="0"/>
          <w:color w:val="1F252B"/>
          <w:sz w:val="19"/>
        </w:rPr>
        <w:t>Compare Firms</w:t>
      </w:r>
    </w:p>
    <w:p>
      <w:r>
        <w:rPr>
          <w:b/>
          <w:i w:val="0"/>
          <w:color w:val="2C5282"/>
          <w:sz w:val="19"/>
        </w:rPr>
        <w:t xml:space="preserve">14  </w:t>
      </w:r>
      <w:r>
        <w:rPr>
          <w:b w:val="0"/>
          <w:i w:val="0"/>
          <w:color w:val="1F252B"/>
          <w:sz w:val="19"/>
        </w:rPr>
        <w:t>Review My Offer</w:t>
      </w:r>
    </w:p>
    <w:p>
      <w:r>
        <w:rPr>
          <w:b/>
          <w:i w:val="0"/>
          <w:color w:val="2C5282"/>
          <w:sz w:val="19"/>
        </w:rPr>
        <w:t xml:space="preserve">15  </w:t>
      </w:r>
      <w:r>
        <w:rPr>
          <w:b w:val="0"/>
          <w:i w:val="0"/>
          <w:color w:val="1F252B"/>
          <w:sz w:val="19"/>
        </w:rPr>
        <w:t>Succession and Continuity</w:t>
      </w:r>
    </w:p>
    <w:p>
      <w:r>
        <w:rPr>
          <w:b/>
          <w:i w:val="0"/>
          <w:color w:val="2C5282"/>
          <w:sz w:val="19"/>
        </w:rPr>
        <w:t xml:space="preserve">16  </w:t>
      </w:r>
      <w:r>
        <w:rPr>
          <w:b w:val="0"/>
          <w:i w:val="0"/>
          <w:color w:val="1F252B"/>
          <w:sz w:val="19"/>
        </w:rPr>
        <w:t>Insights and Newsletter</w:t>
      </w:r>
    </w:p>
    <w:p>
      <w:r>
        <w:rPr>
          <w:b/>
          <w:i w:val="0"/>
          <w:color w:val="2C5282"/>
          <w:sz w:val="19"/>
        </w:rPr>
        <w:t xml:space="preserve">17  </w:t>
      </w:r>
      <w:r>
        <w:rPr>
          <w:b w:val="0"/>
          <w:i w:val="0"/>
          <w:color w:val="1F252B"/>
          <w:sz w:val="19"/>
        </w:rPr>
        <w:t>About and Trust Architecture</w:t>
      </w:r>
    </w:p>
    <w:p>
      <w:r>
        <w:rPr>
          <w:b/>
          <w:i w:val="0"/>
          <w:color w:val="2C5282"/>
          <w:sz w:val="19"/>
        </w:rPr>
        <w:t xml:space="preserve">18  </w:t>
      </w:r>
      <w:r>
        <w:rPr>
          <w:b w:val="0"/>
          <w:i w:val="0"/>
          <w:color w:val="1F252B"/>
          <w:sz w:val="19"/>
        </w:rPr>
        <w:t>FAQ and Confidential Conversation</w:t>
      </w:r>
    </w:p>
    <w:p>
      <w:r>
        <w:rPr>
          <w:b/>
          <w:i w:val="0"/>
          <w:color w:val="2C5282"/>
          <w:sz w:val="19"/>
        </w:rPr>
        <w:t xml:space="preserve">19  </w:t>
      </w:r>
      <w:r>
        <w:rPr>
          <w:b w:val="0"/>
          <w:i w:val="0"/>
          <w:color w:val="1F252B"/>
          <w:sz w:val="19"/>
        </w:rPr>
        <w:t>Forms and microcopy</w:t>
      </w:r>
    </w:p>
    <w:p>
      <w:r>
        <w:rPr>
          <w:b/>
          <w:i w:val="0"/>
          <w:color w:val="2C5282"/>
          <w:sz w:val="19"/>
        </w:rPr>
        <w:t xml:space="preserve">20  </w:t>
      </w:r>
      <w:r>
        <w:rPr>
          <w:b w:val="0"/>
          <w:i w:val="0"/>
          <w:color w:val="1F252B"/>
          <w:sz w:val="19"/>
        </w:rPr>
        <w:t>Email and nurture copy</w:t>
      </w:r>
    </w:p>
    <w:p>
      <w:r>
        <w:rPr>
          <w:b/>
          <w:i w:val="0"/>
          <w:color w:val="2C5282"/>
          <w:sz w:val="19"/>
        </w:rPr>
        <w:t xml:space="preserve">21  </w:t>
      </w:r>
      <w:r>
        <w:rPr>
          <w:b w:val="0"/>
          <w:i w:val="0"/>
          <w:color w:val="1F252B"/>
          <w:sz w:val="19"/>
        </w:rPr>
        <w:t>Launch editorial checklist</w:t>
      </w:r>
    </w:p>
    <w:p>
      <w:r>
        <w:br w:type="page"/>
      </w:r>
    </w:p>
    <w:p>
      <w:pPr>
        <w:pStyle w:val="Heading1"/>
      </w:pPr>
      <w:r>
        <w:t>01  Executive Copy Decision</w:t>
      </w:r>
    </w:p>
    <w:tbl>
      <w:tblPr>
        <w:tblW w:type="auto" w:w="0"/>
        <w:jc w:val="center"/>
        <w:tblLayout w:type="fixed"/>
        <w:tblLook w:firstColumn="1" w:firstRow="1" w:lastColumn="0" w:lastRow="0" w:noHBand="0" w:noVBand="1" w:val="04A0"/>
      </w:tblPr>
      <w:tblGrid>
        <w:gridCol w:w="10166"/>
      </w:tblGrid>
      <w:tr>
        <w:tc>
          <w:tcPr>
            <w:tcW w:type="dxa" w:w="10166"/>
            <w:shd w:fill="EAF0F6"/>
            <w:tcBorders>
              <w:top w:val="single" w:sz="8" w:color="12263F"/>
              <w:left w:val="single" w:sz="8" w:color="12263F"/>
              <w:bottom w:val="single" w:sz="8" w:color="12263F"/>
              <w:right w:val="single" w:sz="8" w:color="12263F"/>
              <w:insideH w:val="single" w:sz="8" w:color="12263F"/>
              <w:insideV w:val="single" w:sz="8" w:color="12263F"/>
            </w:tcBorders>
            <w:tcMar>
              <w:top w:w="140" w:type="dxa"/>
              <w:start w:w="170" w:type="dxa"/>
              <w:bottom w:w="140" w:type="dxa"/>
              <w:end w:w="170" w:type="dxa"/>
            </w:tcMar>
          </w:tcPr>
          <w:p>
            <w:r>
              <w:rPr>
                <w:b/>
                <w:i w:val="0"/>
                <w:color w:val="12263F"/>
                <w:sz w:val="20"/>
              </w:rPr>
              <w:t>Recommendation: lead with the decision, not the destination.</w:t>
            </w:r>
          </w:p>
          <w:p>
            <w:r>
              <w:rPr>
                <w:b w:val="0"/>
                <w:i w:val="0"/>
                <w:color w:val="1F252B"/>
                <w:sz w:val="19"/>
              </w:rPr>
              <w:t>The website should make VYNE feel like a private decision and intelligence platform for advisors - not a public list of recruiting opportunities. The copy must give enough substance to establish authority while reserving firm-specific analysis, economics, portability and recommendations for a permissioned relationship.</w:t>
            </w:r>
          </w:p>
        </w:tc>
      </w:tr>
    </w:tbl>
    <w:p/>
    <w:p>
      <w:pPr>
        <w:pStyle w:val="BodyText"/>
      </w:pPr>
      <w:r>
        <w:t>The highest-trust position is not “we can find you a better firm.” It is “we help you determine whether better exists, what it must accomplish, and whether the evidence supports staying, preparing or moving.”</w:t>
      </w:r>
    </w:p>
    <w:p>
      <w:pPr>
        <w:pStyle w:val="Heading2"/>
      </w:pPr>
      <w:r>
        <w:t>What the copy must accomplish</w:t>
      </w:r>
    </w:p>
    <w:p>
      <w:pPr>
        <w:pStyle w:val="ListBullet"/>
      </w:pPr>
      <w:r>
        <w:t>Make the advisor feel understood before asking for information.</w:t>
      </w:r>
    </w:p>
    <w:p>
      <w:pPr>
        <w:pStyle w:val="ListBullet"/>
      </w:pPr>
      <w:r>
        <w:t>Treat the current firm as a legitimate option.</w:t>
      </w:r>
    </w:p>
    <w:p>
      <w:pPr>
        <w:pStyle w:val="ListBullet"/>
      </w:pPr>
      <w:r>
        <w:t>Explain economics as more than a transition payment.</w:t>
      </w:r>
    </w:p>
    <w:p>
      <w:pPr>
        <w:pStyle w:val="ListBullet"/>
      </w:pPr>
      <w:r>
        <w:t>Keep clients, team and enterprise value inside every decision.</w:t>
      </w:r>
    </w:p>
    <w:p>
      <w:pPr>
        <w:pStyle w:val="ListBullet"/>
      </w:pPr>
      <w:r>
        <w:t>Allow private research without immediate firm contact.</w:t>
      </w:r>
    </w:p>
    <w:p>
      <w:pPr>
        <w:pStyle w:val="ListBullet"/>
      </w:pPr>
      <w:r>
        <w:t>Create progressively deeper calls to action rather than one aggressive form.</w:t>
      </w:r>
    </w:p>
    <w:p>
      <w:pPr>
        <w:pStyle w:val="ListBullet"/>
      </w:pPr>
      <w:r>
        <w:t>Avoid unsupported superiority claims, manufactured urgency and generic promises.</w:t>
      </w:r>
    </w:p>
    <w:p>
      <w:pPr>
        <w:pStyle w:val="Heading2"/>
      </w:pPr>
      <w:r>
        <w:t>What the copy should not claim at launch</w:t>
      </w:r>
    </w:p>
    <w:p>
      <w:pPr>
        <w:pStyle w:val="ListBullet"/>
      </w:pPr>
      <w:r>
        <w:t>That VYNE is the leading or most trusted advisor consulting firm.</w:t>
      </w:r>
    </w:p>
    <w:p>
      <w:pPr>
        <w:pStyle w:val="ListBullet"/>
      </w:pPr>
      <w:r>
        <w:t>That VYNE has reviewed every firm or every recruiting offer.</w:t>
      </w:r>
    </w:p>
    <w:p>
      <w:pPr>
        <w:pStyle w:val="ListBullet"/>
      </w:pPr>
      <w:r>
        <w:t>That VYNE can predict portability or client retention without data and assumptions.</w:t>
      </w:r>
    </w:p>
    <w:p>
      <w:pPr>
        <w:pStyle w:val="ListBullet"/>
      </w:pPr>
      <w:r>
        <w:t>That a firm, product or deal is “best” without an advisor-specific evaluation.</w:t>
      </w:r>
    </w:p>
    <w:p>
      <w:pPr>
        <w:pStyle w:val="ListBullet"/>
      </w:pPr>
      <w:r>
        <w:t>That AI search visibility, newsletter growth or advisor conversion is guaranteed.</w:t>
      </w:r>
    </w:p>
    <w:p>
      <w:pPr>
        <w:pStyle w:val="Heading1"/>
      </w:pPr>
      <w:r>
        <w:t>02  Message Hierarchy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656"/>
            <w:shd w:fill="12263F"/>
            <w:tcMar>
              <w:top w:w="100" w:type="dxa"/>
              <w:start w:w="110" w:type="dxa"/>
              <w:bottom w:w="100" w:type="dxa"/>
              <w:end w:w="110" w:type="dxa"/>
            </w:tcMar>
            <w:vAlign w:val="center"/>
          </w:tcPr>
          <w:p>
            <w:r>
              <w:rPr>
                <w:b/>
                <w:i w:val="0"/>
                <w:color w:val="FFFFFF"/>
                <w:sz w:val="16"/>
              </w:rPr>
              <w:t>Layer</w:t>
            </w:r>
          </w:p>
        </w:tc>
        <w:tc>
          <w:tcPr>
            <w:tcW w:type="dxa" w:w="4248"/>
            <w:shd w:fill="12263F"/>
            <w:tcMar>
              <w:top w:w="100" w:type="dxa"/>
              <w:start w:w="110" w:type="dxa"/>
              <w:bottom w:w="100" w:type="dxa"/>
              <w:end w:w="110" w:type="dxa"/>
            </w:tcMar>
            <w:vAlign w:val="center"/>
          </w:tcPr>
          <w:p>
            <w:r>
              <w:rPr>
                <w:b/>
                <w:i w:val="0"/>
                <w:color w:val="FFFFFF"/>
                <w:sz w:val="16"/>
              </w:rPr>
              <w:t>Recommended language</w:t>
            </w:r>
          </w:p>
        </w:tc>
        <w:tc>
          <w:tcPr>
            <w:tcW w:type="dxa" w:w="3744"/>
            <w:shd w:fill="12263F"/>
            <w:tcMar>
              <w:top w:w="100" w:type="dxa"/>
              <w:start w:w="110" w:type="dxa"/>
              <w:bottom w:w="100" w:type="dxa"/>
              <w:end w:w="110" w:type="dxa"/>
            </w:tcMar>
            <w:vAlign w:val="center"/>
          </w:tcPr>
          <w:p>
            <w:r>
              <w:rPr>
                <w:b/>
                <w:i w:val="0"/>
                <w:color w:val="FFFFFF"/>
                <w:sz w:val="16"/>
              </w:rPr>
              <w:t>Role</w:t>
            </w:r>
          </w:p>
        </w:tc>
      </w:tr>
      <w:tr>
        <w:tc>
          <w:tcPr>
            <w:tcW w:type="dxa" w:w="1656"/>
            <w:tcMar>
              <w:top w:w="100" w:type="dxa"/>
              <w:start w:w="110" w:type="dxa"/>
              <w:bottom w:w="100" w:type="dxa"/>
              <w:end w:w="110" w:type="dxa"/>
            </w:tcMar>
            <w:vAlign w:val="top"/>
          </w:tcPr>
          <w:p>
            <w:r>
              <w:rPr>
                <w:b w:val="0"/>
                <w:i w:val="0"/>
                <w:color w:val="1F252B"/>
                <w:sz w:val="16"/>
              </w:rPr>
              <w:t>Homepage hook</w:t>
            </w:r>
          </w:p>
        </w:tc>
        <w:tc>
          <w:tcPr>
            <w:tcW w:type="dxa" w:w="4248"/>
            <w:tcMar>
              <w:top w:w="100" w:type="dxa"/>
              <w:start w:w="110" w:type="dxa"/>
              <w:bottom w:w="100" w:type="dxa"/>
              <w:end w:w="110" w:type="dxa"/>
            </w:tcMar>
            <w:vAlign w:val="top"/>
          </w:tcPr>
          <w:p>
            <w:r>
              <w:rPr>
                <w:b w:val="0"/>
                <w:i w:val="0"/>
                <w:color w:val="1F252B"/>
                <w:sz w:val="16"/>
              </w:rPr>
              <w:t>Before you move your practice, know what you are moving toward.</w:t>
            </w:r>
          </w:p>
        </w:tc>
        <w:tc>
          <w:tcPr>
            <w:tcW w:type="dxa" w:w="3744"/>
            <w:tcMar>
              <w:top w:w="100" w:type="dxa"/>
              <w:start w:w="110" w:type="dxa"/>
              <w:bottom w:w="100" w:type="dxa"/>
              <w:end w:w="110" w:type="dxa"/>
            </w:tcMar>
            <w:vAlign w:val="top"/>
          </w:tcPr>
          <w:p>
            <w:r>
              <w:rPr>
                <w:b w:val="0"/>
                <w:i w:val="0"/>
                <w:color w:val="1F252B"/>
                <w:sz w:val="16"/>
              </w:rPr>
              <w:t>Creates tension without assuming movement.</w:t>
            </w:r>
          </w:p>
        </w:tc>
      </w:tr>
      <w:tr>
        <w:tc>
          <w:tcPr>
            <w:tcW w:type="dxa" w:w="1656"/>
            <w:tcMar>
              <w:top w:w="100" w:type="dxa"/>
              <w:start w:w="110" w:type="dxa"/>
              <w:bottom w:w="100" w:type="dxa"/>
              <w:end w:w="110" w:type="dxa"/>
            </w:tcMar>
            <w:vAlign w:val="top"/>
            <w:shd w:fill="F5F7FA"/>
          </w:tcPr>
          <w:p>
            <w:r>
              <w:rPr>
                <w:b w:val="0"/>
                <w:i w:val="0"/>
                <w:color w:val="1F252B"/>
                <w:sz w:val="16"/>
              </w:rPr>
              <w:t>Core promise</w:t>
            </w:r>
          </w:p>
        </w:tc>
        <w:tc>
          <w:tcPr>
            <w:tcW w:type="dxa" w:w="4248"/>
            <w:tcMar>
              <w:top w:w="100" w:type="dxa"/>
              <w:start w:w="110" w:type="dxa"/>
              <w:bottom w:w="100" w:type="dxa"/>
              <w:end w:w="110" w:type="dxa"/>
            </w:tcMar>
            <w:vAlign w:val="top"/>
            <w:shd w:fill="F5F7FA"/>
          </w:tcPr>
          <w:p>
            <w:r>
              <w:rPr>
                <w:b w:val="0"/>
                <w:i w:val="0"/>
                <w:color w:val="1F252B"/>
                <w:sz w:val="16"/>
              </w:rPr>
              <w:t>VYNE helps financial advisors determine whether the right path is to stay, strengthen, prepare or move.</w:t>
            </w:r>
          </w:p>
        </w:tc>
        <w:tc>
          <w:tcPr>
            <w:tcW w:type="dxa" w:w="3744"/>
            <w:tcMar>
              <w:top w:w="100" w:type="dxa"/>
              <w:start w:w="110" w:type="dxa"/>
              <w:bottom w:w="100" w:type="dxa"/>
              <w:end w:w="110" w:type="dxa"/>
            </w:tcMar>
            <w:vAlign w:val="top"/>
            <w:shd w:fill="F5F7FA"/>
          </w:tcPr>
          <w:p>
            <w:r>
              <w:rPr>
                <w:b w:val="0"/>
                <w:i w:val="0"/>
                <w:color w:val="1F252B"/>
                <w:sz w:val="16"/>
              </w:rPr>
              <w:t>Defines the actual decision.</w:t>
            </w:r>
          </w:p>
        </w:tc>
      </w:tr>
      <w:tr>
        <w:tc>
          <w:tcPr>
            <w:tcW w:type="dxa" w:w="1656"/>
            <w:tcMar>
              <w:top w:w="100" w:type="dxa"/>
              <w:start w:w="110" w:type="dxa"/>
              <w:bottom w:w="100" w:type="dxa"/>
              <w:end w:w="110" w:type="dxa"/>
            </w:tcMar>
            <w:vAlign w:val="top"/>
          </w:tcPr>
          <w:p>
            <w:r>
              <w:rPr>
                <w:b w:val="0"/>
                <w:i w:val="0"/>
                <w:color w:val="1F252B"/>
                <w:sz w:val="16"/>
              </w:rPr>
              <w:t>Method</w:t>
            </w:r>
          </w:p>
        </w:tc>
        <w:tc>
          <w:tcPr>
            <w:tcW w:type="dxa" w:w="4248"/>
            <w:tcMar>
              <w:top w:w="100" w:type="dxa"/>
              <w:start w:w="110" w:type="dxa"/>
              <w:bottom w:w="100" w:type="dxa"/>
              <w:end w:w="110" w:type="dxa"/>
            </w:tcMar>
            <w:vAlign w:val="top"/>
          </w:tcPr>
          <w:p>
            <w:r>
              <w:rPr>
                <w:b w:val="0"/>
                <w:i w:val="0"/>
                <w:color w:val="1F252B"/>
                <w:sz w:val="16"/>
              </w:rPr>
              <w:t>Vision. Your Objectives. Navigate. Enterprise Economics.</w:t>
            </w:r>
          </w:p>
        </w:tc>
        <w:tc>
          <w:tcPr>
            <w:tcW w:type="dxa" w:w="3744"/>
            <w:tcMar>
              <w:top w:w="100" w:type="dxa"/>
              <w:start w:w="110" w:type="dxa"/>
              <w:bottom w:w="100" w:type="dxa"/>
              <w:end w:w="110" w:type="dxa"/>
            </w:tcMar>
            <w:vAlign w:val="top"/>
          </w:tcPr>
          <w:p>
            <w:r>
              <w:rPr>
                <w:b w:val="0"/>
                <w:i w:val="0"/>
                <w:color w:val="1F252B"/>
                <w:sz w:val="16"/>
              </w:rPr>
              <w:t>Gives the decision a repeatable structure.</w:t>
            </w:r>
          </w:p>
        </w:tc>
      </w:tr>
      <w:tr>
        <w:tc>
          <w:tcPr>
            <w:tcW w:type="dxa" w:w="1656"/>
            <w:tcMar>
              <w:top w:w="100" w:type="dxa"/>
              <w:start w:w="110" w:type="dxa"/>
              <w:bottom w:w="100" w:type="dxa"/>
              <w:end w:w="110" w:type="dxa"/>
            </w:tcMar>
            <w:vAlign w:val="top"/>
            <w:shd w:fill="F5F7FA"/>
          </w:tcPr>
          <w:p>
            <w:r>
              <w:rPr>
                <w:b w:val="0"/>
                <w:i w:val="0"/>
                <w:color w:val="1F252B"/>
                <w:sz w:val="16"/>
              </w:rPr>
              <w:t>Process line</w:t>
            </w:r>
          </w:p>
        </w:tc>
        <w:tc>
          <w:tcPr>
            <w:tcW w:type="dxa" w:w="4248"/>
            <w:tcMar>
              <w:top w:w="100" w:type="dxa"/>
              <w:start w:w="110" w:type="dxa"/>
              <w:bottom w:w="100" w:type="dxa"/>
              <w:end w:w="110" w:type="dxa"/>
            </w:tcMar>
            <w:vAlign w:val="top"/>
            <w:shd w:fill="F5F7FA"/>
          </w:tcPr>
          <w:p>
            <w:r>
              <w:rPr>
                <w:b w:val="0"/>
                <w:i w:val="0"/>
                <w:color w:val="1F252B"/>
                <w:sz w:val="16"/>
              </w:rPr>
              <w:t>Research privately. Decide confidently.</w:t>
            </w:r>
          </w:p>
        </w:tc>
        <w:tc>
          <w:tcPr>
            <w:tcW w:type="dxa" w:w="3744"/>
            <w:tcMar>
              <w:top w:w="100" w:type="dxa"/>
              <w:start w:w="110" w:type="dxa"/>
              <w:bottom w:w="100" w:type="dxa"/>
              <w:end w:w="110" w:type="dxa"/>
            </w:tcMar>
            <w:vAlign w:val="top"/>
            <w:shd w:fill="F5F7FA"/>
          </w:tcPr>
          <w:p>
            <w:r>
              <w:rPr>
                <w:b w:val="0"/>
                <w:i w:val="0"/>
                <w:color w:val="1F252B"/>
                <w:sz w:val="16"/>
              </w:rPr>
              <w:t>Supports advisor psychology and inbound behavior.</w:t>
            </w:r>
          </w:p>
        </w:tc>
      </w:tr>
      <w:tr>
        <w:tc>
          <w:tcPr>
            <w:tcW w:type="dxa" w:w="1656"/>
            <w:tcMar>
              <w:top w:w="100" w:type="dxa"/>
              <w:start w:w="110" w:type="dxa"/>
              <w:bottom w:w="100" w:type="dxa"/>
              <w:end w:w="110" w:type="dxa"/>
            </w:tcMar>
            <w:vAlign w:val="top"/>
          </w:tcPr>
          <w:p>
            <w:r>
              <w:rPr>
                <w:b w:val="0"/>
                <w:i w:val="0"/>
                <w:color w:val="1F252B"/>
                <w:sz w:val="16"/>
              </w:rPr>
              <w:t>Execution line</w:t>
            </w:r>
          </w:p>
        </w:tc>
        <w:tc>
          <w:tcPr>
            <w:tcW w:type="dxa" w:w="4248"/>
            <w:tcMar>
              <w:top w:w="100" w:type="dxa"/>
              <w:start w:w="110" w:type="dxa"/>
              <w:bottom w:w="100" w:type="dxa"/>
              <w:end w:w="110" w:type="dxa"/>
            </w:tcMar>
            <w:vAlign w:val="top"/>
          </w:tcPr>
          <w:p>
            <w:r>
              <w:rPr>
                <w:b w:val="0"/>
                <w:i w:val="0"/>
                <w:color w:val="1F252B"/>
                <w:sz w:val="16"/>
              </w:rPr>
              <w:t>Navigate with intelligence. Execute with clarity. Elevate what comes next.</w:t>
            </w:r>
          </w:p>
        </w:tc>
        <w:tc>
          <w:tcPr>
            <w:tcW w:type="dxa" w:w="3744"/>
            <w:tcMar>
              <w:top w:w="100" w:type="dxa"/>
              <w:start w:w="110" w:type="dxa"/>
              <w:bottom w:w="100" w:type="dxa"/>
              <w:end w:w="110" w:type="dxa"/>
            </w:tcMar>
            <w:vAlign w:val="top"/>
          </w:tcPr>
          <w:p>
            <w:r>
              <w:rPr>
                <w:b w:val="0"/>
                <w:i w:val="0"/>
                <w:color w:val="1F252B"/>
                <w:sz w:val="16"/>
              </w:rPr>
              <w:t>Connects analysis to action and outcome.</w:t>
            </w:r>
          </w:p>
        </w:tc>
      </w:tr>
      <w:tr>
        <w:tc>
          <w:tcPr>
            <w:tcW w:type="dxa" w:w="1656"/>
            <w:tcMar>
              <w:top w:w="100" w:type="dxa"/>
              <w:start w:w="110" w:type="dxa"/>
              <w:bottom w:w="100" w:type="dxa"/>
              <w:end w:w="110" w:type="dxa"/>
            </w:tcMar>
            <w:vAlign w:val="top"/>
            <w:shd w:fill="F5F7FA"/>
          </w:tcPr>
          <w:p>
            <w:r>
              <w:rPr>
                <w:b w:val="0"/>
                <w:i w:val="0"/>
                <w:color w:val="1F252B"/>
                <w:sz w:val="16"/>
              </w:rPr>
              <w:t>Trust line</w:t>
            </w:r>
          </w:p>
        </w:tc>
        <w:tc>
          <w:tcPr>
            <w:tcW w:type="dxa" w:w="4248"/>
            <w:tcMar>
              <w:top w:w="100" w:type="dxa"/>
              <w:start w:w="110" w:type="dxa"/>
              <w:bottom w:w="100" w:type="dxa"/>
              <w:end w:w="110" w:type="dxa"/>
            </w:tcMar>
            <w:vAlign w:val="top"/>
            <w:shd w:fill="F5F7FA"/>
          </w:tcPr>
          <w:p>
            <w:r>
              <w:rPr>
                <w:b w:val="0"/>
                <w:i w:val="0"/>
                <w:color w:val="1F252B"/>
                <w:sz w:val="16"/>
              </w:rPr>
              <w:t>The right answer may be to move. It may be to stay. Our role is to help you know why.</w:t>
            </w:r>
          </w:p>
        </w:tc>
        <w:tc>
          <w:tcPr>
            <w:tcW w:type="dxa" w:w="3744"/>
            <w:tcMar>
              <w:top w:w="100" w:type="dxa"/>
              <w:start w:w="110" w:type="dxa"/>
              <w:bottom w:w="100" w:type="dxa"/>
              <w:end w:w="110" w:type="dxa"/>
            </w:tcMar>
            <w:vAlign w:val="top"/>
            <w:shd w:fill="F5F7FA"/>
          </w:tcPr>
          <w:p>
            <w:r>
              <w:rPr>
                <w:b w:val="0"/>
                <w:i w:val="0"/>
                <w:color w:val="1F252B"/>
                <w:sz w:val="16"/>
              </w:rPr>
              <w:t>Signals objectivity.</w:t>
            </w:r>
          </w:p>
        </w:tc>
      </w:tr>
      <w:tr>
        <w:tc>
          <w:tcPr>
            <w:tcW w:type="dxa" w:w="1656"/>
            <w:tcMar>
              <w:top w:w="100" w:type="dxa"/>
              <w:start w:w="110" w:type="dxa"/>
              <w:bottom w:w="100" w:type="dxa"/>
              <w:end w:w="110" w:type="dxa"/>
            </w:tcMar>
            <w:vAlign w:val="top"/>
          </w:tcPr>
          <w:p>
            <w:r>
              <w:rPr>
                <w:b w:val="0"/>
                <w:i w:val="0"/>
                <w:color w:val="1F252B"/>
                <w:sz w:val="16"/>
              </w:rPr>
              <w:t>Economics line</w:t>
            </w:r>
          </w:p>
        </w:tc>
        <w:tc>
          <w:tcPr>
            <w:tcW w:type="dxa" w:w="4248"/>
            <w:tcMar>
              <w:top w:w="100" w:type="dxa"/>
              <w:start w:w="110" w:type="dxa"/>
              <w:bottom w:w="100" w:type="dxa"/>
              <w:end w:w="110" w:type="dxa"/>
            </w:tcMar>
            <w:vAlign w:val="top"/>
          </w:tcPr>
          <w:p>
            <w:r>
              <w:rPr>
                <w:b w:val="0"/>
                <w:i w:val="0"/>
                <w:color w:val="1F252B"/>
                <w:sz w:val="16"/>
              </w:rPr>
              <w:t>A recruiting package is temporary. The future of your practice is not.</w:t>
            </w:r>
          </w:p>
        </w:tc>
        <w:tc>
          <w:tcPr>
            <w:tcW w:type="dxa" w:w="3744"/>
            <w:tcMar>
              <w:top w:w="100" w:type="dxa"/>
              <w:start w:w="110" w:type="dxa"/>
              <w:bottom w:w="100" w:type="dxa"/>
              <w:end w:w="110" w:type="dxa"/>
            </w:tcMar>
            <w:vAlign w:val="top"/>
          </w:tcPr>
          <w:p>
            <w:r>
              <w:rPr>
                <w:b w:val="0"/>
                <w:i w:val="0"/>
                <w:color w:val="1F252B"/>
                <w:sz w:val="16"/>
              </w:rPr>
              <w:t>Positions Enterprise Economics.</w:t>
            </w:r>
          </w:p>
        </w:tc>
      </w:tr>
      <w:tr>
        <w:tc>
          <w:tcPr>
            <w:tcW w:type="dxa" w:w="1656"/>
            <w:tcMar>
              <w:top w:w="100" w:type="dxa"/>
              <w:start w:w="110" w:type="dxa"/>
              <w:bottom w:w="100" w:type="dxa"/>
              <w:end w:w="110" w:type="dxa"/>
            </w:tcMar>
            <w:vAlign w:val="top"/>
            <w:shd w:fill="F5F7FA"/>
          </w:tcPr>
          <w:p>
            <w:r>
              <w:rPr>
                <w:b w:val="0"/>
                <w:i w:val="0"/>
                <w:color w:val="1F252B"/>
                <w:sz w:val="16"/>
              </w:rPr>
              <w:t>Primary CTA</w:t>
            </w:r>
          </w:p>
        </w:tc>
        <w:tc>
          <w:tcPr>
            <w:tcW w:type="dxa" w:w="4248"/>
            <w:tcMar>
              <w:top w:w="100" w:type="dxa"/>
              <w:start w:w="110" w:type="dxa"/>
              <w:bottom w:w="100" w:type="dxa"/>
              <w:end w:w="110" w:type="dxa"/>
            </w:tcMar>
            <w:vAlign w:val="top"/>
            <w:shd w:fill="F5F7FA"/>
          </w:tcPr>
          <w:p>
            <w:r>
              <w:rPr>
                <w:b w:val="0"/>
                <w:i w:val="0"/>
                <w:color w:val="1F252B"/>
                <w:sz w:val="16"/>
              </w:rPr>
              <w:t>Start a confidential conversation.</w:t>
            </w:r>
          </w:p>
        </w:tc>
        <w:tc>
          <w:tcPr>
            <w:tcW w:type="dxa" w:w="3744"/>
            <w:tcMar>
              <w:top w:w="100" w:type="dxa"/>
              <w:start w:w="110" w:type="dxa"/>
              <w:bottom w:w="100" w:type="dxa"/>
              <w:end w:w="110" w:type="dxa"/>
            </w:tcMar>
            <w:vAlign w:val="top"/>
            <w:shd w:fill="F5F7FA"/>
          </w:tcPr>
          <w:p>
            <w:r>
              <w:rPr>
                <w:b w:val="0"/>
                <w:i w:val="0"/>
                <w:color w:val="1F252B"/>
                <w:sz w:val="16"/>
              </w:rPr>
              <w:t>Low-pressure human entry point.</w:t>
            </w:r>
          </w:p>
        </w:tc>
      </w:tr>
    </w:tbl>
    <w:p>
      <w:pPr>
        <w:pStyle w:val="Heading2"/>
      </w:pPr>
      <w:r>
        <w:t>Recommended brand descriptor</w:t>
      </w:r>
    </w:p>
    <w:tbl>
      <w:tblPr>
        <w:tblW w:type="auto" w:w="0"/>
        <w:jc w:val="center"/>
        <w:tblLayout w:type="fixed"/>
        <w:tblLook w:firstColumn="1" w:firstRow="1" w:lastColumn="0" w:lastRow="0" w:noHBand="0" w:noVBand="1" w:val="04A0"/>
      </w:tblPr>
      <w:tblGrid>
        <w:gridCol w:w="10166"/>
      </w:tblGrid>
      <w:tr>
        <w:tc>
          <w:tcPr>
            <w:tcW w:type="dxa" w:w="10166"/>
            <w:shd w:fill="EAF0F6"/>
            <w:tcBorders>
              <w:top w:val="single" w:sz="8" w:color="12263F"/>
              <w:left w:val="single" w:sz="8" w:color="12263F"/>
              <w:bottom w:val="single" w:sz="8" w:color="12263F"/>
              <w:right w:val="single" w:sz="8" w:color="12263F"/>
              <w:insideH w:val="single" w:sz="8" w:color="12263F"/>
              <w:insideV w:val="single" w:sz="8" w:color="12263F"/>
            </w:tcBorders>
            <w:tcMar>
              <w:top w:w="140" w:type="dxa"/>
              <w:start w:w="170" w:type="dxa"/>
              <w:bottom w:w="140" w:type="dxa"/>
              <w:end w:w="170" w:type="dxa"/>
            </w:tcMar>
          </w:tcPr>
          <w:p>
            <w:r>
              <w:rPr>
                <w:b/>
                <w:i w:val="0"/>
                <w:color w:val="12263F"/>
                <w:sz w:val="20"/>
              </w:rPr>
              <w:t>VYNE Strategies</w:t>
            </w:r>
          </w:p>
          <w:p>
            <w:r>
              <w:rPr>
                <w:b w:val="0"/>
                <w:i w:val="0"/>
                <w:color w:val="1F252B"/>
                <w:sz w:val="19"/>
              </w:rPr>
              <w:t>Private intelligence and decision support for financial advisors evaluating what comes next.</w:t>
            </w:r>
          </w:p>
        </w:tc>
      </w:tr>
    </w:tbl>
    <w:p/>
    <w:p>
      <w:pPr>
        <w:pStyle w:val="BodyText"/>
      </w:pPr>
      <w:r>
        <w:t>The descriptor is intentionally narrower than “full-service consulting ecosystem.” VYNE may grow into a broader platform, but the launch copy should describe what the business can consistently deliver now.</w:t>
      </w:r>
    </w:p>
    <w:p>
      <w:pPr>
        <w:pStyle w:val="Heading1"/>
      </w:pPr>
      <w:r>
        <w:t>03  Voice and Trust Rules</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12263F"/>
            <w:tcMar>
              <w:top w:w="100" w:type="dxa"/>
              <w:start w:w="110" w:type="dxa"/>
              <w:bottom w:w="100" w:type="dxa"/>
              <w:end w:w="110" w:type="dxa"/>
            </w:tcMar>
            <w:vAlign w:val="center"/>
          </w:tcPr>
          <w:p>
            <w:r>
              <w:rPr>
                <w:b/>
                <w:i w:val="0"/>
                <w:color w:val="FFFFFF"/>
                <w:sz w:val="16"/>
              </w:rPr>
              <w:t>Use</w:t>
            </w:r>
          </w:p>
        </w:tc>
        <w:tc>
          <w:tcPr>
            <w:tcW w:type="dxa" w:w="4968"/>
            <w:shd w:fill="12263F"/>
            <w:tcMar>
              <w:top w:w="100" w:type="dxa"/>
              <w:start w:w="110" w:type="dxa"/>
              <w:bottom w:w="100" w:type="dxa"/>
              <w:end w:w="110" w:type="dxa"/>
            </w:tcMar>
            <w:vAlign w:val="center"/>
          </w:tcPr>
          <w:p>
            <w:r>
              <w:rPr>
                <w:b/>
                <w:i w:val="0"/>
                <w:color w:val="FFFFFF"/>
                <w:sz w:val="16"/>
              </w:rPr>
              <w:t>Avoid</w:t>
            </w:r>
          </w:p>
        </w:tc>
      </w:tr>
      <w:tr>
        <w:tc>
          <w:tcPr>
            <w:tcW w:type="dxa" w:w="4680"/>
            <w:tcMar>
              <w:top w:w="100" w:type="dxa"/>
              <w:start w:w="110" w:type="dxa"/>
              <w:bottom w:w="100" w:type="dxa"/>
              <w:end w:w="110" w:type="dxa"/>
            </w:tcMar>
            <w:vAlign w:val="top"/>
          </w:tcPr>
          <w:p>
            <w:r>
              <w:rPr>
                <w:b w:val="0"/>
                <w:i w:val="0"/>
                <w:color w:val="1F252B"/>
                <w:sz w:val="16"/>
              </w:rPr>
              <w:t>Calm, precise, experienced and direct.</w:t>
            </w:r>
          </w:p>
        </w:tc>
        <w:tc>
          <w:tcPr>
            <w:tcW w:type="dxa" w:w="4968"/>
            <w:tcMar>
              <w:top w:w="100" w:type="dxa"/>
              <w:start w:w="110" w:type="dxa"/>
              <w:bottom w:w="100" w:type="dxa"/>
              <w:end w:w="110" w:type="dxa"/>
            </w:tcMar>
            <w:vAlign w:val="top"/>
          </w:tcPr>
          <w:p>
            <w:r>
              <w:rPr>
                <w:b w:val="0"/>
                <w:i w:val="0"/>
                <w:color w:val="1F252B"/>
                <w:sz w:val="16"/>
              </w:rPr>
              <w:t>Urgent, breathless or overly promotional language.</w:t>
            </w:r>
          </w:p>
        </w:tc>
      </w:tr>
      <w:tr>
        <w:tc>
          <w:tcPr>
            <w:tcW w:type="dxa" w:w="4680"/>
            <w:tcMar>
              <w:top w:w="100" w:type="dxa"/>
              <w:start w:w="110" w:type="dxa"/>
              <w:bottom w:w="100" w:type="dxa"/>
              <w:end w:w="110" w:type="dxa"/>
            </w:tcMar>
            <w:vAlign w:val="top"/>
            <w:shd w:fill="F5F7FA"/>
          </w:tcPr>
          <w:p>
            <w:r>
              <w:rPr>
                <w:b w:val="0"/>
                <w:i w:val="0"/>
                <w:color w:val="1F252B"/>
                <w:sz w:val="16"/>
              </w:rPr>
              <w:t>“May,” “can,” “depends,” and explicit assumptions where the answer is conditional.</w:t>
            </w:r>
          </w:p>
        </w:tc>
        <w:tc>
          <w:tcPr>
            <w:tcW w:type="dxa" w:w="4968"/>
            <w:tcMar>
              <w:top w:w="100" w:type="dxa"/>
              <w:start w:w="110" w:type="dxa"/>
              <w:bottom w:w="100" w:type="dxa"/>
              <w:end w:w="110" w:type="dxa"/>
            </w:tcMar>
            <w:vAlign w:val="top"/>
            <w:shd w:fill="F5F7FA"/>
          </w:tcPr>
          <w:p>
            <w:r>
              <w:rPr>
                <w:b w:val="0"/>
                <w:i w:val="0"/>
                <w:color w:val="1F252B"/>
                <w:sz w:val="16"/>
              </w:rPr>
              <w:t>False certainty and universal claims.</w:t>
            </w:r>
          </w:p>
        </w:tc>
      </w:tr>
      <w:tr>
        <w:tc>
          <w:tcPr>
            <w:tcW w:type="dxa" w:w="4680"/>
            <w:tcMar>
              <w:top w:w="100" w:type="dxa"/>
              <w:start w:w="110" w:type="dxa"/>
              <w:bottom w:w="100" w:type="dxa"/>
              <w:end w:w="110" w:type="dxa"/>
            </w:tcMar>
            <w:vAlign w:val="top"/>
          </w:tcPr>
          <w:p>
            <w:r>
              <w:rPr>
                <w:b w:val="0"/>
                <w:i w:val="0"/>
                <w:color w:val="1F252B"/>
                <w:sz w:val="16"/>
              </w:rPr>
              <w:t>Advisor, client, team and enterprise in the same analysis.</w:t>
            </w:r>
          </w:p>
        </w:tc>
        <w:tc>
          <w:tcPr>
            <w:tcW w:type="dxa" w:w="4968"/>
            <w:tcMar>
              <w:top w:w="100" w:type="dxa"/>
              <w:start w:w="110" w:type="dxa"/>
              <w:bottom w:w="100" w:type="dxa"/>
              <w:end w:w="110" w:type="dxa"/>
            </w:tcMar>
            <w:vAlign w:val="top"/>
          </w:tcPr>
          <w:p>
            <w:r>
              <w:rPr>
                <w:b w:val="0"/>
                <w:i w:val="0"/>
                <w:color w:val="1F252B"/>
                <w:sz w:val="16"/>
              </w:rPr>
              <w:t>Reducing the decision to compensation.</w:t>
            </w:r>
          </w:p>
        </w:tc>
      </w:tr>
      <w:tr>
        <w:tc>
          <w:tcPr>
            <w:tcW w:type="dxa" w:w="4680"/>
            <w:tcMar>
              <w:top w:w="100" w:type="dxa"/>
              <w:start w:w="110" w:type="dxa"/>
              <w:bottom w:w="100" w:type="dxa"/>
              <w:end w:w="110" w:type="dxa"/>
            </w:tcMar>
            <w:vAlign w:val="top"/>
            <w:shd w:fill="F5F7FA"/>
          </w:tcPr>
          <w:p>
            <w:r>
              <w:rPr>
                <w:b w:val="0"/>
                <w:i w:val="0"/>
                <w:color w:val="1F252B"/>
                <w:sz w:val="16"/>
              </w:rPr>
              <w:t>Clear questions and structured tradeoffs.</w:t>
            </w:r>
          </w:p>
        </w:tc>
        <w:tc>
          <w:tcPr>
            <w:tcW w:type="dxa" w:w="4968"/>
            <w:tcMar>
              <w:top w:w="100" w:type="dxa"/>
              <w:start w:w="110" w:type="dxa"/>
              <w:bottom w:w="100" w:type="dxa"/>
              <w:end w:w="110" w:type="dxa"/>
            </w:tcMar>
            <w:vAlign w:val="top"/>
            <w:shd w:fill="F5F7FA"/>
          </w:tcPr>
          <w:p>
            <w:r>
              <w:rPr>
                <w:b w:val="0"/>
                <w:i w:val="0"/>
                <w:color w:val="1F252B"/>
                <w:sz w:val="16"/>
              </w:rPr>
              <w:t>Overeducating or dumping every fact on one page.</w:t>
            </w:r>
          </w:p>
        </w:tc>
      </w:tr>
      <w:tr>
        <w:tc>
          <w:tcPr>
            <w:tcW w:type="dxa" w:w="4680"/>
            <w:tcMar>
              <w:top w:w="100" w:type="dxa"/>
              <w:start w:w="110" w:type="dxa"/>
              <w:bottom w:w="100" w:type="dxa"/>
              <w:end w:w="110" w:type="dxa"/>
            </w:tcMar>
            <w:vAlign w:val="top"/>
          </w:tcPr>
          <w:p>
            <w:r>
              <w:rPr>
                <w:b w:val="0"/>
                <w:i w:val="0"/>
                <w:color w:val="1F252B"/>
                <w:sz w:val="16"/>
              </w:rPr>
              <w:t>Verifiable facts, dated research and visible methodology.</w:t>
            </w:r>
          </w:p>
        </w:tc>
        <w:tc>
          <w:tcPr>
            <w:tcW w:type="dxa" w:w="4968"/>
            <w:tcMar>
              <w:top w:w="100" w:type="dxa"/>
              <w:start w:w="110" w:type="dxa"/>
              <w:bottom w:w="100" w:type="dxa"/>
              <w:end w:w="110" w:type="dxa"/>
            </w:tcMar>
            <w:vAlign w:val="top"/>
          </w:tcPr>
          <w:p>
            <w:r>
              <w:rPr>
                <w:b w:val="0"/>
                <w:i w:val="0"/>
                <w:color w:val="1F252B"/>
                <w:sz w:val="16"/>
              </w:rPr>
              <w:t>Anonymous authority or untraceable claims.</w:t>
            </w:r>
          </w:p>
        </w:tc>
      </w:tr>
      <w:tr>
        <w:tc>
          <w:tcPr>
            <w:tcW w:type="dxa" w:w="4680"/>
            <w:tcMar>
              <w:top w:w="100" w:type="dxa"/>
              <w:start w:w="110" w:type="dxa"/>
              <w:bottom w:w="100" w:type="dxa"/>
              <w:end w:w="110" w:type="dxa"/>
            </w:tcMar>
            <w:vAlign w:val="top"/>
            <w:shd w:fill="F5F7FA"/>
          </w:tcPr>
          <w:p>
            <w:r>
              <w:rPr>
                <w:b w:val="0"/>
                <w:i w:val="0"/>
                <w:color w:val="1F252B"/>
                <w:sz w:val="16"/>
              </w:rPr>
              <w:t>Specific next steps.</w:t>
            </w:r>
          </w:p>
        </w:tc>
        <w:tc>
          <w:tcPr>
            <w:tcW w:type="dxa" w:w="4968"/>
            <w:tcMar>
              <w:top w:w="100" w:type="dxa"/>
              <w:start w:w="110" w:type="dxa"/>
              <w:bottom w:w="100" w:type="dxa"/>
              <w:end w:w="110" w:type="dxa"/>
            </w:tcMar>
            <w:vAlign w:val="top"/>
            <w:shd w:fill="F5F7FA"/>
          </w:tcPr>
          <w:p>
            <w:r>
              <w:rPr>
                <w:b w:val="0"/>
                <w:i w:val="0"/>
                <w:color w:val="1F252B"/>
                <w:sz w:val="16"/>
              </w:rPr>
              <w:t>“Learn more” as the only CTA.</w:t>
            </w:r>
          </w:p>
        </w:tc>
      </w:tr>
      <w:tr>
        <w:tc>
          <w:tcPr>
            <w:tcW w:type="dxa" w:w="4680"/>
            <w:tcMar>
              <w:top w:w="100" w:type="dxa"/>
              <w:start w:w="110" w:type="dxa"/>
              <w:bottom w:w="100" w:type="dxa"/>
              <w:end w:w="110" w:type="dxa"/>
            </w:tcMar>
            <w:vAlign w:val="top"/>
          </w:tcPr>
          <w:p>
            <w:r>
              <w:rPr>
                <w:b w:val="0"/>
                <w:i w:val="0"/>
                <w:color w:val="1F252B"/>
                <w:sz w:val="16"/>
              </w:rPr>
              <w:t>Private research and explicit permission.</w:t>
            </w:r>
          </w:p>
        </w:tc>
        <w:tc>
          <w:tcPr>
            <w:tcW w:type="dxa" w:w="4968"/>
            <w:tcMar>
              <w:top w:w="100" w:type="dxa"/>
              <w:start w:w="110" w:type="dxa"/>
              <w:bottom w:w="100" w:type="dxa"/>
              <w:end w:w="110" w:type="dxa"/>
            </w:tcMar>
            <w:vAlign w:val="top"/>
          </w:tcPr>
          <w:p>
            <w:r>
              <w:rPr>
                <w:b w:val="0"/>
                <w:i w:val="0"/>
                <w:color w:val="1F252B"/>
                <w:sz w:val="16"/>
              </w:rPr>
              <w:t>Implying VYNE will share advisor data automatically.</w:t>
            </w:r>
          </w:p>
        </w:tc>
      </w:tr>
    </w:tbl>
    <w:p>
      <w:pPr>
        <w:pStyle w:val="Heading2"/>
      </w:pPr>
      <w:r>
        <w:t>Language rules</w:t>
      </w:r>
    </w:p>
    <w:p>
      <w:pPr>
        <w:pStyle w:val="ListBullet"/>
      </w:pPr>
      <w:r>
        <w:t>Use “advisor” and “practice” more often than “candidate” and “placement.”</w:t>
      </w:r>
    </w:p>
    <w:p>
      <w:pPr>
        <w:pStyle w:val="ListBullet"/>
      </w:pPr>
      <w:r>
        <w:t>Use “firm introduction” or “advisor-authorized submission,” not “shopping the advisor.”</w:t>
      </w:r>
    </w:p>
    <w:p>
      <w:pPr>
        <w:pStyle w:val="ListBullet"/>
      </w:pPr>
      <w:r>
        <w:t>Use “review” and “analysis,” not “guarantee” or “certify.”</w:t>
      </w:r>
    </w:p>
    <w:p>
      <w:pPr>
        <w:pStyle w:val="ListBullet"/>
      </w:pPr>
      <w:r>
        <w:t>Use “directional” for assessments that do not contain complete advisor data.</w:t>
      </w:r>
    </w:p>
    <w:p>
      <w:pPr>
        <w:pStyle w:val="ListBullet"/>
      </w:pPr>
      <w:r>
        <w:t>Use “illustrative” for economics or sample firm profiles.</w:t>
      </w:r>
    </w:p>
    <w:p>
      <w:pPr>
        <w:pStyle w:val="ListBullet"/>
      </w:pPr>
      <w:r>
        <w:t>State clearly when VYNE prepares the advisor but does not negotiate on the advisor’s behalf.</w:t>
      </w:r>
    </w:p>
    <w:p>
      <w:pPr>
        <w:pStyle w:val="Heading1"/>
      </w:pPr>
      <w:r>
        <w:t>04  Global Navigation and Footer</w:t>
      </w:r>
    </w:p>
    <w:p>
      <w:pPr>
        <w:pStyle w:val="Heading2"/>
      </w:pPr>
      <w:r>
        <w:t>Recommended launch navigation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shd w:fill="12263F"/>
            <w:tcMar>
              <w:top w:w="100" w:type="dxa"/>
              <w:start w:w="110" w:type="dxa"/>
              <w:bottom w:w="100" w:type="dxa"/>
              <w:end w:w="110" w:type="dxa"/>
            </w:tcMar>
            <w:vAlign w:val="center"/>
          </w:tcPr>
          <w:p>
            <w:r>
              <w:rPr>
                <w:b/>
                <w:i w:val="0"/>
                <w:color w:val="FFFFFF"/>
                <w:sz w:val="16"/>
              </w:rPr>
              <w:t>Navigation item</w:t>
            </w:r>
          </w:p>
        </w:tc>
        <w:tc>
          <w:tcPr>
            <w:tcW w:type="dxa" w:w="2952"/>
            <w:shd w:fill="12263F"/>
            <w:tcMar>
              <w:top w:w="100" w:type="dxa"/>
              <w:start w:w="110" w:type="dxa"/>
              <w:bottom w:w="100" w:type="dxa"/>
              <w:end w:w="110" w:type="dxa"/>
            </w:tcMar>
            <w:vAlign w:val="center"/>
          </w:tcPr>
          <w:p>
            <w:r>
              <w:rPr>
                <w:b/>
                <w:i w:val="0"/>
                <w:color w:val="FFFFFF"/>
                <w:sz w:val="16"/>
              </w:rPr>
              <w:t>Destination</w:t>
            </w:r>
          </w:p>
        </w:tc>
        <w:tc>
          <w:tcPr>
            <w:tcW w:type="dxa" w:w="4752"/>
            <w:shd w:fill="12263F"/>
            <w:tcMar>
              <w:top w:w="100" w:type="dxa"/>
              <w:start w:w="110" w:type="dxa"/>
              <w:bottom w:w="100" w:type="dxa"/>
              <w:end w:w="110" w:type="dxa"/>
            </w:tcMar>
            <w:vAlign w:val="center"/>
          </w:tcPr>
          <w:p>
            <w:r>
              <w:rPr>
                <w:b/>
                <w:i w:val="0"/>
                <w:color w:val="FFFFFF"/>
                <w:sz w:val="16"/>
              </w:rPr>
              <w:t>Reason</w:t>
            </w:r>
          </w:p>
        </w:tc>
      </w:tr>
      <w:tr>
        <w:tc>
          <w:tcPr>
            <w:tcW w:type="dxa" w:w="1944"/>
            <w:tcMar>
              <w:top w:w="100" w:type="dxa"/>
              <w:start w:w="110" w:type="dxa"/>
              <w:bottom w:w="100" w:type="dxa"/>
              <w:end w:w="110" w:type="dxa"/>
            </w:tcMar>
            <w:vAlign w:val="top"/>
          </w:tcPr>
          <w:p>
            <w:r>
              <w:rPr>
                <w:b w:val="0"/>
                <w:i w:val="0"/>
                <w:color w:val="1F252B"/>
                <w:sz w:val="16"/>
              </w:rPr>
              <w:t>How VYNE Helps</w:t>
            </w:r>
          </w:p>
        </w:tc>
        <w:tc>
          <w:tcPr>
            <w:tcW w:type="dxa" w:w="2952"/>
            <w:tcMar>
              <w:top w:w="100" w:type="dxa"/>
              <w:start w:w="110" w:type="dxa"/>
              <w:bottom w:w="100" w:type="dxa"/>
              <w:end w:w="110" w:type="dxa"/>
            </w:tcMar>
            <w:vAlign w:val="top"/>
          </w:tcPr>
          <w:p>
            <w:r>
              <w:rPr>
                <w:b w:val="0"/>
                <w:i w:val="0"/>
                <w:color w:val="1F252B"/>
                <w:sz w:val="16"/>
              </w:rPr>
              <w:t>Framework and advisor journey</w:t>
            </w:r>
          </w:p>
        </w:tc>
        <w:tc>
          <w:tcPr>
            <w:tcW w:type="dxa" w:w="4752"/>
            <w:tcMar>
              <w:top w:w="100" w:type="dxa"/>
              <w:start w:w="110" w:type="dxa"/>
              <w:bottom w:w="100" w:type="dxa"/>
              <w:end w:w="110" w:type="dxa"/>
            </w:tcMar>
            <w:vAlign w:val="top"/>
          </w:tcPr>
          <w:p>
            <w:r>
              <w:rPr>
                <w:b w:val="0"/>
                <w:i w:val="0"/>
                <w:color w:val="1F252B"/>
                <w:sz w:val="16"/>
              </w:rPr>
              <w:t>Explains method before products.</w:t>
            </w:r>
          </w:p>
        </w:tc>
      </w:tr>
      <w:tr>
        <w:tc>
          <w:tcPr>
            <w:tcW w:type="dxa" w:w="1944"/>
            <w:tcMar>
              <w:top w:w="100" w:type="dxa"/>
              <w:start w:w="110" w:type="dxa"/>
              <w:bottom w:w="100" w:type="dxa"/>
              <w:end w:w="110" w:type="dxa"/>
            </w:tcMar>
            <w:vAlign w:val="top"/>
            <w:shd w:fill="F5F7FA"/>
          </w:tcPr>
          <w:p>
            <w:r>
              <w:rPr>
                <w:b w:val="0"/>
                <w:i w:val="0"/>
                <w:color w:val="1F252B"/>
                <w:sz w:val="16"/>
              </w:rPr>
              <w:t>Research</w:t>
            </w:r>
          </w:p>
        </w:tc>
        <w:tc>
          <w:tcPr>
            <w:tcW w:type="dxa" w:w="2952"/>
            <w:tcMar>
              <w:top w:w="100" w:type="dxa"/>
              <w:start w:w="110" w:type="dxa"/>
              <w:bottom w:w="100" w:type="dxa"/>
              <w:end w:w="110" w:type="dxa"/>
            </w:tcMar>
            <w:vAlign w:val="top"/>
            <w:shd w:fill="F5F7FA"/>
          </w:tcPr>
          <w:p>
            <w:r>
              <w:rPr>
                <w:b w:val="0"/>
                <w:i w:val="0"/>
                <w:color w:val="1F252B"/>
                <w:sz w:val="16"/>
              </w:rPr>
              <w:t>Insights, firm research and reports</w:t>
            </w:r>
          </w:p>
        </w:tc>
        <w:tc>
          <w:tcPr>
            <w:tcW w:type="dxa" w:w="4752"/>
            <w:tcMar>
              <w:top w:w="100" w:type="dxa"/>
              <w:start w:w="110" w:type="dxa"/>
              <w:bottom w:w="100" w:type="dxa"/>
              <w:end w:w="110" w:type="dxa"/>
            </w:tcMar>
            <w:vAlign w:val="top"/>
            <w:shd w:fill="F5F7FA"/>
          </w:tcPr>
          <w:p>
            <w:r>
              <w:rPr>
                <w:b w:val="0"/>
                <w:i w:val="0"/>
                <w:color w:val="1F252B"/>
                <w:sz w:val="16"/>
              </w:rPr>
              <w:t>Builds authority and private research behavior.</w:t>
            </w:r>
          </w:p>
        </w:tc>
      </w:tr>
      <w:tr>
        <w:tc>
          <w:tcPr>
            <w:tcW w:type="dxa" w:w="1944"/>
            <w:tcMar>
              <w:top w:w="100" w:type="dxa"/>
              <w:start w:w="110" w:type="dxa"/>
              <w:bottom w:w="100" w:type="dxa"/>
              <w:end w:w="110" w:type="dxa"/>
            </w:tcMar>
            <w:vAlign w:val="top"/>
          </w:tcPr>
          <w:p>
            <w:r>
              <w:rPr>
                <w:b w:val="0"/>
                <w:i w:val="0"/>
                <w:color w:val="1F252B"/>
                <w:sz w:val="16"/>
              </w:rPr>
              <w:t>Tools</w:t>
            </w:r>
          </w:p>
        </w:tc>
        <w:tc>
          <w:tcPr>
            <w:tcW w:type="dxa" w:w="2952"/>
            <w:tcMar>
              <w:top w:w="100" w:type="dxa"/>
              <w:start w:w="110" w:type="dxa"/>
              <w:bottom w:w="100" w:type="dxa"/>
              <w:end w:w="110" w:type="dxa"/>
            </w:tcMar>
            <w:vAlign w:val="top"/>
          </w:tcPr>
          <w:p>
            <w:r>
              <w:rPr>
                <w:b w:val="0"/>
                <w:i w:val="0"/>
                <w:color w:val="1F252B"/>
                <w:sz w:val="16"/>
              </w:rPr>
              <w:t>Eight Questions, offer review, compare firms</w:t>
            </w:r>
          </w:p>
        </w:tc>
        <w:tc>
          <w:tcPr>
            <w:tcW w:type="dxa" w:w="4752"/>
            <w:tcMar>
              <w:top w:w="100" w:type="dxa"/>
              <w:start w:w="110" w:type="dxa"/>
              <w:bottom w:w="100" w:type="dxa"/>
              <w:end w:w="110" w:type="dxa"/>
            </w:tcMar>
            <w:vAlign w:val="top"/>
          </w:tcPr>
          <w:p>
            <w:r>
              <w:rPr>
                <w:b w:val="0"/>
                <w:i w:val="0"/>
                <w:color w:val="1F252B"/>
                <w:sz w:val="16"/>
              </w:rPr>
              <w:t>Captures different levels of intent.</w:t>
            </w:r>
          </w:p>
        </w:tc>
      </w:tr>
      <w:tr>
        <w:tc>
          <w:tcPr>
            <w:tcW w:type="dxa" w:w="1944"/>
            <w:tcMar>
              <w:top w:w="100" w:type="dxa"/>
              <w:start w:w="110" w:type="dxa"/>
              <w:bottom w:w="100" w:type="dxa"/>
              <w:end w:w="110" w:type="dxa"/>
            </w:tcMar>
            <w:vAlign w:val="top"/>
            <w:shd w:fill="F5F7FA"/>
          </w:tcPr>
          <w:p>
            <w:r>
              <w:rPr>
                <w:b w:val="0"/>
                <w:i w:val="0"/>
                <w:color w:val="1F252B"/>
                <w:sz w:val="16"/>
              </w:rPr>
              <w:t>Succession</w:t>
            </w:r>
          </w:p>
        </w:tc>
        <w:tc>
          <w:tcPr>
            <w:tcW w:type="dxa" w:w="2952"/>
            <w:tcMar>
              <w:top w:w="100" w:type="dxa"/>
              <w:start w:w="110" w:type="dxa"/>
              <w:bottom w:w="100" w:type="dxa"/>
              <w:end w:w="110" w:type="dxa"/>
            </w:tcMar>
            <w:vAlign w:val="top"/>
            <w:shd w:fill="F5F7FA"/>
          </w:tcPr>
          <w:p>
            <w:r>
              <w:rPr>
                <w:b w:val="0"/>
                <w:i w:val="0"/>
                <w:color w:val="1F252B"/>
                <w:sz w:val="16"/>
              </w:rPr>
              <w:t>Continuity, buyer/seller and talent pathways</w:t>
            </w:r>
          </w:p>
        </w:tc>
        <w:tc>
          <w:tcPr>
            <w:tcW w:type="dxa" w:w="4752"/>
            <w:tcMar>
              <w:top w:w="100" w:type="dxa"/>
              <w:start w:w="110" w:type="dxa"/>
              <w:bottom w:w="100" w:type="dxa"/>
              <w:end w:w="110" w:type="dxa"/>
            </w:tcMar>
            <w:vAlign w:val="top"/>
            <w:shd w:fill="F5F7FA"/>
          </w:tcPr>
          <w:p>
            <w:r>
              <w:rPr>
                <w:b w:val="0"/>
                <w:i w:val="0"/>
                <w:color w:val="1F252B"/>
                <w:sz w:val="16"/>
              </w:rPr>
              <w:t>Signals longer-term strategic breadth without launching a public marketplace.</w:t>
            </w:r>
          </w:p>
        </w:tc>
      </w:tr>
      <w:tr>
        <w:tc>
          <w:tcPr>
            <w:tcW w:type="dxa" w:w="1944"/>
            <w:tcMar>
              <w:top w:w="100" w:type="dxa"/>
              <w:start w:w="110" w:type="dxa"/>
              <w:bottom w:w="100" w:type="dxa"/>
              <w:end w:w="110" w:type="dxa"/>
            </w:tcMar>
            <w:vAlign w:val="top"/>
          </w:tcPr>
          <w:p>
            <w:r>
              <w:rPr>
                <w:b w:val="0"/>
                <w:i w:val="0"/>
                <w:color w:val="1F252B"/>
                <w:sz w:val="16"/>
              </w:rPr>
              <w:t>About</w:t>
            </w:r>
          </w:p>
        </w:tc>
        <w:tc>
          <w:tcPr>
            <w:tcW w:type="dxa" w:w="2952"/>
            <w:tcMar>
              <w:top w:w="100" w:type="dxa"/>
              <w:start w:w="110" w:type="dxa"/>
              <w:bottom w:w="100" w:type="dxa"/>
              <w:end w:w="110" w:type="dxa"/>
            </w:tcMar>
            <w:vAlign w:val="top"/>
          </w:tcPr>
          <w:p>
            <w:r>
              <w:rPr>
                <w:b w:val="0"/>
                <w:i w:val="0"/>
                <w:color w:val="1F252B"/>
                <w:sz w:val="16"/>
              </w:rPr>
              <w:t>Trust architecture and methodology</w:t>
            </w:r>
          </w:p>
        </w:tc>
        <w:tc>
          <w:tcPr>
            <w:tcW w:type="dxa" w:w="4752"/>
            <w:tcMar>
              <w:top w:w="100" w:type="dxa"/>
              <w:start w:w="110" w:type="dxa"/>
              <w:bottom w:w="100" w:type="dxa"/>
              <w:end w:w="110" w:type="dxa"/>
            </w:tcMar>
            <w:vAlign w:val="top"/>
          </w:tcPr>
          <w:p>
            <w:r>
              <w:rPr>
                <w:b w:val="0"/>
                <w:i w:val="0"/>
                <w:color w:val="1F252B"/>
                <w:sz w:val="16"/>
              </w:rPr>
              <w:t>Provides accountability.</w:t>
            </w:r>
          </w:p>
        </w:tc>
      </w:tr>
      <w:tr>
        <w:tc>
          <w:tcPr>
            <w:tcW w:type="dxa" w:w="1944"/>
            <w:tcMar>
              <w:top w:w="100" w:type="dxa"/>
              <w:start w:w="110" w:type="dxa"/>
              <w:bottom w:w="100" w:type="dxa"/>
              <w:end w:w="110" w:type="dxa"/>
            </w:tcMar>
            <w:vAlign w:val="top"/>
            <w:shd w:fill="F5F7FA"/>
          </w:tcPr>
          <w:p>
            <w:r>
              <w:rPr>
                <w:b w:val="0"/>
                <w:i w:val="0"/>
                <w:color w:val="1F252B"/>
                <w:sz w:val="16"/>
              </w:rPr>
              <w:t>Start a Conversation</w:t>
            </w:r>
          </w:p>
        </w:tc>
        <w:tc>
          <w:tcPr>
            <w:tcW w:type="dxa" w:w="2952"/>
            <w:tcMar>
              <w:top w:w="100" w:type="dxa"/>
              <w:start w:w="110" w:type="dxa"/>
              <w:bottom w:w="100" w:type="dxa"/>
              <w:end w:w="110" w:type="dxa"/>
            </w:tcMar>
            <w:vAlign w:val="top"/>
            <w:shd w:fill="F5F7FA"/>
          </w:tcPr>
          <w:p>
            <w:r>
              <w:rPr>
                <w:b w:val="0"/>
                <w:i w:val="0"/>
                <w:color w:val="1F252B"/>
                <w:sz w:val="16"/>
              </w:rPr>
              <w:t>Confidential conversation form</w:t>
            </w:r>
          </w:p>
        </w:tc>
        <w:tc>
          <w:tcPr>
            <w:tcW w:type="dxa" w:w="4752"/>
            <w:tcMar>
              <w:top w:w="100" w:type="dxa"/>
              <w:start w:w="110" w:type="dxa"/>
              <w:bottom w:w="100" w:type="dxa"/>
              <w:end w:w="110" w:type="dxa"/>
            </w:tcMar>
            <w:vAlign w:val="top"/>
            <w:shd w:fill="F5F7FA"/>
          </w:tcPr>
          <w:p>
            <w:r>
              <w:rPr>
                <w:b w:val="0"/>
                <w:i w:val="0"/>
                <w:color w:val="1F252B"/>
                <w:sz w:val="16"/>
              </w:rPr>
              <w:t>Persistent primary CTA.</w:t>
            </w:r>
          </w:p>
        </w:tc>
      </w:tr>
    </w:tbl>
    <w:p>
      <w:pPr>
        <w:pStyle w:val="Heading2"/>
      </w:pPr>
      <w:r>
        <w:t>Footer copy</w:t>
      </w: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Brand statement</w:t>
            </w:r>
          </w:p>
        </w:tc>
        <w:tc>
          <w:tcPr>
            <w:tcW w:type="dxa" w:w="7776"/>
            <w:tcMar>
              <w:top w:w="120" w:type="dxa"/>
              <w:start w:w="150" w:type="dxa"/>
              <w:bottom w:w="120" w:type="dxa"/>
              <w:end w:w="150" w:type="dxa"/>
            </w:tcMar>
          </w:tcPr>
          <w:p>
            <w:r>
              <w:rPr>
                <w:b w:val="0"/>
                <w:i w:val="0"/>
                <w:color w:val="1F252B"/>
                <w:sz w:val="18"/>
              </w:rPr>
              <w:t>VYNE Strategies provides private intelligence, structured analysis and decision support for financial advisors evaluating their firms, business models, economics, succession and long-term enterprise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Permission statement</w:t>
            </w:r>
          </w:p>
        </w:tc>
        <w:tc>
          <w:tcPr>
            <w:tcW w:type="dxa" w:w="7776"/>
            <w:tcMar>
              <w:top w:w="120" w:type="dxa"/>
              <w:start w:w="150" w:type="dxa"/>
              <w:bottom w:w="120" w:type="dxa"/>
              <w:end w:w="150" w:type="dxa"/>
            </w:tcMar>
          </w:tcPr>
          <w:p>
            <w:r>
              <w:rPr>
                <w:b w:val="0"/>
                <w:i w:val="0"/>
                <w:color w:val="1F252B"/>
                <w:sz w:val="18"/>
              </w:rPr>
              <w:t>VYNE will not contact your firm or submit your identity to another firm without separate, explicit authorization.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Boundary statement</w:t>
            </w:r>
          </w:p>
        </w:tc>
        <w:tc>
          <w:tcPr>
            <w:tcW w:type="dxa" w:w="7776"/>
            <w:tcMar>
              <w:top w:w="120" w:type="dxa"/>
              <w:start w:w="150" w:type="dxa"/>
              <w:bottom w:w="120" w:type="dxa"/>
              <w:end w:w="150" w:type="dxa"/>
            </w:tcMar>
          </w:tcPr>
          <w:p>
            <w:r>
              <w:rPr>
                <w:b w:val="0"/>
                <w:i w:val="0"/>
                <w:color w:val="1F252B"/>
                <w:sz w:val="18"/>
              </w:rPr>
              <w:t>VYNE does not provide legal, tax or investment advice and does not guarantee portability, client retention, firm terms or economic outcomes.</w:t>
            </w:r>
          </w:p>
        </w:tc>
      </w:tr>
    </w:tbl>
    <w:p>
      <w:pPr>
        <w:spacing w:after="0"/>
      </w:pPr>
    </w:p>
    <w:p>
      <w:r>
        <w:br w:type="page"/>
      </w:r>
    </w:p>
    <w:p>
      <w:pPr>
        <w:pStyle w:val="Heading2"/>
      </w:pPr>
      <w:r>
        <w:t>05  Homepage</w:t>
      </w:r>
    </w:p>
    <w:p>
      <w:pPr>
        <w:pStyle w:val="BodyText"/>
      </w:pPr>
      <w:r>
        <w:t>The homepage must establish relevance in under ten seconds, demonstrate the VYNE decision logic and offer several private entry points without forcing the advisor into a firm conversation.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VYNE Strategies | Private Decision Support for Financial Advisors</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VYNE helps financial advisors determine whether to stay, strengthen, prepare or move through structured firm research, economics, portability and decision support.</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Eyebrow</w:t>
            </w:r>
          </w:p>
        </w:tc>
        <w:tc>
          <w:tcPr>
            <w:tcW w:type="dxa" w:w="7776"/>
            <w:tcMar>
              <w:top w:w="120" w:type="dxa"/>
              <w:start w:w="150" w:type="dxa"/>
              <w:bottom w:w="120" w:type="dxa"/>
              <w:end w:w="150" w:type="dxa"/>
            </w:tcMar>
          </w:tcPr>
          <w:p>
            <w:r>
              <w:rPr>
                <w:b w:val="0"/>
                <w:i w:val="0"/>
                <w:color w:val="1F252B"/>
                <w:sz w:val="18"/>
              </w:rPr>
              <w:t>PRIVATE INTELLIGENCE FOR FINANCIAL ADVISORS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Hero headline</w:t>
            </w:r>
          </w:p>
        </w:tc>
        <w:tc>
          <w:tcPr>
            <w:tcW w:type="dxa" w:w="7776"/>
            <w:tcMar>
              <w:top w:w="120" w:type="dxa"/>
              <w:start w:w="150" w:type="dxa"/>
              <w:bottom w:w="120" w:type="dxa"/>
              <w:end w:w="150" w:type="dxa"/>
            </w:tcMar>
          </w:tcPr>
          <w:p>
            <w:r>
              <w:rPr>
                <w:b w:val="0"/>
                <w:i w:val="0"/>
                <w:color w:val="1F252B"/>
                <w:sz w:val="18"/>
              </w:rPr>
              <w:t>Before you move your practice, know what you are moving toward.</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Hero body</w:t>
            </w:r>
          </w:p>
        </w:tc>
        <w:tc>
          <w:tcPr>
            <w:tcW w:type="dxa" w:w="7776"/>
            <w:tcMar>
              <w:top w:w="120" w:type="dxa"/>
              <w:start w:w="150" w:type="dxa"/>
              <w:bottom w:w="120" w:type="dxa"/>
              <w:end w:w="150" w:type="dxa"/>
            </w:tcMar>
          </w:tcPr>
          <w:p>
            <w:r>
              <w:rPr>
                <w:b w:val="0"/>
                <w:i w:val="0"/>
                <w:color w:val="1F252B"/>
                <w:sz w:val="18"/>
              </w:rPr>
              <w:t>VYNE helps financial advisors define what better must mean, evaluate whether the current firm can deliver it, navigate relevant alternatives and understand the complete economics of the decision.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Primary proof line</w:t>
            </w:r>
          </w:p>
        </w:tc>
        <w:tc>
          <w:tcPr>
            <w:tcW w:type="dxa" w:w="7776"/>
            <w:tcMar>
              <w:top w:w="120" w:type="dxa"/>
              <w:start w:w="150" w:type="dxa"/>
              <w:bottom w:w="120" w:type="dxa"/>
              <w:end w:w="150" w:type="dxa"/>
            </w:tcMar>
          </w:tcPr>
          <w:p>
            <w:r>
              <w:rPr>
                <w:b w:val="0"/>
                <w:i w:val="0"/>
                <w:color w:val="1F252B"/>
                <w:sz w:val="18"/>
              </w:rPr>
              <w:t>The right answer may be to move. It may be to stay. Our role is to help you know why.</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Four-lens intro</w:t>
            </w:r>
          </w:p>
        </w:tc>
        <w:tc>
          <w:tcPr>
            <w:tcW w:type="dxa" w:w="7776"/>
            <w:tcMar>
              <w:top w:w="120" w:type="dxa"/>
              <w:start w:w="150" w:type="dxa"/>
              <w:bottom w:w="120" w:type="dxa"/>
              <w:end w:w="150" w:type="dxa"/>
            </w:tcMar>
          </w:tcPr>
          <w:p>
            <w:r>
              <w:rPr>
                <w:b w:val="0"/>
                <w:i w:val="0"/>
                <w:color w:val="1F252B"/>
                <w:sz w:val="18"/>
              </w:rPr>
              <w:t>A disciplined decision begins with four questions: What are you trying to build? What must the right outcome accomplish? Which paths deserve consideration? What will you earn, risk, own and ultimately create?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Private research section</w:t>
            </w:r>
          </w:p>
        </w:tc>
        <w:tc>
          <w:tcPr>
            <w:tcW w:type="dxa" w:w="7776"/>
            <w:tcMar>
              <w:top w:w="120" w:type="dxa"/>
              <w:start w:w="150" w:type="dxa"/>
              <w:bottom w:w="120" w:type="dxa"/>
              <w:end w:w="150" w:type="dxa"/>
            </w:tcMar>
          </w:tcPr>
          <w:p>
            <w:r>
              <w:rPr>
                <w:b w:val="0"/>
                <w:i w:val="0"/>
                <w:color w:val="1F252B"/>
                <w:sz w:val="18"/>
              </w:rPr>
              <w:t>Research firms and business models without inviting direct outreach. Begin with public intelligence, request a deeper review when you are ready, and authorize firm contact only when the strategy supports it.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Economics section</w:t>
            </w:r>
          </w:p>
        </w:tc>
        <w:tc>
          <w:tcPr>
            <w:tcW w:type="dxa" w:w="7776"/>
            <w:tcMar>
              <w:top w:w="120" w:type="dxa"/>
              <w:start w:w="150" w:type="dxa"/>
              <w:bottom w:w="120" w:type="dxa"/>
              <w:end w:w="150" w:type="dxa"/>
            </w:tcMar>
          </w:tcPr>
          <w:p>
            <w:r>
              <w:rPr>
                <w:b w:val="0"/>
                <w:i w:val="0"/>
                <w:color w:val="1F252B"/>
                <w:sz w:val="18"/>
              </w:rPr>
              <w:t>A headline recruiting package can be meaningful. It is not the whole answer. VYNE evaluates ongoing compensation, expenses, forgone value, hurdles, client economics, ownership, succession and long-term enterprise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Assessment section</w:t>
            </w:r>
          </w:p>
        </w:tc>
        <w:tc>
          <w:tcPr>
            <w:tcW w:type="dxa" w:w="7776"/>
            <w:tcMar>
              <w:top w:w="120" w:type="dxa"/>
              <w:start w:w="150" w:type="dxa"/>
              <w:bottom w:w="120" w:type="dxa"/>
              <w:end w:w="150" w:type="dxa"/>
            </w:tcMar>
          </w:tcPr>
          <w:p>
            <w:r>
              <w:rPr>
                <w:b w:val="0"/>
                <w:i w:val="0"/>
                <w:color w:val="1F252B"/>
                <w:sz w:val="18"/>
              </w:rPr>
              <w:t>Eight questions can clarify whether your most useful next step may be to stay and strengthen, prepare more deliberately, begin a structured exploration or enter active due diligence.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Newsletter section</w:t>
            </w:r>
          </w:p>
        </w:tc>
        <w:tc>
          <w:tcPr>
            <w:tcW w:type="dxa" w:w="7776"/>
            <w:tcMar>
              <w:top w:w="120" w:type="dxa"/>
              <w:start w:w="150" w:type="dxa"/>
              <w:bottom w:w="120" w:type="dxa"/>
              <w:end w:w="150" w:type="dxa"/>
            </w:tcMar>
          </w:tcPr>
          <w:p>
            <w:r>
              <w:rPr>
                <w:b w:val="0"/>
                <w:i w:val="0"/>
                <w:color w:val="1F252B"/>
                <w:sz w:val="18"/>
              </w:rPr>
              <w:t>The VYNE Advisor Intelligence Report brings together decision insights, firm and channel developments, enterprise economics and succession questions - without turning every issue into a recruiting pitch.</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Closing headline</w:t>
            </w:r>
          </w:p>
        </w:tc>
        <w:tc>
          <w:tcPr>
            <w:tcW w:type="dxa" w:w="7776"/>
            <w:tcMar>
              <w:top w:w="120" w:type="dxa"/>
              <w:start w:w="150" w:type="dxa"/>
              <w:bottom w:w="120" w:type="dxa"/>
              <w:end w:w="150" w:type="dxa"/>
            </w:tcMar>
          </w:tcPr>
          <w:p>
            <w:r>
              <w:rPr>
                <w:b w:val="0"/>
                <w:i w:val="0"/>
                <w:color w:val="1F252B"/>
                <w:sz w:val="18"/>
              </w:rPr>
              <w:t>Your next firm decision should begin with your business - not someone else’s offer.</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Start a confidential conversation</w:t>
            </w:r>
          </w:p>
        </w:tc>
        <w:tc>
          <w:tcPr>
            <w:tcW w:type="dxa" w:w="5616"/>
            <w:tcMar>
              <w:top w:w="100" w:type="dxa"/>
              <w:start w:w="110" w:type="dxa"/>
              <w:bottom w:w="100" w:type="dxa"/>
              <w:end w:w="110" w:type="dxa"/>
            </w:tcMar>
            <w:vAlign w:val="top"/>
          </w:tcPr>
          <w:p>
            <w:r>
              <w:rPr>
                <w:b w:val="0"/>
                <w:i w:val="0"/>
                <w:color w:val="1F252B"/>
                <w:sz w:val="16"/>
              </w:rPr>
              <w:t>Human, private entry point</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Take the Eight Questions</w:t>
            </w:r>
          </w:p>
        </w:tc>
        <w:tc>
          <w:tcPr>
            <w:tcW w:type="dxa" w:w="5616"/>
            <w:tcMar>
              <w:top w:w="100" w:type="dxa"/>
              <w:start w:w="110" w:type="dxa"/>
              <w:bottom w:w="100" w:type="dxa"/>
              <w:end w:w="110" w:type="dxa"/>
            </w:tcMar>
            <w:vAlign w:val="top"/>
            <w:shd w:fill="F5F7FA"/>
          </w:tcPr>
          <w:p>
            <w:r>
              <w:rPr>
                <w:b w:val="0"/>
                <w:i w:val="0"/>
                <w:color w:val="1F252B"/>
                <w:sz w:val="16"/>
              </w:rPr>
              <w:t>Low-friction self-assessment</w:t>
            </w:r>
          </w:p>
        </w:tc>
      </w:tr>
      <w:tr>
        <w:tc>
          <w:tcPr>
            <w:tcW w:type="dxa" w:w="1152"/>
            <w:tcMar>
              <w:top w:w="100" w:type="dxa"/>
              <w:start w:w="110" w:type="dxa"/>
              <w:bottom w:w="100" w:type="dxa"/>
              <w:end w:w="110" w:type="dxa"/>
            </w:tcMar>
            <w:vAlign w:val="top"/>
          </w:tcPr>
          <w:p>
            <w:r>
              <w:rPr>
                <w:b w:val="0"/>
                <w:i w:val="0"/>
                <w:color w:val="1F252B"/>
                <w:sz w:val="16"/>
              </w:rPr>
              <w:t>Tertiary</w:t>
            </w:r>
          </w:p>
        </w:tc>
        <w:tc>
          <w:tcPr>
            <w:tcW w:type="dxa" w:w="2880"/>
            <w:tcMar>
              <w:top w:w="100" w:type="dxa"/>
              <w:start w:w="110" w:type="dxa"/>
              <w:bottom w:w="100" w:type="dxa"/>
              <w:end w:w="110" w:type="dxa"/>
            </w:tcMar>
            <w:vAlign w:val="top"/>
          </w:tcPr>
          <w:p>
            <w:r>
              <w:rPr>
                <w:b w:val="0"/>
                <w:i w:val="0"/>
                <w:color w:val="1F252B"/>
                <w:sz w:val="16"/>
              </w:rPr>
              <w:t>Research privately</w:t>
            </w:r>
          </w:p>
        </w:tc>
        <w:tc>
          <w:tcPr>
            <w:tcW w:type="dxa" w:w="5616"/>
            <w:tcMar>
              <w:top w:w="100" w:type="dxa"/>
              <w:start w:w="110" w:type="dxa"/>
              <w:bottom w:w="100" w:type="dxa"/>
              <w:end w:w="110" w:type="dxa"/>
            </w:tcMar>
            <w:vAlign w:val="top"/>
          </w:tcPr>
          <w:p>
            <w:r>
              <w:rPr>
                <w:b w:val="0"/>
                <w:i w:val="0"/>
                <w:color w:val="1F252B"/>
                <w:sz w:val="16"/>
              </w:rPr>
              <w:t>Authority and research pathway</w:t>
            </w:r>
          </w:p>
        </w:tc>
      </w:tr>
      <w:tr>
        <w:tc>
          <w:tcPr>
            <w:tcW w:type="dxa" w:w="1152"/>
            <w:tcMar>
              <w:top w:w="100" w:type="dxa"/>
              <w:start w:w="110" w:type="dxa"/>
              <w:bottom w:w="100" w:type="dxa"/>
              <w:end w:w="110" w:type="dxa"/>
            </w:tcMar>
            <w:vAlign w:val="top"/>
            <w:shd w:fill="F5F7FA"/>
          </w:tcPr>
          <w:p>
            <w:r>
              <w:rPr>
                <w:b w:val="0"/>
                <w:i w:val="0"/>
                <w:color w:val="1F252B"/>
                <w:sz w:val="16"/>
              </w:rPr>
              <w:t>Newsletter</w:t>
            </w:r>
          </w:p>
        </w:tc>
        <w:tc>
          <w:tcPr>
            <w:tcW w:type="dxa" w:w="2880"/>
            <w:tcMar>
              <w:top w:w="100" w:type="dxa"/>
              <w:start w:w="110" w:type="dxa"/>
              <w:bottom w:w="100" w:type="dxa"/>
              <w:end w:w="110" w:type="dxa"/>
            </w:tcMar>
            <w:vAlign w:val="top"/>
            <w:shd w:fill="F5F7FA"/>
          </w:tcPr>
          <w:p>
            <w:r>
              <w:rPr>
                <w:b w:val="0"/>
                <w:i w:val="0"/>
                <w:color w:val="1F252B"/>
                <w:sz w:val="16"/>
              </w:rPr>
              <w:t>Receive VYNE Advisor Intelligence</w:t>
            </w:r>
          </w:p>
        </w:tc>
        <w:tc>
          <w:tcPr>
            <w:tcW w:type="dxa" w:w="5616"/>
            <w:tcMar>
              <w:top w:w="100" w:type="dxa"/>
              <w:start w:w="110" w:type="dxa"/>
              <w:bottom w:w="100" w:type="dxa"/>
              <w:end w:w="110" w:type="dxa"/>
            </w:tcMar>
            <w:vAlign w:val="top"/>
            <w:shd w:fill="F5F7FA"/>
          </w:tcPr>
          <w:p>
            <w:r>
              <w:rPr>
                <w:b w:val="0"/>
                <w:i w:val="0"/>
                <w:color w:val="1F252B"/>
                <w:sz w:val="16"/>
              </w:rPr>
              <w:t>Long-term nurture</w:t>
            </w:r>
          </w:p>
        </w:tc>
      </w:tr>
    </w:tbl>
    <w:p>
      <w:pPr>
        <w:pStyle w:val="Heading3"/>
      </w:pPr>
      <w:r>
        <w:t>Advisor questions this page should answer</w:t>
      </w:r>
    </w:p>
    <w:p>
      <w:pPr>
        <w:pStyle w:val="ListBullet"/>
      </w:pPr>
      <w:r>
        <w:t>Should I change wealth management firms?</w:t>
      </w:r>
    </w:p>
    <w:p>
      <w:pPr>
        <w:pStyle w:val="ListBullet"/>
      </w:pPr>
      <w:r>
        <w:t>How should a financial advisor evaluate a recruiting offer?</w:t>
      </w:r>
    </w:p>
    <w:p>
      <w:pPr>
        <w:pStyle w:val="ListBullet"/>
      </w:pPr>
      <w:r>
        <w:t>How can an advisor determine whether staying is the best decision?</w:t>
      </w:r>
    </w:p>
    <w:tbl>
      <w:tblPr>
        <w:tblW w:type="auto" w:w="0"/>
        <w:jc w:val="center"/>
        <w:tblLayout w:type="fixed"/>
        <w:tblLook w:firstColumn="1" w:firstRow="1" w:lastColumn="0" w:lastRow="0" w:noHBand="0" w:noVBand="1" w:val="04A0"/>
      </w:tblPr>
      <w:tblGrid>
        <w:gridCol w:w="10166"/>
      </w:tblGrid>
      <w:tr>
        <w:tc>
          <w:tcPr>
            <w:tcW w:type="dxa" w:w="10166"/>
            <w:shd w:fill="F6F0E5"/>
            <w:tcBorders>
              <w:top w:val="single" w:sz="8" w:color="A98545"/>
              <w:left w:val="single" w:sz="8" w:color="A98545"/>
              <w:bottom w:val="single" w:sz="8" w:color="A98545"/>
              <w:right w:val="single" w:sz="8" w:color="A98545"/>
              <w:insideH w:val="single" w:sz="8" w:color="A98545"/>
              <w:insideV w:val="single" w:sz="8" w:color="A98545"/>
            </w:tcBorders>
            <w:tcMar>
              <w:top w:w="140" w:type="dxa"/>
              <w:start w:w="170" w:type="dxa"/>
              <w:bottom w:w="140" w:type="dxa"/>
              <w:end w:w="170" w:type="dxa"/>
            </w:tcMar>
          </w:tcPr>
          <w:p>
            <w:r>
              <w:rPr>
                <w:b/>
                <w:i w:val="0"/>
                <w:color w:val="A98545"/>
                <w:sz w:val="20"/>
              </w:rPr>
              <w:t>Neutral implementation note</w:t>
            </w:r>
          </w:p>
          <w:p>
            <w:r>
              <w:rPr>
                <w:b w:val="0"/>
                <w:i w:val="0"/>
                <w:color w:val="1F252B"/>
                <w:sz w:val="19"/>
              </w:rPr>
              <w:t>The homepage should not feature inflated placement counts, advisor assets or “industry-leading” claims until independently supportable evidence exists.</w:t>
            </w:r>
          </w:p>
        </w:tc>
      </w:tr>
    </w:tbl>
    <w:p/>
    <w:p>
      <w:r>
        <w:br w:type="page"/>
      </w:r>
    </w:p>
    <w:p>
      <w:pPr>
        <w:pStyle w:val="Heading2"/>
      </w:pPr>
      <w:r>
        <w:t>06  The VYNE Framework</w:t>
      </w:r>
    </w:p>
    <w:p>
      <w:pPr>
        <w:pStyle w:val="BodyText"/>
      </w:pPr>
      <w:r>
        <w:t>This page establishes VYNE as a repeatable decision methodology rather than a collection of recruiting services.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The VYNE Advisory Framework | Vision, Objectives, Navigation and Economics</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Explore the four-part VYNE framework for evaluating whether a financial advisor should stay, strengthen, prepare or move.</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Page headline</w:t>
            </w:r>
          </w:p>
        </w:tc>
        <w:tc>
          <w:tcPr>
            <w:tcW w:type="dxa" w:w="7776"/>
            <w:tcMar>
              <w:top w:w="120" w:type="dxa"/>
              <w:start w:w="150" w:type="dxa"/>
              <w:bottom w:w="120" w:type="dxa"/>
              <w:end w:w="150" w:type="dxa"/>
            </w:tcMar>
          </w:tcPr>
          <w:p>
            <w:r>
              <w:rPr>
                <w:b w:val="0"/>
                <w:i w:val="0"/>
                <w:color w:val="1F252B"/>
                <w:sz w:val="18"/>
              </w:rPr>
              <w:t>A better decision begins before the firm list.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Intro</w:t>
            </w:r>
          </w:p>
        </w:tc>
        <w:tc>
          <w:tcPr>
            <w:tcW w:type="dxa" w:w="7776"/>
            <w:tcMar>
              <w:top w:w="120" w:type="dxa"/>
              <w:start w:w="150" w:type="dxa"/>
              <w:bottom w:w="120" w:type="dxa"/>
              <w:end w:w="150" w:type="dxa"/>
            </w:tcMar>
          </w:tcPr>
          <w:p>
            <w:r>
              <w:rPr>
                <w:b w:val="0"/>
                <w:i w:val="0"/>
                <w:color w:val="1F252B"/>
                <w:sz w:val="18"/>
              </w:rPr>
              <w:t>The VYNE framework creates a written standard for the decision before firms, offers and personalities begin influencing it.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Vision</w:t>
            </w:r>
          </w:p>
        </w:tc>
        <w:tc>
          <w:tcPr>
            <w:tcW w:type="dxa" w:w="7776"/>
            <w:tcMar>
              <w:top w:w="120" w:type="dxa"/>
              <w:start w:w="150" w:type="dxa"/>
              <w:bottom w:w="120" w:type="dxa"/>
              <w:end w:w="150" w:type="dxa"/>
            </w:tcMar>
          </w:tcPr>
          <w:p>
            <w:r>
              <w:rPr>
                <w:b w:val="0"/>
                <w:i w:val="0"/>
                <w:color w:val="1F252B"/>
                <w:sz w:val="18"/>
              </w:rPr>
              <w:t>Define the future you are trying to build for your clients, team, family and business. Clarify what should change, what should remain intact and what the current trajectory produces if nothing changes.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Your Objectives</w:t>
            </w:r>
          </w:p>
        </w:tc>
        <w:tc>
          <w:tcPr>
            <w:tcW w:type="dxa" w:w="7776"/>
            <w:tcMar>
              <w:top w:w="120" w:type="dxa"/>
              <w:start w:w="150" w:type="dxa"/>
              <w:bottom w:w="120" w:type="dxa"/>
              <w:end w:w="150" w:type="dxa"/>
            </w:tcMar>
          </w:tcPr>
          <w:p>
            <w:r>
              <w:rPr>
                <w:b w:val="0"/>
                <w:i w:val="0"/>
                <w:color w:val="1F252B"/>
                <w:sz w:val="18"/>
              </w:rPr>
              <w:t>Translate the vision into measurable criteria. Identify what must improve, what cannot be compromised and what another option must prove before it can be considered better than staying.</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Navigate</w:t>
            </w:r>
          </w:p>
        </w:tc>
        <w:tc>
          <w:tcPr>
            <w:tcW w:type="dxa" w:w="7776"/>
            <w:tcMar>
              <w:top w:w="120" w:type="dxa"/>
              <w:start w:w="150" w:type="dxa"/>
              <w:bottom w:w="120" w:type="dxa"/>
              <w:end w:w="150" w:type="dxa"/>
            </w:tcMar>
          </w:tcPr>
          <w:p>
            <w:r>
              <w:rPr>
                <w:b w:val="0"/>
                <w:i w:val="0"/>
                <w:color w:val="1F252B"/>
                <w:sz w:val="18"/>
              </w:rPr>
              <w:t>Evaluate the current firm and relevant alternatives through the same standards. The outcome may be to stay and strengthen, prepare and revisit, continue due diligence or move.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Enterprise Economics</w:t>
            </w:r>
          </w:p>
        </w:tc>
        <w:tc>
          <w:tcPr>
            <w:tcW w:type="dxa" w:w="7776"/>
            <w:tcMar>
              <w:top w:w="120" w:type="dxa"/>
              <w:start w:w="150" w:type="dxa"/>
              <w:bottom w:w="120" w:type="dxa"/>
              <w:end w:w="150" w:type="dxa"/>
            </w:tcMar>
          </w:tcPr>
          <w:p>
            <w:r>
              <w:rPr>
                <w:b w:val="0"/>
                <w:i w:val="0"/>
                <w:color w:val="1F252B"/>
                <w:sz w:val="18"/>
              </w:rPr>
              <w:t>Understand the full impact on compensation, expenses, forgone value, risk, clients, ownership, succession and enterprise value - not only the headline transition payment.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Supporting tools</w:t>
            </w:r>
          </w:p>
        </w:tc>
        <w:tc>
          <w:tcPr>
            <w:tcW w:type="dxa" w:w="7776"/>
            <w:tcMar>
              <w:top w:w="120" w:type="dxa"/>
              <w:start w:w="150" w:type="dxa"/>
              <w:bottom w:w="120" w:type="dxa"/>
              <w:end w:w="150" w:type="dxa"/>
            </w:tcMar>
          </w:tcPr>
          <w:p>
            <w:r>
              <w:rPr>
                <w:b w:val="0"/>
                <w:i w:val="0"/>
                <w:color w:val="1F252B"/>
                <w:sz w:val="18"/>
              </w:rPr>
              <w:t>ROOT diagnoses the current practice. BRANCH structures firm due diligence. GROW supports execution, elevation and long-term growth.</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Closing line</w:t>
            </w:r>
          </w:p>
        </w:tc>
        <w:tc>
          <w:tcPr>
            <w:tcW w:type="dxa" w:w="7776"/>
            <w:tcMar>
              <w:top w:w="120" w:type="dxa"/>
              <w:start w:w="150" w:type="dxa"/>
              <w:bottom w:w="120" w:type="dxa"/>
              <w:end w:w="150" w:type="dxa"/>
            </w:tcMar>
          </w:tcPr>
          <w:p>
            <w:r>
              <w:rPr>
                <w:b w:val="0"/>
                <w:i w:val="0"/>
                <w:color w:val="1F252B"/>
                <w:sz w:val="18"/>
              </w:rPr>
              <w:t>The advisor owns the decision. VYNE brings the questions, intelligence and process needed to make it with conviction.</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See the advisor journey</w:t>
            </w:r>
          </w:p>
        </w:tc>
        <w:tc>
          <w:tcPr>
            <w:tcW w:type="dxa" w:w="5616"/>
            <w:tcMar>
              <w:top w:w="100" w:type="dxa"/>
              <w:start w:w="110" w:type="dxa"/>
              <w:bottom w:w="100" w:type="dxa"/>
              <w:end w:w="110" w:type="dxa"/>
            </w:tcMar>
            <w:vAlign w:val="top"/>
          </w:tcPr>
          <w:p>
            <w:r>
              <w:rPr>
                <w:b w:val="0"/>
                <w:i w:val="0"/>
                <w:color w:val="1F252B"/>
                <w:sz w:val="16"/>
              </w:rPr>
              <w:t>Move from framework to process</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Take the Eight Questions</w:t>
            </w:r>
          </w:p>
        </w:tc>
        <w:tc>
          <w:tcPr>
            <w:tcW w:type="dxa" w:w="5616"/>
            <w:tcMar>
              <w:top w:w="100" w:type="dxa"/>
              <w:start w:w="110" w:type="dxa"/>
              <w:bottom w:w="100" w:type="dxa"/>
              <w:end w:w="110" w:type="dxa"/>
            </w:tcMar>
            <w:vAlign w:val="top"/>
            <w:shd w:fill="F5F7FA"/>
          </w:tcPr>
          <w:p>
            <w:r>
              <w:rPr>
                <w:b w:val="0"/>
                <w:i w:val="0"/>
                <w:color w:val="1F252B"/>
                <w:sz w:val="16"/>
              </w:rPr>
              <w:t>Apply the framework personally</w:t>
            </w:r>
          </w:p>
        </w:tc>
      </w:tr>
      <w:tr>
        <w:tc>
          <w:tcPr>
            <w:tcW w:type="dxa" w:w="1152"/>
            <w:tcMar>
              <w:top w:w="100" w:type="dxa"/>
              <w:start w:w="110" w:type="dxa"/>
              <w:bottom w:w="100" w:type="dxa"/>
              <w:end w:w="110" w:type="dxa"/>
            </w:tcMar>
            <w:vAlign w:val="top"/>
          </w:tcPr>
          <w:p>
            <w:r>
              <w:rPr>
                <w:b w:val="0"/>
                <w:i w:val="0"/>
                <w:color w:val="1F252B"/>
                <w:sz w:val="16"/>
              </w:rPr>
              <w:t>Tertiary</w:t>
            </w:r>
          </w:p>
        </w:tc>
        <w:tc>
          <w:tcPr>
            <w:tcW w:type="dxa" w:w="2880"/>
            <w:tcMar>
              <w:top w:w="100" w:type="dxa"/>
              <w:start w:w="110" w:type="dxa"/>
              <w:bottom w:w="100" w:type="dxa"/>
              <w:end w:w="110" w:type="dxa"/>
            </w:tcMar>
            <w:vAlign w:val="top"/>
          </w:tcPr>
          <w:p>
            <w:r>
              <w:rPr>
                <w:b w:val="0"/>
                <w:i w:val="0"/>
                <w:color w:val="1F252B"/>
                <w:sz w:val="16"/>
              </w:rPr>
              <w:t>Start a confidential conversation</w:t>
            </w:r>
          </w:p>
        </w:tc>
        <w:tc>
          <w:tcPr>
            <w:tcW w:type="dxa" w:w="5616"/>
            <w:tcMar>
              <w:top w:w="100" w:type="dxa"/>
              <w:start w:w="110" w:type="dxa"/>
              <w:bottom w:w="100" w:type="dxa"/>
              <w:end w:w="110" w:type="dxa"/>
            </w:tcMar>
            <w:vAlign w:val="top"/>
          </w:tcPr>
          <w:p>
            <w:r>
              <w:rPr>
                <w:b w:val="0"/>
                <w:i w:val="0"/>
                <w:color w:val="1F252B"/>
                <w:sz w:val="16"/>
              </w:rPr>
              <w:t>Discuss a real situation</w:t>
            </w:r>
          </w:p>
        </w:tc>
      </w:tr>
    </w:tbl>
    <w:p>
      <w:pPr>
        <w:pStyle w:val="Heading3"/>
      </w:pPr>
      <w:r>
        <w:t>Advisor questions this page should answer</w:t>
      </w:r>
    </w:p>
    <w:p>
      <w:pPr>
        <w:pStyle w:val="ListBullet"/>
      </w:pPr>
      <w:r>
        <w:t>What should a financial advisor evaluate before changing firms?</w:t>
      </w:r>
    </w:p>
    <w:p>
      <w:pPr>
        <w:pStyle w:val="ListBullet"/>
      </w:pPr>
      <w:r>
        <w:t>How do advisors compare their current firm with another firm?</w:t>
      </w:r>
    </w:p>
    <w:p>
      <w:r>
        <w:br w:type="page"/>
      </w:r>
    </w:p>
    <w:p>
      <w:pPr>
        <w:pStyle w:val="Heading2"/>
      </w:pPr>
      <w:r>
        <w:t>07  Advisor Journey</w:t>
      </w:r>
    </w:p>
    <w:p>
      <w:pPr>
        <w:pStyle w:val="BodyText"/>
      </w:pPr>
      <w:r>
        <w:t>This page shows that the VYNE relationship is structured, paced and permissioned - not a sequence of improvised recruiter calls.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The VYNE Advisor Journey | From Private Research to a Confident Decision</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See how VYNE guides financial advisors from private research and discovery through firm diligence, economics, decision support and transition planning.</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Every conversation should build on the last.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Intro</w:t>
            </w:r>
          </w:p>
        </w:tc>
        <w:tc>
          <w:tcPr>
            <w:tcW w:type="dxa" w:w="7776"/>
            <w:tcMar>
              <w:top w:w="120" w:type="dxa"/>
              <w:start w:w="150" w:type="dxa"/>
              <w:bottom w:w="120" w:type="dxa"/>
              <w:end w:w="150" w:type="dxa"/>
            </w:tcMar>
          </w:tcPr>
          <w:p>
            <w:r>
              <w:rPr>
                <w:b w:val="0"/>
                <w:i w:val="0"/>
                <w:color w:val="1F252B"/>
                <w:sz w:val="18"/>
              </w:rPr>
              <w:t>VYNE gathers the right information in stages. Advisors are not asked for sensitive book data during the first conversation, and no firm receives an identity without permission.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1. Research privately</w:t>
            </w:r>
          </w:p>
        </w:tc>
        <w:tc>
          <w:tcPr>
            <w:tcW w:type="dxa" w:w="7776"/>
            <w:tcMar>
              <w:top w:w="120" w:type="dxa"/>
              <w:start w:w="150" w:type="dxa"/>
              <w:bottom w:w="120" w:type="dxa"/>
              <w:end w:w="150" w:type="dxa"/>
            </w:tcMar>
          </w:tcPr>
          <w:p>
            <w:r>
              <w:rPr>
                <w:b w:val="0"/>
                <w:i w:val="0"/>
                <w:color w:val="1F252B"/>
                <w:sz w:val="18"/>
              </w:rPr>
              <w:t>Read public intelligence, complete an assessment or subscribe to the monthly report without entering an active firm process.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2. Understand</w:t>
            </w:r>
          </w:p>
        </w:tc>
        <w:tc>
          <w:tcPr>
            <w:tcW w:type="dxa" w:w="7776"/>
            <w:tcMar>
              <w:top w:w="120" w:type="dxa"/>
              <w:start w:w="150" w:type="dxa"/>
              <w:bottom w:w="120" w:type="dxa"/>
              <w:end w:w="150" w:type="dxa"/>
            </w:tcMar>
          </w:tcPr>
          <w:p>
            <w:r>
              <w:rPr>
                <w:b w:val="0"/>
                <w:i w:val="0"/>
                <w:color w:val="1F252B"/>
                <w:sz w:val="18"/>
              </w:rPr>
              <w:t>Clarify why the question exists, what works today and whether VYNE can add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3. Define</w:t>
            </w:r>
          </w:p>
        </w:tc>
        <w:tc>
          <w:tcPr>
            <w:tcW w:type="dxa" w:w="7776"/>
            <w:tcMar>
              <w:top w:w="120" w:type="dxa"/>
              <w:start w:w="150" w:type="dxa"/>
              <w:bottom w:w="120" w:type="dxa"/>
              <w:end w:w="150" w:type="dxa"/>
            </w:tcMar>
          </w:tcPr>
          <w:p>
            <w:r>
              <w:rPr>
                <w:b w:val="0"/>
                <w:i w:val="0"/>
                <w:color w:val="1F252B"/>
                <w:sz w:val="18"/>
              </w:rPr>
              <w:t>Document the Vision and Your Objectives before selecting firms.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4. Assess</w:t>
            </w:r>
          </w:p>
        </w:tc>
        <w:tc>
          <w:tcPr>
            <w:tcW w:type="dxa" w:w="7776"/>
            <w:tcMar>
              <w:top w:w="120" w:type="dxa"/>
              <w:start w:w="150" w:type="dxa"/>
              <w:bottom w:w="120" w:type="dxa"/>
              <w:end w:w="150" w:type="dxa"/>
            </w:tcMar>
          </w:tcPr>
          <w:p>
            <w:r>
              <w:rPr>
                <w:b w:val="0"/>
                <w:i w:val="0"/>
                <w:color w:val="1F252B"/>
                <w:sz w:val="18"/>
              </w:rPr>
              <w:t>Evaluate current-firm options, readiness, timing and - when appropriate - de-identified portability factors.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5. Navigate</w:t>
            </w:r>
          </w:p>
        </w:tc>
        <w:tc>
          <w:tcPr>
            <w:tcW w:type="dxa" w:w="7776"/>
            <w:tcMar>
              <w:top w:w="120" w:type="dxa"/>
              <w:start w:w="150" w:type="dxa"/>
              <w:bottom w:w="120" w:type="dxa"/>
              <w:end w:w="150" w:type="dxa"/>
            </w:tcMar>
          </w:tcPr>
          <w:p>
            <w:r>
              <w:rPr>
                <w:b w:val="0"/>
                <w:i w:val="0"/>
                <w:color w:val="1F252B"/>
                <w:sz w:val="18"/>
              </w:rPr>
              <w:t>Map the relevant business models, present a small curated set and obtain permission before any introduction.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6. Evaluate</w:t>
            </w:r>
          </w:p>
        </w:tc>
        <w:tc>
          <w:tcPr>
            <w:tcW w:type="dxa" w:w="7776"/>
            <w:tcMar>
              <w:top w:w="120" w:type="dxa"/>
              <w:start w:w="150" w:type="dxa"/>
              <w:bottom w:w="120" w:type="dxa"/>
              <w:end w:w="150" w:type="dxa"/>
            </w:tcMar>
          </w:tcPr>
          <w:p>
            <w:r>
              <w:rPr>
                <w:b w:val="0"/>
                <w:i w:val="0"/>
                <w:color w:val="1F252B"/>
                <w:sz w:val="18"/>
              </w:rPr>
              <w:t>Prepare for firm meetings, structure due diligence, review offers and model Enterprise Economics.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7. Decide</w:t>
            </w:r>
          </w:p>
        </w:tc>
        <w:tc>
          <w:tcPr>
            <w:tcW w:type="dxa" w:w="7776"/>
            <w:tcMar>
              <w:top w:w="120" w:type="dxa"/>
              <w:start w:w="150" w:type="dxa"/>
              <w:bottom w:w="120" w:type="dxa"/>
              <w:end w:w="150" w:type="dxa"/>
            </w:tcMar>
          </w:tcPr>
          <w:p>
            <w:r>
              <w:rPr>
                <w:b w:val="0"/>
                <w:i w:val="0"/>
                <w:color w:val="1F252B"/>
                <w:sz w:val="18"/>
              </w:rPr>
              <w:t>Compare staying, preparing and moving through a written decision memorandum.</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8. Execute and elevate</w:t>
            </w:r>
          </w:p>
        </w:tc>
        <w:tc>
          <w:tcPr>
            <w:tcW w:type="dxa" w:w="7776"/>
            <w:tcMar>
              <w:top w:w="120" w:type="dxa"/>
              <w:start w:w="150" w:type="dxa"/>
              <w:bottom w:w="120" w:type="dxa"/>
              <w:end w:w="150" w:type="dxa"/>
            </w:tcMar>
          </w:tcPr>
          <w:p>
            <w:r>
              <w:rPr>
                <w:b w:val="0"/>
                <w:i w:val="0"/>
                <w:color w:val="1F252B"/>
                <w:sz w:val="18"/>
              </w:rPr>
              <w:t>Coordinate the plan, track commitments and review whether the selected path improves client, team, advisor and enterprise outcomes.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Boundary</w:t>
            </w:r>
          </w:p>
        </w:tc>
        <w:tc>
          <w:tcPr>
            <w:tcW w:type="dxa" w:w="7776"/>
            <w:tcMar>
              <w:top w:w="120" w:type="dxa"/>
              <w:start w:w="150" w:type="dxa"/>
              <w:bottom w:w="120" w:type="dxa"/>
              <w:end w:w="150" w:type="dxa"/>
            </w:tcMar>
          </w:tcPr>
          <w:p>
            <w:r>
              <w:rPr>
                <w:b w:val="0"/>
                <w:i w:val="0"/>
                <w:color w:val="1F252B"/>
                <w:sz w:val="18"/>
              </w:rPr>
              <w:t>VYNE supports the advisor’s review and preparation. The advisor negotiates directly with the firm, and qualified professionals address legal and tax matters.</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Start a confidential conversation</w:t>
            </w:r>
          </w:p>
        </w:tc>
        <w:tc>
          <w:tcPr>
            <w:tcW w:type="dxa" w:w="5616"/>
            <w:tcMar>
              <w:top w:w="100" w:type="dxa"/>
              <w:start w:w="110" w:type="dxa"/>
              <w:bottom w:w="100" w:type="dxa"/>
              <w:end w:w="110" w:type="dxa"/>
            </w:tcMar>
            <w:vAlign w:val="top"/>
          </w:tcPr>
          <w:p>
            <w:r>
              <w:rPr>
                <w:b w:val="0"/>
                <w:i w:val="0"/>
                <w:color w:val="1F252B"/>
                <w:sz w:val="16"/>
              </w:rPr>
              <w:t>Enter the journey</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See what VYNE asks</w:t>
            </w:r>
          </w:p>
        </w:tc>
        <w:tc>
          <w:tcPr>
            <w:tcW w:type="dxa" w:w="5616"/>
            <w:tcMar>
              <w:top w:w="100" w:type="dxa"/>
              <w:start w:w="110" w:type="dxa"/>
              <w:bottom w:w="100" w:type="dxa"/>
              <w:end w:w="110" w:type="dxa"/>
            </w:tcMar>
            <w:vAlign w:val="top"/>
            <w:shd w:fill="F5F7FA"/>
          </w:tcPr>
          <w:p>
            <w:r>
              <w:rPr>
                <w:b w:val="0"/>
                <w:i w:val="0"/>
                <w:color w:val="1F252B"/>
                <w:sz w:val="16"/>
              </w:rPr>
              <w:t>Open Eight Questions</w:t>
            </w:r>
          </w:p>
        </w:tc>
      </w:tr>
    </w:tbl>
    <w:p>
      <w:pPr>
        <w:pStyle w:val="Heading3"/>
      </w:pPr>
      <w:r>
        <w:t>Advisor questions this page should answer</w:t>
      </w:r>
    </w:p>
    <w:p>
      <w:pPr>
        <w:pStyle w:val="ListBullet"/>
      </w:pPr>
      <w:r>
        <w:t>What happens when a financial advisor works with an external recruiter?</w:t>
      </w:r>
    </w:p>
    <w:p>
      <w:pPr>
        <w:pStyle w:val="ListBullet"/>
      </w:pPr>
      <w:r>
        <w:t>How many meetings are involved in changing wealth management firms?</w:t>
      </w:r>
    </w:p>
    <w:p>
      <w:r>
        <w:br w:type="page"/>
      </w:r>
    </w:p>
    <w:p>
      <w:pPr>
        <w:pStyle w:val="Heading2"/>
      </w:pPr>
      <w:r>
        <w:t>08  Eight Questions</w:t>
      </w:r>
    </w:p>
    <w:p>
      <w:pPr>
        <w:pStyle w:val="BodyText"/>
      </w:pPr>
      <w:r>
        <w:t>This landing page converts low- and medium-intent visitors into reflection, subscriber relationships and confidential conversations without presenting the assessment as a move score.</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Eight Questions Financial Advisors Should Ask Before Changing Firms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Answer eight questions across Vision, Objectives, Navigation and Enterprise Economics to clarify your most useful next step.</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Eight questions. Four lenses. No assumption that you should move.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The assessment helps identify whether the most useful next step may be to stay and strengthen, clarify and prepare, begin a structured exploration or enter active due diligence.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Trust bullets</w:t>
            </w:r>
          </w:p>
        </w:tc>
        <w:tc>
          <w:tcPr>
            <w:tcW w:type="dxa" w:w="7776"/>
            <w:tcMar>
              <w:top w:w="120" w:type="dxa"/>
              <w:start w:w="150" w:type="dxa"/>
              <w:bottom w:w="120" w:type="dxa"/>
              <w:end w:w="150" w:type="dxa"/>
            </w:tcMar>
          </w:tcPr>
          <w:p>
            <w:r>
              <w:rPr>
                <w:b w:val="0"/>
                <w:i w:val="0"/>
                <w:color w:val="1F252B"/>
                <w:sz w:val="18"/>
              </w:rPr>
              <w:t>Three to four minutes. A basic result appears before contact information is requested. VYNE will not contact your firm or share your identity without separate permission.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Result limitation</w:t>
            </w:r>
          </w:p>
        </w:tc>
        <w:tc>
          <w:tcPr>
            <w:tcW w:type="dxa" w:w="7776"/>
            <w:tcMar>
              <w:top w:w="120" w:type="dxa"/>
              <w:start w:w="150" w:type="dxa"/>
              <w:bottom w:w="120" w:type="dxa"/>
              <w:end w:w="150" w:type="dxa"/>
            </w:tcMar>
          </w:tcPr>
          <w:p>
            <w:r>
              <w:rPr>
                <w:b w:val="0"/>
                <w:i w:val="0"/>
                <w:color w:val="1F252B"/>
                <w:sz w:val="18"/>
              </w:rPr>
              <w:t>The result is directional. It is not a portability estimate, firm recommendation, legal opinion, tax opinion or substitute for a complete economic analysis.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Full-report invitation</w:t>
            </w:r>
          </w:p>
        </w:tc>
        <w:tc>
          <w:tcPr>
            <w:tcW w:type="dxa" w:w="7776"/>
            <w:tcMar>
              <w:top w:w="120" w:type="dxa"/>
              <w:start w:w="150" w:type="dxa"/>
              <w:bottom w:w="120" w:type="dxa"/>
              <w:end w:w="150" w:type="dxa"/>
            </w:tcMar>
          </w:tcPr>
          <w:p>
            <w:r>
              <w:rPr>
                <w:b w:val="0"/>
                <w:i w:val="0"/>
                <w:color w:val="1F252B"/>
                <w:sz w:val="18"/>
              </w:rPr>
              <w:t>After viewing the result, advisors may request a fuller summary, subscribe to relevant research or request a confidential discussion.</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Begin the assessment</w:t>
            </w:r>
          </w:p>
        </w:tc>
        <w:tc>
          <w:tcPr>
            <w:tcW w:type="dxa" w:w="5616"/>
            <w:tcMar>
              <w:top w:w="100" w:type="dxa"/>
              <w:start w:w="110" w:type="dxa"/>
              <w:bottom w:w="100" w:type="dxa"/>
              <w:end w:w="110" w:type="dxa"/>
            </w:tcMar>
            <w:vAlign w:val="top"/>
          </w:tcPr>
          <w:p>
            <w:r>
              <w:rPr>
                <w:b w:val="0"/>
                <w:i w:val="0"/>
                <w:color w:val="1F252B"/>
                <w:sz w:val="16"/>
              </w:rPr>
              <w:t>Start interaction</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How the results work</w:t>
            </w:r>
          </w:p>
        </w:tc>
        <w:tc>
          <w:tcPr>
            <w:tcW w:type="dxa" w:w="5616"/>
            <w:tcMar>
              <w:top w:w="100" w:type="dxa"/>
              <w:start w:w="110" w:type="dxa"/>
              <w:bottom w:w="100" w:type="dxa"/>
              <w:end w:w="110" w:type="dxa"/>
            </w:tcMar>
            <w:vAlign w:val="top"/>
            <w:shd w:fill="F5F7FA"/>
          </w:tcPr>
          <w:p>
            <w:r>
              <w:rPr>
                <w:b w:val="0"/>
                <w:i w:val="0"/>
                <w:color w:val="1F252B"/>
                <w:sz w:val="16"/>
              </w:rPr>
              <w:t>Explain methodology</w:t>
            </w:r>
          </w:p>
        </w:tc>
      </w:tr>
    </w:tbl>
    <w:p>
      <w:pPr>
        <w:pStyle w:val="Heading3"/>
      </w:pPr>
      <w:r>
        <w:t>Advisor questions this page should answer</w:t>
      </w:r>
    </w:p>
    <w:p>
      <w:pPr>
        <w:pStyle w:val="ListBullet"/>
      </w:pPr>
      <w:r>
        <w:t>What questions should a financial advisor ask before changing firms?</w:t>
      </w:r>
    </w:p>
    <w:p>
      <w:pPr>
        <w:pStyle w:val="ListBullet"/>
      </w:pPr>
      <w:r>
        <w:t>How do I know whether I should stay at my current wealth management firm?</w:t>
      </w:r>
    </w:p>
    <w:p>
      <w:r>
        <w:br w:type="page"/>
      </w:r>
    </w:p>
    <w:p>
      <w:pPr>
        <w:pStyle w:val="Heading2"/>
      </w:pPr>
      <w:r>
        <w:t>09  Stay, Strengthen, Prepare or Move</w:t>
      </w:r>
    </w:p>
    <w:p>
      <w:pPr>
        <w:pStyle w:val="BodyText"/>
      </w:pPr>
      <w:r>
        <w:t>This is the core objectivity page. It should make remaining at the current firm a credible conclusion while also explaining the cost of unresolved structural gaps.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Should a Financial Advisor Stay or Change Firms?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Evaluate four possible paths: stay and strengthen, prepare and revisit, continue due diligence or move to a better-aligned firm or model.</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A firm change is one possible answer - not the starting assumption.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Stay and strengthen</w:t>
            </w:r>
          </w:p>
        </w:tc>
        <w:tc>
          <w:tcPr>
            <w:tcW w:type="dxa" w:w="7776"/>
            <w:tcMar>
              <w:top w:w="120" w:type="dxa"/>
              <w:start w:w="150" w:type="dxa"/>
              <w:bottom w:w="120" w:type="dxa"/>
              <w:end w:w="150" w:type="dxa"/>
            </w:tcMar>
          </w:tcPr>
          <w:p>
            <w:r>
              <w:rPr>
                <w:b w:val="0"/>
                <w:i w:val="0"/>
                <w:color w:val="1F252B"/>
                <w:sz w:val="18"/>
              </w:rPr>
              <w:t>The current firm remains the strongest risk-adjusted option, but specific improvements may be needed in staffing, leadership, team development, client segmentation, economics or succession.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Prepare and revisit</w:t>
            </w:r>
          </w:p>
        </w:tc>
        <w:tc>
          <w:tcPr>
            <w:tcW w:type="dxa" w:w="7776"/>
            <w:tcMar>
              <w:top w:w="120" w:type="dxa"/>
              <w:start w:w="150" w:type="dxa"/>
              <w:bottom w:w="120" w:type="dxa"/>
              <w:end w:w="150" w:type="dxa"/>
            </w:tcMar>
          </w:tcPr>
          <w:p>
            <w:r>
              <w:rPr>
                <w:b w:val="0"/>
                <w:i w:val="0"/>
                <w:color w:val="1F252B"/>
                <w:sz w:val="18"/>
              </w:rPr>
              <w:t>A future change may make sense, but timing, deferred compensation, portability, team readiness, family considerations or operating preparation should improve first.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Continue due diligence</w:t>
            </w:r>
          </w:p>
        </w:tc>
        <w:tc>
          <w:tcPr>
            <w:tcW w:type="dxa" w:w="7776"/>
            <w:tcMar>
              <w:top w:w="120" w:type="dxa"/>
              <w:start w:w="150" w:type="dxa"/>
              <w:bottom w:w="120" w:type="dxa"/>
              <w:end w:w="150" w:type="dxa"/>
            </w:tcMar>
          </w:tcPr>
          <w:p>
            <w:r>
              <w:rPr>
                <w:b w:val="0"/>
                <w:i w:val="0"/>
                <w:color w:val="1F252B"/>
                <w:sz w:val="18"/>
              </w:rPr>
              <w:t>The strategic gap may be real, but the advisor has not yet gathered enough evidence to select a model or destination.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Move</w:t>
            </w:r>
          </w:p>
        </w:tc>
        <w:tc>
          <w:tcPr>
            <w:tcW w:type="dxa" w:w="7776"/>
            <w:tcMar>
              <w:top w:w="120" w:type="dxa"/>
              <w:start w:w="150" w:type="dxa"/>
              <w:bottom w:w="120" w:type="dxa"/>
              <w:end w:w="150" w:type="dxa"/>
            </w:tcMar>
          </w:tcPr>
          <w:p>
            <w:r>
              <w:rPr>
                <w:b w:val="0"/>
                <w:i w:val="0"/>
                <w:color w:val="1F252B"/>
                <w:sz w:val="18"/>
              </w:rPr>
              <w:t>A specific alternative materially improves the written objectives after accounting for client disruption, team impact, economics, risk and execution.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Decision standard</w:t>
            </w:r>
          </w:p>
        </w:tc>
        <w:tc>
          <w:tcPr>
            <w:tcW w:type="dxa" w:w="7776"/>
            <w:tcMar>
              <w:top w:w="120" w:type="dxa"/>
              <w:start w:w="150" w:type="dxa"/>
              <w:bottom w:w="120" w:type="dxa"/>
              <w:end w:w="150" w:type="dxa"/>
            </w:tcMar>
          </w:tcPr>
          <w:p>
            <w:r>
              <w:rPr>
                <w:b w:val="0"/>
                <w:i w:val="0"/>
                <w:color w:val="1F252B"/>
                <w:sz w:val="18"/>
              </w:rPr>
              <w:t>No move should advance merely because the offer is attractive. The selected path should be materially stronger than the status quo in the factors that matter most.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Cost of inaction</w:t>
            </w:r>
          </w:p>
        </w:tc>
        <w:tc>
          <w:tcPr>
            <w:tcW w:type="dxa" w:w="7776"/>
            <w:tcMar>
              <w:top w:w="120" w:type="dxa"/>
              <w:start w:w="150" w:type="dxa"/>
              <w:bottom w:w="120" w:type="dxa"/>
              <w:end w:w="150" w:type="dxa"/>
            </w:tcMar>
          </w:tcPr>
          <w:p>
            <w:r>
              <w:rPr>
                <w:b w:val="0"/>
                <w:i w:val="0"/>
                <w:color w:val="1F252B"/>
                <w:sz w:val="18"/>
              </w:rPr>
              <w:t>Staying can be the right decision. Staying by default is different. VYNE helps quantify what unresolved limitations may cost in time, growth, ownership, succession and enterprise value.</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Assess my current position</w:t>
            </w:r>
          </w:p>
        </w:tc>
        <w:tc>
          <w:tcPr>
            <w:tcW w:type="dxa" w:w="5616"/>
            <w:tcMar>
              <w:top w:w="100" w:type="dxa"/>
              <w:start w:w="110" w:type="dxa"/>
              <w:bottom w:w="100" w:type="dxa"/>
              <w:end w:w="110" w:type="dxa"/>
            </w:tcMar>
            <w:vAlign w:val="top"/>
          </w:tcPr>
          <w:p>
            <w:r>
              <w:rPr>
                <w:b w:val="0"/>
                <w:i w:val="0"/>
                <w:color w:val="1F252B"/>
                <w:sz w:val="16"/>
              </w:rPr>
              <w:t>Eight Questions</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Discuss a stay-versus-move decision</w:t>
            </w:r>
          </w:p>
        </w:tc>
        <w:tc>
          <w:tcPr>
            <w:tcW w:type="dxa" w:w="5616"/>
            <w:tcMar>
              <w:top w:w="100" w:type="dxa"/>
              <w:start w:w="110" w:type="dxa"/>
              <w:bottom w:w="100" w:type="dxa"/>
              <w:end w:w="110" w:type="dxa"/>
            </w:tcMar>
            <w:vAlign w:val="top"/>
            <w:shd w:fill="F5F7FA"/>
          </w:tcPr>
          <w:p>
            <w:r>
              <w:rPr>
                <w:b w:val="0"/>
                <w:i w:val="0"/>
                <w:color w:val="1F252B"/>
                <w:sz w:val="16"/>
              </w:rPr>
              <w:t>Conversation</w:t>
            </w:r>
          </w:p>
        </w:tc>
      </w:tr>
    </w:tbl>
    <w:p>
      <w:pPr>
        <w:pStyle w:val="Heading3"/>
      </w:pPr>
      <w:r>
        <w:t>Advisor questions this page should answer</w:t>
      </w:r>
    </w:p>
    <w:p>
      <w:pPr>
        <w:pStyle w:val="ListBullet"/>
      </w:pPr>
      <w:r>
        <w:t>Should a financial advisor stay at a wirehouse?</w:t>
      </w:r>
    </w:p>
    <w:p>
      <w:pPr>
        <w:pStyle w:val="ListBullet"/>
      </w:pPr>
      <w:r>
        <w:t>When does changing firms not make sense?</w:t>
      </w:r>
    </w:p>
    <w:p>
      <w:pPr>
        <w:pStyle w:val="ListBullet"/>
      </w:pPr>
      <w:r>
        <w:t>What is the cost of staying at the wrong firm?</w:t>
      </w:r>
    </w:p>
    <w:p>
      <w:r>
        <w:br w:type="page"/>
      </w:r>
    </w:p>
    <w:p>
      <w:pPr>
        <w:pStyle w:val="Heading2"/>
      </w:pPr>
      <w:r>
        <w:t>10  Enterprise Economics</w:t>
      </w:r>
    </w:p>
    <w:p>
      <w:pPr>
        <w:pStyle w:val="BodyText"/>
      </w:pPr>
      <w:r>
        <w:t>This page positions VYNE’s most commercially valuable analytical capability while clearly stating that the analysis depends on actual documents and assumptions.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Financial Advisor Recruiting Deal and Enterprise Economics Analysis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Understand recruiting payments, grids, expenses, deferred compensation, ownership, client economics, succession and long-term value before changing firms.</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Know the offer. Understand the business it creates.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Intro</w:t>
            </w:r>
          </w:p>
        </w:tc>
        <w:tc>
          <w:tcPr>
            <w:tcW w:type="dxa" w:w="7776"/>
            <w:tcMar>
              <w:top w:w="120" w:type="dxa"/>
              <w:start w:w="150" w:type="dxa"/>
              <w:bottom w:w="120" w:type="dxa"/>
              <w:end w:w="150" w:type="dxa"/>
            </w:tcMar>
          </w:tcPr>
          <w:p>
            <w:r>
              <w:rPr>
                <w:b w:val="0"/>
                <w:i w:val="0"/>
                <w:color w:val="1F252B"/>
                <w:sz w:val="18"/>
              </w:rPr>
              <w:t>A recruiting package can be substantial. It can also distract from ongoing compensation, expenses, contingencies, forgone value, ownership and what remains after the note is forgiven.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Current baseline</w:t>
            </w:r>
          </w:p>
        </w:tc>
        <w:tc>
          <w:tcPr>
            <w:tcW w:type="dxa" w:w="7776"/>
            <w:tcMar>
              <w:top w:w="120" w:type="dxa"/>
              <w:start w:w="150" w:type="dxa"/>
              <w:bottom w:w="120" w:type="dxa"/>
              <w:end w:w="150" w:type="dxa"/>
            </w:tcMar>
          </w:tcPr>
          <w:p>
            <w:r>
              <w:rPr>
                <w:b w:val="0"/>
                <w:i w:val="0"/>
                <w:color w:val="1F252B"/>
                <w:sz w:val="18"/>
              </w:rPr>
              <w:t>VYNE first establishes the economics of staying: payout, bonuses, benefits, team costs, deferred compensation, retirement programs and realistic growth.</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Offer analysis</w:t>
            </w:r>
          </w:p>
        </w:tc>
        <w:tc>
          <w:tcPr>
            <w:tcW w:type="dxa" w:w="7776"/>
            <w:tcMar>
              <w:top w:w="120" w:type="dxa"/>
              <w:start w:w="150" w:type="dxa"/>
              <w:bottom w:w="120" w:type="dxa"/>
              <w:end w:w="150" w:type="dxa"/>
            </w:tcMar>
          </w:tcPr>
          <w:p>
            <w:r>
              <w:rPr>
                <w:b w:val="0"/>
                <w:i w:val="0"/>
                <w:color w:val="1F252B"/>
                <w:sz w:val="18"/>
              </w:rPr>
              <w:t>Separate guaranteed compensation from contingent awards. Identify asset and revenue definitions, measurement periods, hurdles, forgiveness, repayment conditions and missing language.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Ongoing economics</w:t>
            </w:r>
          </w:p>
        </w:tc>
        <w:tc>
          <w:tcPr>
            <w:tcW w:type="dxa" w:w="7776"/>
            <w:tcMar>
              <w:top w:w="120" w:type="dxa"/>
              <w:start w:w="150" w:type="dxa"/>
              <w:bottom w:w="120" w:type="dxa"/>
              <w:end w:w="150" w:type="dxa"/>
            </w:tcMar>
          </w:tcPr>
          <w:p>
            <w:r>
              <w:rPr>
                <w:b w:val="0"/>
                <w:i w:val="0"/>
                <w:color w:val="1F252B"/>
                <w:sz w:val="18"/>
              </w:rPr>
              <w:t>Model grid or revenue share, platform fees, staffing, technology, office, compliance, transition costs and net operating income.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Client economics</w:t>
            </w:r>
          </w:p>
        </w:tc>
        <w:tc>
          <w:tcPr>
            <w:tcW w:type="dxa" w:w="7776"/>
            <w:tcMar>
              <w:top w:w="120" w:type="dxa"/>
              <w:start w:w="150" w:type="dxa"/>
              <w:bottom w:w="120" w:type="dxa"/>
              <w:end w:w="150" w:type="dxa"/>
            </w:tcMar>
          </w:tcPr>
          <w:p>
            <w:r>
              <w:rPr>
                <w:b w:val="0"/>
                <w:i w:val="0"/>
                <w:color w:val="1F252B"/>
                <w:sz w:val="18"/>
              </w:rPr>
              <w:t>Consider pricing, product costs, trading, cash, lending, transition costs and whether clients gain or lose economic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Ownership and succession</w:t>
            </w:r>
          </w:p>
        </w:tc>
        <w:tc>
          <w:tcPr>
            <w:tcW w:type="dxa" w:w="7776"/>
            <w:tcMar>
              <w:top w:w="120" w:type="dxa"/>
              <w:start w:w="150" w:type="dxa"/>
              <w:bottom w:w="120" w:type="dxa"/>
              <w:end w:w="150" w:type="dxa"/>
            </w:tcMar>
          </w:tcPr>
          <w:p>
            <w:r>
              <w:rPr>
                <w:b w:val="0"/>
                <w:i w:val="0"/>
                <w:color w:val="1F252B"/>
                <w:sz w:val="18"/>
              </w:rPr>
              <w:t>Distinguish practice ownership, parent-company equity, phantom equity, governance, liquidity, valuation and successor rights.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Scenarios</w:t>
            </w:r>
          </w:p>
        </w:tc>
        <w:tc>
          <w:tcPr>
            <w:tcW w:type="dxa" w:w="7776"/>
            <w:tcMar>
              <w:top w:w="120" w:type="dxa"/>
              <w:start w:w="150" w:type="dxa"/>
              <w:bottom w:w="120" w:type="dxa"/>
              <w:end w:w="150" w:type="dxa"/>
            </w:tcMar>
          </w:tcPr>
          <w:p>
            <w:r>
              <w:rPr>
                <w:b w:val="0"/>
                <w:i w:val="0"/>
                <w:color w:val="1F252B"/>
                <w:sz w:val="18"/>
              </w:rPr>
              <w:t>Compare downside, base and upside cases over appropriate time horizons. A decision that works only in the optimistic case is not a complete decision.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Boundary</w:t>
            </w:r>
          </w:p>
        </w:tc>
        <w:tc>
          <w:tcPr>
            <w:tcW w:type="dxa" w:w="7776"/>
            <w:tcMar>
              <w:top w:w="120" w:type="dxa"/>
              <w:start w:w="150" w:type="dxa"/>
              <w:bottom w:w="120" w:type="dxa"/>
              <w:end w:w="150" w:type="dxa"/>
            </w:tcMar>
          </w:tcPr>
          <w:p>
            <w:r>
              <w:rPr>
                <w:b w:val="0"/>
                <w:i w:val="0"/>
                <w:color w:val="1F252B"/>
                <w:sz w:val="18"/>
              </w:rPr>
              <w:t>VYNE reviews and models the terms. The advisor communicates requests directly to the firm, and legal and tax professionals review binding consequences.</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Review my offer</w:t>
            </w:r>
          </w:p>
        </w:tc>
        <w:tc>
          <w:tcPr>
            <w:tcW w:type="dxa" w:w="5616"/>
            <w:tcMar>
              <w:top w:w="100" w:type="dxa"/>
              <w:start w:w="110" w:type="dxa"/>
              <w:bottom w:w="100" w:type="dxa"/>
              <w:end w:w="110" w:type="dxa"/>
            </w:tcMar>
            <w:vAlign w:val="top"/>
          </w:tcPr>
          <w:p>
            <w:r>
              <w:rPr>
                <w:b w:val="0"/>
                <w:i w:val="0"/>
                <w:color w:val="1F252B"/>
                <w:sz w:val="16"/>
              </w:rPr>
              <w:t>High-intent secure pathway</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Compare staying and moving</w:t>
            </w:r>
          </w:p>
        </w:tc>
        <w:tc>
          <w:tcPr>
            <w:tcW w:type="dxa" w:w="5616"/>
            <w:tcMar>
              <w:top w:w="100" w:type="dxa"/>
              <w:start w:w="110" w:type="dxa"/>
              <w:bottom w:w="100" w:type="dxa"/>
              <w:end w:w="110" w:type="dxa"/>
            </w:tcMar>
            <w:vAlign w:val="top"/>
            <w:shd w:fill="F5F7FA"/>
          </w:tcPr>
          <w:p>
            <w:r>
              <w:rPr>
                <w:b w:val="0"/>
                <w:i w:val="0"/>
                <w:color w:val="1F252B"/>
                <w:sz w:val="16"/>
              </w:rPr>
              <w:t>Confidential conversation</w:t>
            </w:r>
          </w:p>
        </w:tc>
      </w:tr>
    </w:tbl>
    <w:p>
      <w:pPr>
        <w:pStyle w:val="Heading3"/>
      </w:pPr>
      <w:r>
        <w:t>Advisor questions this page should answer</w:t>
      </w:r>
    </w:p>
    <w:p>
      <w:pPr>
        <w:pStyle w:val="ListBullet"/>
      </w:pPr>
      <w:r>
        <w:t>How do financial advisor recruiting deals work?</w:t>
      </w:r>
    </w:p>
    <w:p>
      <w:pPr>
        <w:pStyle w:val="ListBullet"/>
      </w:pPr>
      <w:r>
        <w:t>How should a financial advisor compare compensation grids?</w:t>
      </w:r>
    </w:p>
    <w:p>
      <w:pPr>
        <w:pStyle w:val="ListBullet"/>
      </w:pPr>
      <w:r>
        <w:t>What is financial advisor equity actually worth?</w:t>
      </w:r>
    </w:p>
    <w:p>
      <w:r>
        <w:br w:type="page"/>
      </w:r>
    </w:p>
    <w:p>
      <w:pPr>
        <w:pStyle w:val="Heading2"/>
      </w:pPr>
      <w:r>
        <w:t>11  Portability and Platform Compatibility</w:t>
      </w:r>
    </w:p>
    <w:p>
      <w:pPr>
        <w:pStyle w:val="BodyText"/>
      </w:pPr>
      <w:r>
        <w:t>This page should create demand for the future analytics product without promising a precise result before secure, de-identified data and firm rules are available.</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Financial Advisor Book Portability and Platform Compatibility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Learn how client origination, product types, lending, alternatives, account structure and firm capabilities affect financial advisor book portability.</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Before choosing a destination, understand what can make the journey.</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Intro</w:t>
            </w:r>
          </w:p>
        </w:tc>
        <w:tc>
          <w:tcPr>
            <w:tcW w:type="dxa" w:w="7776"/>
            <w:tcMar>
              <w:top w:w="120" w:type="dxa"/>
              <w:start w:w="150" w:type="dxa"/>
              <w:bottom w:w="120" w:type="dxa"/>
              <w:end w:w="150" w:type="dxa"/>
            </w:tcMar>
          </w:tcPr>
          <w:p>
            <w:r>
              <w:rPr>
                <w:b w:val="0"/>
                <w:i w:val="0"/>
                <w:color w:val="1F252B"/>
                <w:sz w:val="18"/>
              </w:rPr>
              <w:t>Portability is not one percentage. Client loyalty, account structure, products, lending, alternatives, team dependence, agreements and the receiving platform all affect the outcome.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Preliminary assessment</w:t>
            </w:r>
          </w:p>
        </w:tc>
        <w:tc>
          <w:tcPr>
            <w:tcW w:type="dxa" w:w="7776"/>
            <w:tcMar>
              <w:top w:w="120" w:type="dxa"/>
              <w:start w:w="150" w:type="dxa"/>
              <w:bottom w:w="120" w:type="dxa"/>
              <w:end w:w="150" w:type="dxa"/>
            </w:tcMar>
          </w:tcPr>
          <w:p>
            <w:r>
              <w:rPr>
                <w:b w:val="0"/>
                <w:i w:val="0"/>
                <w:color w:val="1F252B"/>
                <w:sz w:val="18"/>
              </w:rPr>
              <w:t>A directional readiness review can begin with aggregate information and no client names.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Detailed analysis</w:t>
            </w:r>
          </w:p>
        </w:tc>
        <w:tc>
          <w:tcPr>
            <w:tcW w:type="dxa" w:w="7776"/>
            <w:tcMar>
              <w:top w:w="120" w:type="dxa"/>
              <w:start w:w="150" w:type="dxa"/>
              <w:bottom w:w="120" w:type="dxa"/>
              <w:end w:w="150" w:type="dxa"/>
            </w:tcMar>
          </w:tcPr>
          <w:p>
            <w:r>
              <w:rPr>
                <w:b w:val="0"/>
                <w:i w:val="0"/>
                <w:color w:val="1F252B"/>
                <w:sz w:val="18"/>
              </w:rPr>
              <w:t>Where appropriate, VYNE may evaluate de-identified holdings, account types, product classifications, lending flags, alternative investments, revenue concentration and platform compatibility.</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Firm-by-firm differences</w:t>
            </w:r>
          </w:p>
        </w:tc>
        <w:tc>
          <w:tcPr>
            <w:tcW w:type="dxa" w:w="7776"/>
            <w:tcMar>
              <w:top w:w="120" w:type="dxa"/>
              <w:start w:w="150" w:type="dxa"/>
              <w:bottom w:w="120" w:type="dxa"/>
              <w:end w:w="150" w:type="dxa"/>
            </w:tcMar>
          </w:tcPr>
          <w:p>
            <w:r>
              <w:rPr>
                <w:b w:val="0"/>
                <w:i w:val="0"/>
                <w:color w:val="1F252B"/>
                <w:sz w:val="18"/>
              </w:rPr>
              <w:t>A book may be more portable to one destination than another because the ability to custody, replace, refinance or support the business differs.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Output</w:t>
            </w:r>
          </w:p>
        </w:tc>
        <w:tc>
          <w:tcPr>
            <w:tcW w:type="dxa" w:w="7776"/>
            <w:tcMar>
              <w:top w:w="120" w:type="dxa"/>
              <w:start w:w="150" w:type="dxa"/>
              <w:bottom w:w="120" w:type="dxa"/>
              <w:end w:w="150" w:type="dxa"/>
            </w:tcMar>
          </w:tcPr>
          <w:p>
            <w:r>
              <w:rPr>
                <w:b w:val="0"/>
                <w:i w:val="0"/>
                <w:color w:val="1F252B"/>
                <w:sz w:val="18"/>
              </w:rPr>
              <w:t>Potential outputs include transferable-asset and revenue ranges, likely stranded assets, product-conversion requirements, client-cost changes, timing risk and unresolved issues.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Limitations</w:t>
            </w:r>
          </w:p>
        </w:tc>
        <w:tc>
          <w:tcPr>
            <w:tcW w:type="dxa" w:w="7776"/>
            <w:tcMar>
              <w:top w:w="120" w:type="dxa"/>
              <w:start w:w="150" w:type="dxa"/>
              <w:bottom w:w="120" w:type="dxa"/>
              <w:end w:w="150" w:type="dxa"/>
            </w:tcMar>
          </w:tcPr>
          <w:p>
            <w:r>
              <w:rPr>
                <w:b w:val="0"/>
                <w:i w:val="0"/>
                <w:color w:val="1F252B"/>
                <w:sz w:val="18"/>
              </w:rPr>
              <w:t>No model can guarantee client decisions or eliminate legal, operational and execution risk. Data quality and firm documentation materially affect the reliability of the result.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Security</w:t>
            </w:r>
          </w:p>
        </w:tc>
        <w:tc>
          <w:tcPr>
            <w:tcW w:type="dxa" w:w="7776"/>
            <w:tcMar>
              <w:top w:w="120" w:type="dxa"/>
              <w:start w:w="150" w:type="dxa"/>
              <w:bottom w:w="120" w:type="dxa"/>
              <w:end w:w="150" w:type="dxa"/>
            </w:tcMar>
          </w:tcPr>
          <w:p>
            <w:r>
              <w:rPr>
                <w:b w:val="0"/>
                <w:i w:val="0"/>
                <w:color w:val="1F252B"/>
                <w:sz w:val="18"/>
              </w:rPr>
              <w:t>Detailed analysis should occur only through a secure, permissioned process with clear data-use, access and deletion controls.</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Start with a readiness assessment</w:t>
            </w:r>
          </w:p>
        </w:tc>
        <w:tc>
          <w:tcPr>
            <w:tcW w:type="dxa" w:w="5616"/>
            <w:tcMar>
              <w:top w:w="100" w:type="dxa"/>
              <w:start w:w="110" w:type="dxa"/>
              <w:bottom w:w="100" w:type="dxa"/>
              <w:end w:w="110" w:type="dxa"/>
            </w:tcMar>
            <w:vAlign w:val="top"/>
          </w:tcPr>
          <w:p>
            <w:r>
              <w:rPr>
                <w:b w:val="0"/>
                <w:i w:val="0"/>
                <w:color w:val="1F252B"/>
                <w:sz w:val="16"/>
              </w:rPr>
              <w:t>Low-data pathway</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Discuss a detailed portability review</w:t>
            </w:r>
          </w:p>
        </w:tc>
        <w:tc>
          <w:tcPr>
            <w:tcW w:type="dxa" w:w="5616"/>
            <w:tcMar>
              <w:top w:w="100" w:type="dxa"/>
              <w:start w:w="110" w:type="dxa"/>
              <w:bottom w:w="100" w:type="dxa"/>
              <w:end w:w="110" w:type="dxa"/>
            </w:tcMar>
            <w:vAlign w:val="top"/>
            <w:shd w:fill="F5F7FA"/>
          </w:tcPr>
          <w:p>
            <w:r>
              <w:rPr>
                <w:b w:val="0"/>
                <w:i w:val="0"/>
                <w:color w:val="1F252B"/>
                <w:sz w:val="16"/>
              </w:rPr>
              <w:t>Active-case pathway</w:t>
            </w:r>
          </w:p>
        </w:tc>
      </w:tr>
    </w:tbl>
    <w:p>
      <w:pPr>
        <w:pStyle w:val="Heading3"/>
      </w:pPr>
      <w:r>
        <w:t>Advisor questions this page should answer</w:t>
      </w:r>
    </w:p>
    <w:p>
      <w:pPr>
        <w:pStyle w:val="ListBullet"/>
      </w:pPr>
      <w:r>
        <w:t>How portable is a financial advisor’s book?</w:t>
      </w:r>
    </w:p>
    <w:p>
      <w:pPr>
        <w:pStyle w:val="ListBullet"/>
      </w:pPr>
      <w:r>
        <w:t>Can alternative investments transfer when an advisor changes firms?</w:t>
      </w:r>
    </w:p>
    <w:p>
      <w:pPr>
        <w:pStyle w:val="ListBullet"/>
      </w:pPr>
      <w:r>
        <w:t>How do loans affect advisor portability?</w:t>
      </w:r>
    </w:p>
    <w:p>
      <w:r>
        <w:br w:type="page"/>
      </w:r>
    </w:p>
    <w:p>
      <w:pPr>
        <w:pStyle w:val="Heading2"/>
      </w:pPr>
      <w:r>
        <w:t>12  Firm Research</w:t>
      </w:r>
    </w:p>
    <w:p>
      <w:pPr>
        <w:pStyle w:val="BodyText"/>
      </w:pPr>
      <w:r>
        <w:t>This section supports private due diligence while avoiding a misleading public ranking system.</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Wealth Management Firm Research for Financial Advisors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Research wealth management business models, advisor platforms, client capabilities, economics, ownership and succession questions privately.</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Directory headline</w:t>
            </w:r>
          </w:p>
        </w:tc>
        <w:tc>
          <w:tcPr>
            <w:tcW w:type="dxa" w:w="7776"/>
            <w:tcMar>
              <w:top w:w="120" w:type="dxa"/>
              <w:start w:w="150" w:type="dxa"/>
              <w:bottom w:w="120" w:type="dxa"/>
              <w:end w:w="150" w:type="dxa"/>
            </w:tcMar>
          </w:tcPr>
          <w:p>
            <w:r>
              <w:rPr>
                <w:b w:val="0"/>
                <w:i w:val="0"/>
                <w:color w:val="1F252B"/>
                <w:sz w:val="18"/>
              </w:rPr>
              <w:t>Research the model before reacting to the pitch.</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Directory body</w:t>
            </w:r>
          </w:p>
        </w:tc>
        <w:tc>
          <w:tcPr>
            <w:tcW w:type="dxa" w:w="7776"/>
            <w:tcMar>
              <w:top w:w="120" w:type="dxa"/>
              <w:start w:w="150" w:type="dxa"/>
              <w:bottom w:w="120" w:type="dxa"/>
              <w:end w:w="150" w:type="dxa"/>
            </w:tcMar>
          </w:tcPr>
          <w:p>
            <w:r>
              <w:rPr>
                <w:b w:val="0"/>
                <w:i w:val="0"/>
                <w:color w:val="1F252B"/>
                <w:sz w:val="18"/>
              </w:rPr>
              <w:t>Browse high-level profiles organized by business model, client capabilities, operating structure, autonomy, economics and long-term horizon.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Public profile scope</w:t>
            </w:r>
          </w:p>
        </w:tc>
        <w:tc>
          <w:tcPr>
            <w:tcW w:type="dxa" w:w="7776"/>
            <w:tcMar>
              <w:top w:w="120" w:type="dxa"/>
              <w:start w:w="150" w:type="dxa"/>
              <w:bottom w:w="120" w:type="dxa"/>
              <w:end w:w="150" w:type="dxa"/>
            </w:tcMar>
          </w:tcPr>
          <w:p>
            <w:r>
              <w:rPr>
                <w:b w:val="0"/>
                <w:i w:val="0"/>
                <w:color w:val="1F252B"/>
                <w:sz w:val="18"/>
              </w:rPr>
              <w:t>Public profiles provide general, sourced information and questions advisors should investigate. They do not publish confidential deal intelligence or declare a firm suitable for every advisor.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Verified deep dive</w:t>
            </w:r>
          </w:p>
        </w:tc>
        <w:tc>
          <w:tcPr>
            <w:tcW w:type="dxa" w:w="7776"/>
            <w:tcMar>
              <w:top w:w="120" w:type="dxa"/>
              <w:start w:w="150" w:type="dxa"/>
              <w:bottom w:w="120" w:type="dxa"/>
              <w:end w:w="150" w:type="dxa"/>
            </w:tcMar>
          </w:tcPr>
          <w:p>
            <w:r>
              <w:rPr>
                <w:b w:val="0"/>
                <w:i w:val="0"/>
                <w:color w:val="1F252B"/>
                <w:sz w:val="18"/>
              </w:rPr>
              <w:t>Verified advisors may request a deeper review of a firm’s model, capabilities, economics and open diligence questions.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Sample profile headline</w:t>
            </w:r>
          </w:p>
        </w:tc>
        <w:tc>
          <w:tcPr>
            <w:tcW w:type="dxa" w:w="7776"/>
            <w:tcMar>
              <w:top w:w="120" w:type="dxa"/>
              <w:start w:w="150" w:type="dxa"/>
              <w:bottom w:w="120" w:type="dxa"/>
              <w:end w:w="150" w:type="dxa"/>
            </w:tcMar>
          </w:tcPr>
          <w:p>
            <w:r>
              <w:rPr>
                <w:b w:val="0"/>
                <w:i w:val="0"/>
                <w:color w:val="1F252B"/>
                <w:sz w:val="18"/>
              </w:rPr>
              <w:t>Illustrative Firm Profile: What an advisor should verify before advancing.</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Firm snapshot</w:t>
            </w:r>
          </w:p>
        </w:tc>
        <w:tc>
          <w:tcPr>
            <w:tcW w:type="dxa" w:w="7776"/>
            <w:tcMar>
              <w:top w:w="120" w:type="dxa"/>
              <w:start w:w="150" w:type="dxa"/>
              <w:bottom w:w="120" w:type="dxa"/>
              <w:end w:w="150" w:type="dxa"/>
            </w:tcMar>
          </w:tcPr>
          <w:p>
            <w:r>
              <w:rPr>
                <w:b w:val="0"/>
                <w:i w:val="0"/>
                <w:color w:val="1F252B"/>
                <w:sz w:val="18"/>
              </w:rPr>
              <w:t>Business model, advisor relationship, client platform, operating responsibilities, ownership structure, transition approach and areas requiring documentation.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BRANCH structure</w:t>
            </w:r>
          </w:p>
        </w:tc>
        <w:tc>
          <w:tcPr>
            <w:tcW w:type="dxa" w:w="7776"/>
            <w:tcMar>
              <w:top w:w="120" w:type="dxa"/>
              <w:start w:w="150" w:type="dxa"/>
              <w:bottom w:w="120" w:type="dxa"/>
              <w:end w:w="150" w:type="dxa"/>
            </w:tcMar>
          </w:tcPr>
          <w:p>
            <w:r>
              <w:rPr>
                <w:b w:val="0"/>
                <w:i w:val="0"/>
                <w:color w:val="1F252B"/>
                <w:sz w:val="18"/>
              </w:rPr>
              <w:t>Business Model. Resources. Autonomy. Numbers. Clients. Horizon.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Evidence labels</w:t>
            </w:r>
          </w:p>
        </w:tc>
        <w:tc>
          <w:tcPr>
            <w:tcW w:type="dxa" w:w="7776"/>
            <w:tcMar>
              <w:top w:w="120" w:type="dxa"/>
              <w:start w:w="150" w:type="dxa"/>
              <w:bottom w:w="120" w:type="dxa"/>
              <w:end w:w="150" w:type="dxa"/>
            </w:tcMar>
          </w:tcPr>
          <w:p>
            <w:r>
              <w:rPr>
                <w:b w:val="0"/>
                <w:i w:val="0"/>
                <w:color w:val="1F252B"/>
                <w:sz w:val="18"/>
              </w:rPr>
              <w:t>Each item should be marked as documented fact, public information, VYNE analysis, firm representation or open question.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CTA</w:t>
            </w:r>
          </w:p>
        </w:tc>
        <w:tc>
          <w:tcPr>
            <w:tcW w:type="dxa" w:w="7776"/>
            <w:tcMar>
              <w:top w:w="120" w:type="dxa"/>
              <w:start w:w="150" w:type="dxa"/>
              <w:bottom w:w="120" w:type="dxa"/>
              <w:end w:w="150" w:type="dxa"/>
            </w:tcMar>
          </w:tcPr>
          <w:p>
            <w:r>
              <w:rPr>
                <w:b w:val="0"/>
                <w:i w:val="0"/>
                <w:color w:val="1F252B"/>
                <w:sz w:val="18"/>
              </w:rPr>
              <w:t>Requesting a deeper review does not authorize VYNE to contact the firm or disclose the advisor’s identity.</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Explore a firm privately</w:t>
            </w:r>
          </w:p>
        </w:tc>
        <w:tc>
          <w:tcPr>
            <w:tcW w:type="dxa" w:w="5616"/>
            <w:tcMar>
              <w:top w:w="100" w:type="dxa"/>
              <w:start w:w="110" w:type="dxa"/>
              <w:bottom w:w="100" w:type="dxa"/>
              <w:end w:w="110" w:type="dxa"/>
            </w:tcMar>
            <w:vAlign w:val="top"/>
          </w:tcPr>
          <w:p>
            <w:r>
              <w:rPr>
                <w:b w:val="0"/>
                <w:i w:val="0"/>
                <w:color w:val="1F252B"/>
                <w:sz w:val="16"/>
              </w:rPr>
              <w:t>Verified request</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Compare firms</w:t>
            </w:r>
          </w:p>
        </w:tc>
        <w:tc>
          <w:tcPr>
            <w:tcW w:type="dxa" w:w="5616"/>
            <w:tcMar>
              <w:top w:w="100" w:type="dxa"/>
              <w:start w:w="110" w:type="dxa"/>
              <w:bottom w:w="100" w:type="dxa"/>
              <w:end w:w="110" w:type="dxa"/>
            </w:tcMar>
            <w:vAlign w:val="top"/>
            <w:shd w:fill="F5F7FA"/>
          </w:tcPr>
          <w:p>
            <w:r>
              <w:rPr>
                <w:b w:val="0"/>
                <w:i w:val="0"/>
                <w:color w:val="1F252B"/>
                <w:sz w:val="16"/>
              </w:rPr>
              <w:t>Comparison intake</w:t>
            </w:r>
          </w:p>
        </w:tc>
      </w:tr>
      <w:tr>
        <w:tc>
          <w:tcPr>
            <w:tcW w:type="dxa" w:w="1152"/>
            <w:tcMar>
              <w:top w:w="100" w:type="dxa"/>
              <w:start w:w="110" w:type="dxa"/>
              <w:bottom w:w="100" w:type="dxa"/>
              <w:end w:w="110" w:type="dxa"/>
            </w:tcMar>
            <w:vAlign w:val="top"/>
          </w:tcPr>
          <w:p>
            <w:r>
              <w:rPr>
                <w:b w:val="0"/>
                <w:i w:val="0"/>
                <w:color w:val="1F252B"/>
                <w:sz w:val="16"/>
              </w:rPr>
              <w:t>Tertiary</w:t>
            </w:r>
          </w:p>
        </w:tc>
        <w:tc>
          <w:tcPr>
            <w:tcW w:type="dxa" w:w="2880"/>
            <w:tcMar>
              <w:top w:w="100" w:type="dxa"/>
              <w:start w:w="110" w:type="dxa"/>
              <w:bottom w:w="100" w:type="dxa"/>
              <w:end w:w="110" w:type="dxa"/>
            </w:tcMar>
            <w:vAlign w:val="top"/>
          </w:tcPr>
          <w:p>
            <w:r>
              <w:rPr>
                <w:b w:val="0"/>
                <w:i w:val="0"/>
                <w:color w:val="1F252B"/>
                <w:sz w:val="16"/>
              </w:rPr>
              <w:t>See the BRANCH framework</w:t>
            </w:r>
          </w:p>
        </w:tc>
        <w:tc>
          <w:tcPr>
            <w:tcW w:type="dxa" w:w="5616"/>
            <w:tcMar>
              <w:top w:w="100" w:type="dxa"/>
              <w:start w:w="110" w:type="dxa"/>
              <w:bottom w:w="100" w:type="dxa"/>
              <w:end w:w="110" w:type="dxa"/>
            </w:tcMar>
            <w:vAlign w:val="top"/>
          </w:tcPr>
          <w:p>
            <w:r>
              <w:rPr>
                <w:b w:val="0"/>
                <w:i w:val="0"/>
                <w:color w:val="1F252B"/>
                <w:sz w:val="16"/>
              </w:rPr>
              <w:t>Education</w:t>
            </w:r>
          </w:p>
        </w:tc>
      </w:tr>
    </w:tbl>
    <w:p>
      <w:pPr>
        <w:pStyle w:val="Heading3"/>
      </w:pPr>
      <w:r>
        <w:t>Advisor questions this page should answer</w:t>
      </w:r>
    </w:p>
    <w:p>
      <w:pPr>
        <w:pStyle w:val="ListBullet"/>
      </w:pPr>
      <w:r>
        <w:t>How should a financial advisor research another firm privately?</w:t>
      </w:r>
    </w:p>
    <w:p>
      <w:pPr>
        <w:pStyle w:val="ListBullet"/>
      </w:pPr>
      <w:r>
        <w:t>What should advisors ask wealth management firms during due diligence?</w:t>
      </w:r>
    </w:p>
    <w:tbl>
      <w:tblPr>
        <w:tblW w:type="auto" w:w="0"/>
        <w:jc w:val="center"/>
        <w:tblLayout w:type="fixed"/>
        <w:tblLook w:firstColumn="1" w:firstRow="1" w:lastColumn="0" w:lastRow="0" w:noHBand="0" w:noVBand="1" w:val="04A0"/>
      </w:tblPr>
      <w:tblGrid>
        <w:gridCol w:w="10166"/>
      </w:tblGrid>
      <w:tr>
        <w:tc>
          <w:tcPr>
            <w:tcW w:type="dxa" w:w="10166"/>
            <w:shd w:fill="F6F0E5"/>
            <w:tcBorders>
              <w:top w:val="single" w:sz="8" w:color="A98545"/>
              <w:left w:val="single" w:sz="8" w:color="A98545"/>
              <w:bottom w:val="single" w:sz="8" w:color="A98545"/>
              <w:right w:val="single" w:sz="8" w:color="A98545"/>
              <w:insideH w:val="single" w:sz="8" w:color="A98545"/>
              <w:insideV w:val="single" w:sz="8" w:color="A98545"/>
            </w:tcBorders>
            <w:tcMar>
              <w:top w:w="140" w:type="dxa"/>
              <w:start w:w="170" w:type="dxa"/>
              <w:bottom w:w="140" w:type="dxa"/>
              <w:end w:w="170" w:type="dxa"/>
            </w:tcMar>
          </w:tcPr>
          <w:p>
            <w:r>
              <w:rPr>
                <w:b/>
                <w:i w:val="0"/>
                <w:color w:val="A98545"/>
                <w:sz w:val="20"/>
              </w:rPr>
              <w:t>Neutral implementation note</w:t>
            </w:r>
          </w:p>
          <w:p>
            <w:r>
              <w:rPr>
                <w:b w:val="0"/>
                <w:i w:val="0"/>
                <w:color w:val="1F252B"/>
                <w:sz w:val="19"/>
              </w:rPr>
              <w:t>Firm pages should launch only when VYNE can maintain source dates and update controls. Thin or stale pages would undermine authority rather than build it.</w:t>
            </w:r>
          </w:p>
        </w:tc>
      </w:tr>
    </w:tbl>
    <w:p/>
    <w:p>
      <w:r>
        <w:br w:type="page"/>
      </w:r>
    </w:p>
    <w:p>
      <w:pPr>
        <w:pStyle w:val="Heading2"/>
      </w:pPr>
      <w:r>
        <w:t>13  Compare Firms</w:t>
      </w:r>
    </w:p>
    <w:p>
      <w:pPr>
        <w:pStyle w:val="BodyText"/>
      </w:pPr>
      <w:r>
        <w:t>This high-intent pathway should collect enough information to frame the comparison, but should not immediately expose the full proprietary database.</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Compare Wealth Management Firms for Financial Advisors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Compare firms and business models based on clients, team, platform, autonomy, economics, ownership, succession and execution risk.</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Compare the firms against your objectives - not against each other in the abstract.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A firm can be stronger in one category and weaker in another. VYNE begins with the advisor’s objectives, then evaluates the relevant options through BRANCH and Enterprise Economics.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Input summary</w:t>
            </w:r>
          </w:p>
        </w:tc>
        <w:tc>
          <w:tcPr>
            <w:tcW w:type="dxa" w:w="7776"/>
            <w:tcMar>
              <w:top w:w="120" w:type="dxa"/>
              <w:start w:w="150" w:type="dxa"/>
              <w:bottom w:w="120" w:type="dxa"/>
              <w:end w:w="150" w:type="dxa"/>
            </w:tcMar>
          </w:tcPr>
          <w:p>
            <w:r>
              <w:rPr>
                <w:b w:val="0"/>
                <w:i w:val="0"/>
                <w:color w:val="1F252B"/>
                <w:sz w:val="18"/>
              </w:rPr>
              <w:t>Current firm, firms or models being considered, T12 range, AUM range, team structure, client requirements, timing and primary objectives.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Output summary</w:t>
            </w:r>
          </w:p>
        </w:tc>
        <w:tc>
          <w:tcPr>
            <w:tcW w:type="dxa" w:w="7776"/>
            <w:tcMar>
              <w:top w:w="120" w:type="dxa"/>
              <w:start w:w="150" w:type="dxa"/>
              <w:bottom w:w="120" w:type="dxa"/>
              <w:end w:w="150" w:type="dxa"/>
            </w:tcMar>
          </w:tcPr>
          <w:p>
            <w:r>
              <w:rPr>
                <w:b w:val="0"/>
                <w:i w:val="0"/>
                <w:color w:val="1F252B"/>
                <w:sz w:val="18"/>
              </w:rPr>
              <w:t>A confidential discussion of likely strengths, tradeoffs, open questions, information still needed and whether a deeper analysis is justified.</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Permission</w:t>
            </w:r>
          </w:p>
        </w:tc>
        <w:tc>
          <w:tcPr>
            <w:tcW w:type="dxa" w:w="7776"/>
            <w:tcMar>
              <w:top w:w="120" w:type="dxa"/>
              <w:start w:w="150" w:type="dxa"/>
              <w:bottom w:w="120" w:type="dxa"/>
              <w:end w:w="150" w:type="dxa"/>
            </w:tcMar>
          </w:tcPr>
          <w:p>
            <w:r>
              <w:rPr>
                <w:b w:val="0"/>
                <w:i w:val="0"/>
                <w:color w:val="1F252B"/>
                <w:sz w:val="18"/>
              </w:rPr>
              <w:t>Submitting the form does not authorize firm contact or a named submission.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No instant ranking</w:t>
            </w:r>
          </w:p>
        </w:tc>
        <w:tc>
          <w:tcPr>
            <w:tcW w:type="dxa" w:w="7776"/>
            <w:tcMar>
              <w:top w:w="120" w:type="dxa"/>
              <w:start w:w="150" w:type="dxa"/>
              <w:bottom w:w="120" w:type="dxa"/>
              <w:end w:w="150" w:type="dxa"/>
            </w:tcMar>
          </w:tcPr>
          <w:p>
            <w:r>
              <w:rPr>
                <w:b w:val="0"/>
                <w:i w:val="0"/>
                <w:color w:val="1F252B"/>
                <w:sz w:val="18"/>
              </w:rPr>
              <w:t>The website should not produce a numeric “best firm” answer based on a few inputs. The apparent precision would exceed the underlying evidence.</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Request a private comparison</w:t>
            </w:r>
          </w:p>
        </w:tc>
        <w:tc>
          <w:tcPr>
            <w:tcW w:type="dxa" w:w="5616"/>
            <w:tcMar>
              <w:top w:w="100" w:type="dxa"/>
              <w:start w:w="110" w:type="dxa"/>
              <w:bottom w:w="100" w:type="dxa"/>
              <w:end w:w="110" w:type="dxa"/>
            </w:tcMar>
            <w:vAlign w:val="top"/>
          </w:tcPr>
          <w:p>
            <w:r>
              <w:rPr>
                <w:b w:val="0"/>
                <w:i w:val="0"/>
                <w:color w:val="1F252B"/>
                <w:sz w:val="16"/>
              </w:rPr>
              <w:t>Form</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Research firms first</w:t>
            </w:r>
          </w:p>
        </w:tc>
        <w:tc>
          <w:tcPr>
            <w:tcW w:type="dxa" w:w="5616"/>
            <w:tcMar>
              <w:top w:w="100" w:type="dxa"/>
              <w:start w:w="110" w:type="dxa"/>
              <w:bottom w:w="100" w:type="dxa"/>
              <w:end w:w="110" w:type="dxa"/>
            </w:tcMar>
            <w:vAlign w:val="top"/>
            <w:shd w:fill="F5F7FA"/>
          </w:tcPr>
          <w:p>
            <w:r>
              <w:rPr>
                <w:b w:val="0"/>
                <w:i w:val="0"/>
                <w:color w:val="1F252B"/>
                <w:sz w:val="16"/>
              </w:rPr>
              <w:t>Directory</w:t>
            </w:r>
          </w:p>
        </w:tc>
      </w:tr>
    </w:tbl>
    <w:p>
      <w:pPr>
        <w:pStyle w:val="Heading3"/>
      </w:pPr>
      <w:r>
        <w:t>Advisor questions this page should answer</w:t>
      </w:r>
    </w:p>
    <w:p>
      <w:pPr>
        <w:pStyle w:val="ListBullet"/>
      </w:pPr>
      <w:r>
        <w:t>How do financial advisors compare wealth management firms?</w:t>
      </w:r>
    </w:p>
    <w:p>
      <w:pPr>
        <w:pStyle w:val="ListBullet"/>
      </w:pPr>
      <w:r>
        <w:t>Which wealth management platform is best for my clients?</w:t>
      </w:r>
    </w:p>
    <w:p>
      <w:r>
        <w:br w:type="page"/>
      </w:r>
    </w:p>
    <w:p>
      <w:pPr>
        <w:pStyle w:val="Heading2"/>
      </w:pPr>
      <w:r>
        <w:t>14  Review My Offer</w:t>
      </w:r>
    </w:p>
    <w:p>
      <w:pPr>
        <w:pStyle w:val="BodyText"/>
      </w:pPr>
      <w:r>
        <w:t>This page captures advisors already in motion and demonstrates immediate analytical value.</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Financial Advisor Recruiting Offer Review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Request a confidential review of a financial advisor recruiting offer, including guarantees, hurdles, forgivable notes, ongoing economics and ownership terms.</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The headline number is only the first line of the analysis.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VYNE can help organize the offer, identify contingencies, compare it with the current economic baseline and prepare the questions the advisor may want to raise directly with the firm.</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What VYNE reviews</w:t>
            </w:r>
          </w:p>
        </w:tc>
        <w:tc>
          <w:tcPr>
            <w:tcW w:type="dxa" w:w="7776"/>
            <w:tcMar>
              <w:top w:w="120" w:type="dxa"/>
              <w:start w:w="150" w:type="dxa"/>
              <w:bottom w:w="120" w:type="dxa"/>
              <w:end w:w="150" w:type="dxa"/>
            </w:tcMar>
          </w:tcPr>
          <w:p>
            <w:r>
              <w:rPr>
                <w:b w:val="0"/>
                <w:i w:val="0"/>
                <w:color w:val="1F252B"/>
                <w:sz w:val="18"/>
              </w:rPr>
              <w:t>Guaranteed and contingent compensation, note terms, asset and revenue definitions, back-end hurdles, ongoing grid or revenue share, expenses, team offers, transition support, equity, succession and clawbacks.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What VYNE provides</w:t>
            </w:r>
          </w:p>
        </w:tc>
        <w:tc>
          <w:tcPr>
            <w:tcW w:type="dxa" w:w="7776"/>
            <w:tcMar>
              <w:top w:w="120" w:type="dxa"/>
              <w:start w:w="150" w:type="dxa"/>
              <w:bottom w:w="120" w:type="dxa"/>
              <w:end w:w="150" w:type="dxa"/>
            </w:tcMar>
          </w:tcPr>
          <w:p>
            <w:r>
              <w:rPr>
                <w:b w:val="0"/>
                <w:i w:val="0"/>
                <w:color w:val="1F252B"/>
                <w:sz w:val="18"/>
              </w:rPr>
              <w:t>Proposal summary, missing-item list, scenario model, comparison with staying, advisor-directed discussion guide and issues for legal or tax review.</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What VYNE does not do</w:t>
            </w:r>
          </w:p>
        </w:tc>
        <w:tc>
          <w:tcPr>
            <w:tcW w:type="dxa" w:w="7776"/>
            <w:tcMar>
              <w:top w:w="120" w:type="dxa"/>
              <w:start w:w="150" w:type="dxa"/>
              <w:bottom w:w="120" w:type="dxa"/>
              <w:end w:w="150" w:type="dxa"/>
            </w:tcMar>
          </w:tcPr>
          <w:p>
            <w:r>
              <w:rPr>
                <w:b w:val="0"/>
                <w:i w:val="0"/>
                <w:color w:val="1F252B"/>
                <w:sz w:val="18"/>
              </w:rPr>
              <w:t>VYNE does not accept, reject or negotiate the proposal on the advisor’s behalf and does not provide legal or tax advice.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Secure process</w:t>
            </w:r>
          </w:p>
        </w:tc>
        <w:tc>
          <w:tcPr>
            <w:tcW w:type="dxa" w:w="7776"/>
            <w:tcMar>
              <w:top w:w="120" w:type="dxa"/>
              <w:start w:w="150" w:type="dxa"/>
              <w:bottom w:w="120" w:type="dxa"/>
              <w:end w:w="150" w:type="dxa"/>
            </w:tcMar>
          </w:tcPr>
          <w:p>
            <w:r>
              <w:rPr>
                <w:b w:val="0"/>
                <w:i w:val="0"/>
                <w:color w:val="1F252B"/>
                <w:sz w:val="18"/>
              </w:rPr>
              <w:t>The production pathway should use verified advisor access and secure document upload. Standard contact forms should not accept sensitive documents.</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Request an offer review</w:t>
            </w:r>
          </w:p>
        </w:tc>
        <w:tc>
          <w:tcPr>
            <w:tcW w:type="dxa" w:w="5616"/>
            <w:tcMar>
              <w:top w:w="100" w:type="dxa"/>
              <w:start w:w="110" w:type="dxa"/>
              <w:bottom w:w="100" w:type="dxa"/>
              <w:end w:w="110" w:type="dxa"/>
            </w:tcMar>
            <w:vAlign w:val="top"/>
          </w:tcPr>
          <w:p>
            <w:r>
              <w:rPr>
                <w:b w:val="0"/>
                <w:i w:val="0"/>
                <w:color w:val="1F252B"/>
                <w:sz w:val="16"/>
              </w:rPr>
              <w:t>Verified intake</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Understand Enterprise Economics</w:t>
            </w:r>
          </w:p>
        </w:tc>
        <w:tc>
          <w:tcPr>
            <w:tcW w:type="dxa" w:w="5616"/>
            <w:tcMar>
              <w:top w:w="100" w:type="dxa"/>
              <w:start w:w="110" w:type="dxa"/>
              <w:bottom w:w="100" w:type="dxa"/>
              <w:end w:w="110" w:type="dxa"/>
            </w:tcMar>
            <w:vAlign w:val="top"/>
            <w:shd w:fill="F5F7FA"/>
          </w:tcPr>
          <w:p>
            <w:r>
              <w:rPr>
                <w:b w:val="0"/>
                <w:i w:val="0"/>
                <w:color w:val="1F252B"/>
                <w:sz w:val="16"/>
              </w:rPr>
              <w:t>Education</w:t>
            </w:r>
          </w:p>
        </w:tc>
      </w:tr>
    </w:tbl>
    <w:p>
      <w:pPr>
        <w:pStyle w:val="Heading3"/>
      </w:pPr>
      <w:r>
        <w:t>Advisor questions this page should answer</w:t>
      </w:r>
    </w:p>
    <w:p>
      <w:pPr>
        <w:pStyle w:val="ListBullet"/>
      </w:pPr>
      <w:r>
        <w:t>Should a financial advisor have a recruiting offer reviewed?</w:t>
      </w:r>
    </w:p>
    <w:p>
      <w:pPr>
        <w:pStyle w:val="ListBullet"/>
      </w:pPr>
      <w:r>
        <w:t>What should I look for in a forgivable note?</w:t>
      </w:r>
    </w:p>
    <w:p>
      <w:r>
        <w:br w:type="page"/>
      </w:r>
    </w:p>
    <w:p>
      <w:pPr>
        <w:pStyle w:val="Heading2"/>
      </w:pPr>
      <w:r>
        <w:t>15  Succession and Continuity</w:t>
      </w:r>
    </w:p>
    <w:p>
      <w:pPr>
        <w:pStyle w:val="BodyText"/>
      </w:pPr>
      <w:r>
        <w:t>This page introduces the future Continuity Network while keeping the launch offer focused on confidential assessment and concierge matching.</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Financial Advisor Succession, Practice Buyers and Successor Matching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Explore succession readiness, practice-sale options, successor matching, team opportunities and platform considerations for financial advisors.</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The future of your practice should not depend on chance.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Succession is not only a valuation question. It is a client-continuity, team, platform, timing, financing and leadership decision.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For senior advisors</w:t>
            </w:r>
          </w:p>
        </w:tc>
        <w:tc>
          <w:tcPr>
            <w:tcW w:type="dxa" w:w="7776"/>
            <w:tcMar>
              <w:top w:w="120" w:type="dxa"/>
              <w:start w:w="150" w:type="dxa"/>
              <w:bottom w:w="120" w:type="dxa"/>
              <w:end w:w="150" w:type="dxa"/>
            </w:tcMar>
          </w:tcPr>
          <w:p>
            <w:r>
              <w:rPr>
                <w:b w:val="0"/>
                <w:i w:val="0"/>
                <w:color w:val="1F252B"/>
                <w:sz w:val="18"/>
              </w:rPr>
              <w:t>Clarify timing, desired role, successor criteria, valuation expectations, client continuity and whether the current firm can support the intended outcome.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For buyers</w:t>
            </w:r>
          </w:p>
        </w:tc>
        <w:tc>
          <w:tcPr>
            <w:tcW w:type="dxa" w:w="7776"/>
            <w:tcMar>
              <w:top w:w="120" w:type="dxa"/>
              <w:start w:w="150" w:type="dxa"/>
              <w:bottom w:w="120" w:type="dxa"/>
              <w:end w:w="150" w:type="dxa"/>
            </w:tcMar>
          </w:tcPr>
          <w:p>
            <w:r>
              <w:rPr>
                <w:b w:val="0"/>
                <w:i w:val="0"/>
                <w:color w:val="1F252B"/>
                <w:sz w:val="18"/>
              </w:rPr>
              <w:t>Define acquisition capacity, preferred client profile, financing, platform compatibility, integration approach and geographic requirements.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For next-generation advisors</w:t>
            </w:r>
          </w:p>
        </w:tc>
        <w:tc>
          <w:tcPr>
            <w:tcW w:type="dxa" w:w="7776"/>
            <w:tcMar>
              <w:top w:w="120" w:type="dxa"/>
              <w:start w:w="150" w:type="dxa"/>
              <w:bottom w:w="120" w:type="dxa"/>
              <w:end w:w="150" w:type="dxa"/>
            </w:tcMar>
          </w:tcPr>
          <w:p>
            <w:r>
              <w:rPr>
                <w:b w:val="0"/>
                <w:i w:val="0"/>
                <w:color w:val="1F252B"/>
                <w:sz w:val="18"/>
              </w:rPr>
              <w:t>Privately indicate interest in joining a team, becoming a successor, moving with a senior advisor or acquiring a practice over time.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For teams</w:t>
            </w:r>
          </w:p>
        </w:tc>
        <w:tc>
          <w:tcPr>
            <w:tcW w:type="dxa" w:w="7776"/>
            <w:tcMar>
              <w:top w:w="120" w:type="dxa"/>
              <w:start w:w="150" w:type="dxa"/>
              <w:bottom w:w="120" w:type="dxa"/>
              <w:end w:w="150" w:type="dxa"/>
            </w:tcMar>
          </w:tcPr>
          <w:p>
            <w:r>
              <w:rPr>
                <w:b w:val="0"/>
                <w:i w:val="0"/>
                <w:color w:val="1F252B"/>
                <w:sz w:val="18"/>
              </w:rPr>
              <w:t>Describe the role, market, client segment, experience and long-term opportunity without publicly disclosing confidential team details.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Continuity Network</w:t>
            </w:r>
          </w:p>
        </w:tc>
        <w:tc>
          <w:tcPr>
            <w:tcW w:type="dxa" w:w="7776"/>
            <w:tcMar>
              <w:top w:w="120" w:type="dxa"/>
              <w:start w:w="150" w:type="dxa"/>
              <w:bottom w:w="120" w:type="dxa"/>
              <w:end w:w="150" w:type="dxa"/>
            </w:tcMar>
          </w:tcPr>
          <w:p>
            <w:r>
              <w:rPr>
                <w:b w:val="0"/>
                <w:i w:val="0"/>
                <w:color w:val="1F252B"/>
                <w:sz w:val="18"/>
              </w:rPr>
              <w:t>VYNE may use verified internal data to identify potential matches. Early matching should operate as a curated concierge service rather than an open public marketplace.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Anonymous opportunity language</w:t>
            </w:r>
          </w:p>
        </w:tc>
        <w:tc>
          <w:tcPr>
            <w:tcW w:type="dxa" w:w="7776"/>
            <w:tcMar>
              <w:top w:w="120" w:type="dxa"/>
              <w:start w:w="150" w:type="dxa"/>
              <w:bottom w:w="120" w:type="dxa"/>
              <w:end w:w="150" w:type="dxa"/>
            </w:tcMar>
          </w:tcPr>
          <w:p>
            <w:r>
              <w:rPr>
                <w:b w:val="0"/>
                <w:i w:val="0"/>
                <w:color w:val="1F252B"/>
                <w:sz w:val="18"/>
              </w:rPr>
              <w:t>Public summaries should disclose enough to establish relevance while withholding names, firms and identifying client information.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Boundary</w:t>
            </w:r>
          </w:p>
        </w:tc>
        <w:tc>
          <w:tcPr>
            <w:tcW w:type="dxa" w:w="7776"/>
            <w:tcMar>
              <w:top w:w="120" w:type="dxa"/>
              <w:start w:w="150" w:type="dxa"/>
              <w:bottom w:w="120" w:type="dxa"/>
              <w:end w:w="150" w:type="dxa"/>
            </w:tcMar>
          </w:tcPr>
          <w:p>
            <w:r>
              <w:rPr>
                <w:b w:val="0"/>
                <w:i w:val="0"/>
                <w:color w:val="1F252B"/>
                <w:sz w:val="18"/>
              </w:rPr>
              <w:t>A match is an introduction, not a valuation, financing, legal or regulatory conclusion.</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Evaluate my succession</w:t>
            </w:r>
          </w:p>
        </w:tc>
        <w:tc>
          <w:tcPr>
            <w:tcW w:type="dxa" w:w="5616"/>
            <w:tcMar>
              <w:top w:w="100" w:type="dxa"/>
              <w:start w:w="110" w:type="dxa"/>
              <w:bottom w:w="100" w:type="dxa"/>
              <w:end w:w="110" w:type="dxa"/>
            </w:tcMar>
            <w:vAlign w:val="top"/>
          </w:tcPr>
          <w:p>
            <w:r>
              <w:rPr>
                <w:b w:val="0"/>
                <w:i w:val="0"/>
                <w:color w:val="1F252B"/>
                <w:sz w:val="16"/>
              </w:rPr>
              <w:t>Senior advisor intake</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Join the continuity network</w:t>
            </w:r>
          </w:p>
        </w:tc>
        <w:tc>
          <w:tcPr>
            <w:tcW w:type="dxa" w:w="5616"/>
            <w:tcMar>
              <w:top w:w="100" w:type="dxa"/>
              <w:start w:w="110" w:type="dxa"/>
              <w:bottom w:w="100" w:type="dxa"/>
              <w:end w:w="110" w:type="dxa"/>
            </w:tcMar>
            <w:vAlign w:val="top"/>
            <w:shd w:fill="F5F7FA"/>
          </w:tcPr>
          <w:p>
            <w:r>
              <w:rPr>
                <w:b w:val="0"/>
                <w:i w:val="0"/>
                <w:color w:val="1F252B"/>
                <w:sz w:val="16"/>
              </w:rPr>
              <w:t>Buyer, seller or talent intake</w:t>
            </w:r>
          </w:p>
        </w:tc>
      </w:tr>
    </w:tbl>
    <w:p>
      <w:pPr>
        <w:pStyle w:val="Heading3"/>
      </w:pPr>
      <w:r>
        <w:t>Advisor questions this page should answer</w:t>
      </w:r>
    </w:p>
    <w:p>
      <w:pPr>
        <w:pStyle w:val="ListBullet"/>
      </w:pPr>
      <w:r>
        <w:t>How can a financial advisor find a successor?</w:t>
      </w:r>
    </w:p>
    <w:p>
      <w:pPr>
        <w:pStyle w:val="ListBullet"/>
      </w:pPr>
      <w:r>
        <w:t>How do I buy a financial advisor’s book?</w:t>
      </w:r>
    </w:p>
    <w:p>
      <w:pPr>
        <w:pStyle w:val="ListBullet"/>
      </w:pPr>
      <w:r>
        <w:t>How can a junior advisor join an established team?</w:t>
      </w:r>
    </w:p>
    <w:p>
      <w:r>
        <w:br w:type="page"/>
      </w:r>
    </w:p>
    <w:p>
      <w:pPr>
        <w:pStyle w:val="Heading2"/>
      </w:pPr>
      <w:r>
        <w:t>16  Insights and Newsletter</w:t>
      </w:r>
    </w:p>
    <w:p>
      <w:pPr>
        <w:pStyle w:val="BodyText"/>
      </w:pPr>
      <w:r>
        <w:t>This page converts research traffic into a durable subscriber relationship and reinforces the framework every month.</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VYNE Advisor Intelligence | Firm, Compensation and Succession Insights</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Receive research for financial advisors on firm decisions, recruiting economics, portability, ownership, succession and enterprise value.</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Publication title</w:t>
            </w:r>
          </w:p>
        </w:tc>
        <w:tc>
          <w:tcPr>
            <w:tcW w:type="dxa" w:w="7776"/>
            <w:tcMar>
              <w:top w:w="120" w:type="dxa"/>
              <w:start w:w="150" w:type="dxa"/>
              <w:bottom w:w="120" w:type="dxa"/>
              <w:end w:w="150" w:type="dxa"/>
            </w:tcMar>
          </w:tcPr>
          <w:p>
            <w:r>
              <w:rPr>
                <w:b w:val="0"/>
                <w:i w:val="0"/>
                <w:color w:val="1F252B"/>
                <w:sz w:val="18"/>
              </w:rPr>
              <w:t>The VYNE Advisor Intelligence Report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Research for the decisions advisors rarely make more than once.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A monthly report focused on the questions behind firm changes, business models, compensation, ownership, succession and long-term enterprise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Recurring sections</w:t>
            </w:r>
          </w:p>
        </w:tc>
        <w:tc>
          <w:tcPr>
            <w:tcW w:type="dxa" w:w="7776"/>
            <w:tcMar>
              <w:top w:w="120" w:type="dxa"/>
              <w:start w:w="150" w:type="dxa"/>
              <w:bottom w:w="120" w:type="dxa"/>
              <w:end w:w="150" w:type="dxa"/>
            </w:tcMar>
          </w:tcPr>
          <w:p>
            <w:r>
              <w:rPr>
                <w:b w:val="0"/>
                <w:i w:val="0"/>
                <w:color w:val="1F252B"/>
                <w:sz w:val="18"/>
              </w:rPr>
              <w:t>Vision: structural trends. Your Objectives: advisor and client decision questions. Navigate: firm, channel and platform developments. Enterprise Economics: compensation, equity and succession. Continuity: selected anonymous opportunities when available.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Subscription promise</w:t>
            </w:r>
          </w:p>
        </w:tc>
        <w:tc>
          <w:tcPr>
            <w:tcW w:type="dxa" w:w="7776"/>
            <w:tcMar>
              <w:top w:w="120" w:type="dxa"/>
              <w:start w:w="150" w:type="dxa"/>
              <w:bottom w:w="120" w:type="dxa"/>
              <w:end w:w="150" w:type="dxa"/>
            </w:tcMar>
          </w:tcPr>
          <w:p>
            <w:r>
              <w:rPr>
                <w:b w:val="0"/>
                <w:i w:val="0"/>
                <w:color w:val="1F252B"/>
                <w:sz w:val="18"/>
              </w:rPr>
              <w:t>Useful analysis, a predictable monthly cadence and no automatic firm contact.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Form ask</w:t>
            </w:r>
          </w:p>
        </w:tc>
        <w:tc>
          <w:tcPr>
            <w:tcW w:type="dxa" w:w="7776"/>
            <w:tcMar>
              <w:top w:w="120" w:type="dxa"/>
              <w:start w:w="150" w:type="dxa"/>
              <w:bottom w:w="120" w:type="dxa"/>
              <w:end w:w="150" w:type="dxa"/>
            </w:tcMar>
          </w:tcPr>
          <w:p>
            <w:r>
              <w:rPr>
                <w:b w:val="0"/>
                <w:i w:val="0"/>
                <w:color w:val="1F252B"/>
                <w:sz w:val="18"/>
              </w:rPr>
              <w:t>First name, last name and email. Firm and interests may be requested as optional progressive-profile fields.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Archive</w:t>
            </w:r>
          </w:p>
        </w:tc>
        <w:tc>
          <w:tcPr>
            <w:tcW w:type="dxa" w:w="7776"/>
            <w:tcMar>
              <w:top w:w="120" w:type="dxa"/>
              <w:start w:w="150" w:type="dxa"/>
              <w:bottom w:w="120" w:type="dxa"/>
              <w:end w:w="150" w:type="dxa"/>
            </w:tcMar>
          </w:tcPr>
          <w:p>
            <w:r>
              <w:rPr>
                <w:b w:val="0"/>
                <w:i w:val="0"/>
                <w:color w:val="1F252B"/>
                <w:sz w:val="18"/>
              </w:rPr>
              <w:t>Public issues and cornerstone articles should remain crawlable. Personalized commentary and confidential intelligence remain outside the public archive.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Editorial standard</w:t>
            </w:r>
          </w:p>
        </w:tc>
        <w:tc>
          <w:tcPr>
            <w:tcW w:type="dxa" w:w="7776"/>
            <w:tcMar>
              <w:top w:w="120" w:type="dxa"/>
              <w:start w:w="150" w:type="dxa"/>
              <w:bottom w:w="120" w:type="dxa"/>
              <w:end w:w="150" w:type="dxa"/>
            </w:tcMar>
          </w:tcPr>
          <w:p>
            <w:r>
              <w:rPr>
                <w:b w:val="0"/>
                <w:i w:val="0"/>
                <w:color w:val="1F252B"/>
                <w:sz w:val="18"/>
              </w:rPr>
              <w:t>Every issue should separate verified facts, VYNE analysis, assumptions and open questions.</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Subscribe to the report</w:t>
            </w:r>
          </w:p>
        </w:tc>
        <w:tc>
          <w:tcPr>
            <w:tcW w:type="dxa" w:w="5616"/>
            <w:tcMar>
              <w:top w:w="100" w:type="dxa"/>
              <w:start w:w="110" w:type="dxa"/>
              <w:bottom w:w="100" w:type="dxa"/>
              <w:end w:w="110" w:type="dxa"/>
            </w:tcMar>
            <w:vAlign w:val="top"/>
          </w:tcPr>
          <w:p>
            <w:r>
              <w:rPr>
                <w:b w:val="0"/>
                <w:i w:val="0"/>
                <w:color w:val="1F252B"/>
                <w:sz w:val="16"/>
              </w:rPr>
              <w:t>Low-friction capture</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Browse insights</w:t>
            </w:r>
          </w:p>
        </w:tc>
        <w:tc>
          <w:tcPr>
            <w:tcW w:type="dxa" w:w="5616"/>
            <w:tcMar>
              <w:top w:w="100" w:type="dxa"/>
              <w:start w:w="110" w:type="dxa"/>
              <w:bottom w:w="100" w:type="dxa"/>
              <w:end w:w="110" w:type="dxa"/>
            </w:tcMar>
            <w:vAlign w:val="top"/>
            <w:shd w:fill="F5F7FA"/>
          </w:tcPr>
          <w:p>
            <w:r>
              <w:rPr>
                <w:b w:val="0"/>
                <w:i w:val="0"/>
                <w:color w:val="1F252B"/>
                <w:sz w:val="16"/>
              </w:rPr>
              <w:t>Public research</w:t>
            </w:r>
          </w:p>
        </w:tc>
      </w:tr>
    </w:tbl>
    <w:p>
      <w:pPr>
        <w:pStyle w:val="Heading3"/>
      </w:pPr>
      <w:r>
        <w:t>Advisor questions this page should answer</w:t>
      </w:r>
    </w:p>
    <w:p>
      <w:pPr>
        <w:pStyle w:val="ListBullet"/>
      </w:pPr>
      <w:r>
        <w:t>What are the latest financial advisor recruiting trends?</w:t>
      </w:r>
    </w:p>
    <w:p>
      <w:pPr>
        <w:pStyle w:val="ListBullet"/>
      </w:pPr>
      <w:r>
        <w:t>How are financial advisor compensation and succession changing?</w:t>
      </w:r>
    </w:p>
    <w:p>
      <w:r>
        <w:br w:type="page"/>
      </w:r>
    </w:p>
    <w:p>
      <w:pPr>
        <w:pStyle w:val="Heading2"/>
      </w:pPr>
      <w:r>
        <w:t>17  About and Trust Architecture</w:t>
      </w:r>
    </w:p>
    <w:p>
      <w:pPr>
        <w:pStyle w:val="BodyText"/>
      </w:pPr>
      <w:r>
        <w:t>The About page should be founder-light at launch, but not anonymous. It must show accountability, methodology and professional boundaries.</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About VYNE Strategies | Advisor Decision Intelligence and Consulting</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Learn why VYNE was created, how its advisor-first methodology works and how confidentiality, evidence and permission shape the process.</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Headline</w:t>
            </w:r>
          </w:p>
        </w:tc>
        <w:tc>
          <w:tcPr>
            <w:tcW w:type="dxa" w:w="7776"/>
            <w:tcMar>
              <w:top w:w="120" w:type="dxa"/>
              <w:start w:w="150" w:type="dxa"/>
              <w:bottom w:w="120" w:type="dxa"/>
              <w:end w:w="150" w:type="dxa"/>
            </w:tcMar>
          </w:tcPr>
          <w:p>
            <w:r>
              <w:rPr>
                <w:b w:val="0"/>
                <w:i w:val="0"/>
                <w:color w:val="1F252B"/>
                <w:sz w:val="18"/>
              </w:rPr>
              <w:t>Built for advisors who want to understand the decision before entering the process.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Why VYNE exists</w:t>
            </w:r>
          </w:p>
        </w:tc>
        <w:tc>
          <w:tcPr>
            <w:tcW w:type="dxa" w:w="7776"/>
            <w:tcMar>
              <w:top w:w="120" w:type="dxa"/>
              <w:start w:w="150" w:type="dxa"/>
              <w:bottom w:w="120" w:type="dxa"/>
              <w:end w:w="150" w:type="dxa"/>
            </w:tcMar>
          </w:tcPr>
          <w:p>
            <w:r>
              <w:rPr>
                <w:b w:val="0"/>
                <w:i w:val="0"/>
                <w:color w:val="1F252B"/>
                <w:sz w:val="18"/>
              </w:rPr>
              <w:t>Financial advisors are often approached with destinations before they have defined the problem. VYNE reverses that order: begin with the practice, clients, team, objectives and economics, then determine whether another path deserves consideration.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Methodology</w:t>
            </w:r>
          </w:p>
        </w:tc>
        <w:tc>
          <w:tcPr>
            <w:tcW w:type="dxa" w:w="7776"/>
            <w:tcMar>
              <w:top w:w="120" w:type="dxa"/>
              <w:start w:w="150" w:type="dxa"/>
              <w:bottom w:w="120" w:type="dxa"/>
              <w:end w:w="150" w:type="dxa"/>
            </w:tcMar>
          </w:tcPr>
          <w:p>
            <w:r>
              <w:rPr>
                <w:b w:val="0"/>
                <w:i w:val="0"/>
                <w:color w:val="1F252B"/>
                <w:sz w:val="18"/>
              </w:rPr>
              <w:t>VYNE uses a structured framework, staged information requests, curated firm research, written comparisons and explicit decision gates.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Objectivity statement</w:t>
            </w:r>
          </w:p>
        </w:tc>
        <w:tc>
          <w:tcPr>
            <w:tcW w:type="dxa" w:w="7776"/>
            <w:tcMar>
              <w:top w:w="120" w:type="dxa"/>
              <w:start w:w="150" w:type="dxa"/>
              <w:bottom w:w="120" w:type="dxa"/>
              <w:end w:w="150" w:type="dxa"/>
            </w:tcMar>
          </w:tcPr>
          <w:p>
            <w:r>
              <w:rPr>
                <w:b w:val="0"/>
                <w:i w:val="0"/>
                <w:color w:val="1F252B"/>
                <w:sz w:val="18"/>
              </w:rPr>
              <w:t>VYNE may be compensated by a hiring firm when an advisor joins through an authorized introduction. That compensation model should be disclosed clearly. The current firm remains a formal option throughout the process.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Confidentiality statement</w:t>
            </w:r>
          </w:p>
        </w:tc>
        <w:tc>
          <w:tcPr>
            <w:tcW w:type="dxa" w:w="7776"/>
            <w:tcMar>
              <w:top w:w="120" w:type="dxa"/>
              <w:start w:w="150" w:type="dxa"/>
              <w:bottom w:w="120" w:type="dxa"/>
              <w:end w:w="150" w:type="dxa"/>
            </w:tcMar>
          </w:tcPr>
          <w:p>
            <w:r>
              <w:rPr>
                <w:b w:val="0"/>
                <w:i w:val="0"/>
                <w:color w:val="1F252B"/>
                <w:sz w:val="18"/>
              </w:rPr>
              <w:t>VYNE does not contact an advisor’s firm or disclose the advisor’s identity to another firm without explicit authorization.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Evidence standard</w:t>
            </w:r>
          </w:p>
        </w:tc>
        <w:tc>
          <w:tcPr>
            <w:tcW w:type="dxa" w:w="7776"/>
            <w:tcMar>
              <w:top w:w="120" w:type="dxa"/>
              <w:start w:w="150" w:type="dxa"/>
              <w:bottom w:w="120" w:type="dxa"/>
              <w:end w:w="150" w:type="dxa"/>
            </w:tcMar>
          </w:tcPr>
          <w:p>
            <w:r>
              <w:rPr>
                <w:b w:val="0"/>
                <w:i w:val="0"/>
                <w:color w:val="1F252B"/>
                <w:sz w:val="18"/>
              </w:rPr>
              <w:t>Firm facts, deal intelligence and market observations should include source dates, documentation status and confidence level.</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Founder-light note</w:t>
            </w:r>
          </w:p>
        </w:tc>
        <w:tc>
          <w:tcPr>
            <w:tcW w:type="dxa" w:w="7776"/>
            <w:tcMar>
              <w:top w:w="120" w:type="dxa"/>
              <w:start w:w="150" w:type="dxa"/>
              <w:bottom w:w="120" w:type="dxa"/>
              <w:end w:w="150" w:type="dxa"/>
            </w:tcMar>
          </w:tcPr>
          <w:p>
            <w:r>
              <w:rPr>
                <w:b w:val="0"/>
                <w:i w:val="0"/>
                <w:color w:val="1F252B"/>
                <w:sz w:val="18"/>
              </w:rPr>
              <w:t>The brand and methodology may lead the website, but accountable leadership, contact information and professional history should be available before asking advisors for sensitive information.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Professional boundaries</w:t>
            </w:r>
          </w:p>
        </w:tc>
        <w:tc>
          <w:tcPr>
            <w:tcW w:type="dxa" w:w="7776"/>
            <w:tcMar>
              <w:top w:w="120" w:type="dxa"/>
              <w:start w:w="150" w:type="dxa"/>
              <w:bottom w:w="120" w:type="dxa"/>
              <w:end w:w="150" w:type="dxa"/>
            </w:tcMar>
          </w:tcPr>
          <w:p>
            <w:r>
              <w:rPr>
                <w:b w:val="0"/>
                <w:i w:val="0"/>
                <w:color w:val="1F252B"/>
                <w:sz w:val="18"/>
              </w:rPr>
              <w:t>VYNE is not a law firm, tax adviser or investment adviser and does not guarantee recruiting terms, portability or client retention.</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See how the process works</w:t>
            </w:r>
          </w:p>
        </w:tc>
        <w:tc>
          <w:tcPr>
            <w:tcW w:type="dxa" w:w="5616"/>
            <w:tcMar>
              <w:top w:w="100" w:type="dxa"/>
              <w:start w:w="110" w:type="dxa"/>
              <w:bottom w:w="100" w:type="dxa"/>
              <w:end w:w="110" w:type="dxa"/>
            </w:tcMar>
            <w:vAlign w:val="top"/>
          </w:tcPr>
          <w:p>
            <w:r>
              <w:rPr>
                <w:b w:val="0"/>
                <w:i w:val="0"/>
                <w:color w:val="1F252B"/>
                <w:sz w:val="16"/>
              </w:rPr>
              <w:t>Journey</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Start a confidential conversation</w:t>
            </w:r>
          </w:p>
        </w:tc>
        <w:tc>
          <w:tcPr>
            <w:tcW w:type="dxa" w:w="5616"/>
            <w:tcMar>
              <w:top w:w="100" w:type="dxa"/>
              <w:start w:w="110" w:type="dxa"/>
              <w:bottom w:w="100" w:type="dxa"/>
              <w:end w:w="110" w:type="dxa"/>
            </w:tcMar>
            <w:vAlign w:val="top"/>
            <w:shd w:fill="F5F7FA"/>
          </w:tcPr>
          <w:p>
            <w:r>
              <w:rPr>
                <w:b w:val="0"/>
                <w:i w:val="0"/>
                <w:color w:val="1F252B"/>
                <w:sz w:val="16"/>
              </w:rPr>
              <w:t>Contact</w:t>
            </w:r>
          </w:p>
        </w:tc>
      </w:tr>
    </w:tbl>
    <w:p>
      <w:pPr>
        <w:pStyle w:val="Heading3"/>
      </w:pPr>
      <w:r>
        <w:t>Advisor questions this page should answer</w:t>
      </w:r>
    </w:p>
    <w:p>
      <w:pPr>
        <w:pStyle w:val="ListBullet"/>
      </w:pPr>
      <w:r>
        <w:t>What does a financial advisor recruiting consultant do?</w:t>
      </w:r>
    </w:p>
    <w:p>
      <w:pPr>
        <w:pStyle w:val="ListBullet"/>
      </w:pPr>
      <w:r>
        <w:t>How are external financial advisor recruiters paid?</w:t>
      </w:r>
    </w:p>
    <w:tbl>
      <w:tblPr>
        <w:tblW w:type="auto" w:w="0"/>
        <w:jc w:val="center"/>
        <w:tblLayout w:type="fixed"/>
        <w:tblLook w:firstColumn="1" w:firstRow="1" w:lastColumn="0" w:lastRow="0" w:noHBand="0" w:noVBand="1" w:val="04A0"/>
      </w:tblPr>
      <w:tblGrid>
        <w:gridCol w:w="10166"/>
      </w:tblGrid>
      <w:tr>
        <w:tc>
          <w:tcPr>
            <w:tcW w:type="dxa" w:w="10166"/>
            <w:shd w:fill="F6F0E5"/>
            <w:tcBorders>
              <w:top w:val="single" w:sz="8" w:color="A98545"/>
              <w:left w:val="single" w:sz="8" w:color="A98545"/>
              <w:bottom w:val="single" w:sz="8" w:color="A98545"/>
              <w:right w:val="single" w:sz="8" w:color="A98545"/>
              <w:insideH w:val="single" w:sz="8" w:color="A98545"/>
              <w:insideV w:val="single" w:sz="8" w:color="A98545"/>
            </w:tcBorders>
            <w:tcMar>
              <w:top w:w="140" w:type="dxa"/>
              <w:start w:w="170" w:type="dxa"/>
              <w:bottom w:w="140" w:type="dxa"/>
              <w:end w:w="170" w:type="dxa"/>
            </w:tcMar>
          </w:tcPr>
          <w:p>
            <w:r>
              <w:rPr>
                <w:b/>
                <w:i w:val="0"/>
                <w:color w:val="A98545"/>
                <w:sz w:val="20"/>
              </w:rPr>
              <w:t>Neutral implementation note</w:t>
            </w:r>
          </w:p>
          <w:p>
            <w:r>
              <w:rPr>
                <w:b w:val="0"/>
                <w:i w:val="0"/>
                <w:color w:val="1F252B"/>
                <w:sz w:val="19"/>
              </w:rPr>
              <w:t>Permanently hiding the founder would likely reduce trust and conversion. The launch can be brand-first, but the business should not appear unaccountable.</w:t>
            </w:r>
          </w:p>
        </w:tc>
      </w:tr>
    </w:tbl>
    <w:p/>
    <w:p>
      <w:r>
        <w:br w:type="page"/>
      </w:r>
    </w:p>
    <w:p>
      <w:pPr>
        <w:pStyle w:val="Heading2"/>
      </w:pPr>
      <w:r>
        <w:t>18  FAQ and Confidential Conversation</w:t>
      </w:r>
    </w:p>
    <w:p>
      <w:pPr>
        <w:pStyle w:val="BodyText"/>
      </w:pPr>
      <w:r>
        <w:t>This page removes friction and clearly separates a conversation request from permission to submit an advisor.</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100" w:type="dxa"/>
              <w:start w:w="110" w:type="dxa"/>
              <w:bottom w:w="100" w:type="dxa"/>
              <w:end w:w="110" w:type="dxa"/>
            </w:tcMar>
            <w:vAlign w:val="center"/>
          </w:tcPr>
          <w:p>
            <w:r>
              <w:rPr>
                <w:b/>
                <w:i w:val="0"/>
                <w:color w:val="FFFFFF"/>
                <w:sz w:val="16"/>
              </w:rPr>
              <w:t>Metadata field</w:t>
            </w:r>
          </w:p>
        </w:tc>
        <w:tc>
          <w:tcPr>
            <w:tcW w:type="dxa" w:w="7560"/>
            <w:shd w:fill="12263F"/>
            <w:tcMar>
              <w:top w:w="100" w:type="dxa"/>
              <w:start w:w="110" w:type="dxa"/>
              <w:bottom w:w="100" w:type="dxa"/>
              <w:end w:w="110" w:type="dxa"/>
            </w:tcMar>
            <w:vAlign w:val="center"/>
          </w:tcPr>
          <w:p>
            <w:r>
              <w:rPr>
                <w:b/>
                <w:i w:val="0"/>
                <w:color w:val="FFFFFF"/>
                <w:sz w:val="16"/>
              </w:rPr>
              <w:t>Recommended copy</w:t>
            </w:r>
          </w:p>
        </w:tc>
      </w:tr>
      <w:tr>
        <w:tc>
          <w:tcPr>
            <w:tcW w:type="dxa" w:w="2088"/>
            <w:tcMar>
              <w:top w:w="100" w:type="dxa"/>
              <w:start w:w="110" w:type="dxa"/>
              <w:bottom w:w="100" w:type="dxa"/>
              <w:end w:w="110" w:type="dxa"/>
            </w:tcMar>
            <w:vAlign w:val="top"/>
          </w:tcPr>
          <w:p>
            <w:r>
              <w:rPr>
                <w:b w:val="0"/>
                <w:i w:val="0"/>
                <w:color w:val="1F252B"/>
                <w:sz w:val="16"/>
              </w:rPr>
              <w:t>Title tag</w:t>
            </w:r>
          </w:p>
        </w:tc>
        <w:tc>
          <w:tcPr>
            <w:tcW w:type="dxa" w:w="7560"/>
            <w:tcMar>
              <w:top w:w="100" w:type="dxa"/>
              <w:start w:w="110" w:type="dxa"/>
              <w:bottom w:w="100" w:type="dxa"/>
              <w:end w:w="110" w:type="dxa"/>
            </w:tcMar>
            <w:vAlign w:val="top"/>
          </w:tcPr>
          <w:p>
            <w:r>
              <w:rPr>
                <w:b w:val="0"/>
                <w:i w:val="0"/>
                <w:color w:val="1F252B"/>
                <w:sz w:val="16"/>
              </w:rPr>
              <w:t>Financial Advisor Firm Change FAQ and Confidential Conversation | VYNE</w:t>
            </w:r>
          </w:p>
        </w:tc>
      </w:tr>
      <w:tr>
        <w:tc>
          <w:tcPr>
            <w:tcW w:type="dxa" w:w="2088"/>
            <w:tcMar>
              <w:top w:w="100" w:type="dxa"/>
              <w:start w:w="110" w:type="dxa"/>
              <w:bottom w:w="100" w:type="dxa"/>
              <w:end w:w="110" w:type="dxa"/>
            </w:tcMar>
            <w:vAlign w:val="top"/>
            <w:shd w:fill="F5F7FA"/>
          </w:tcPr>
          <w:p>
            <w:r>
              <w:rPr>
                <w:b w:val="0"/>
                <w:i w:val="0"/>
                <w:color w:val="1F252B"/>
                <w:sz w:val="16"/>
              </w:rPr>
              <w:t>Meta description</w:t>
            </w:r>
          </w:p>
        </w:tc>
        <w:tc>
          <w:tcPr>
            <w:tcW w:type="dxa" w:w="7560"/>
            <w:tcMar>
              <w:top w:w="100" w:type="dxa"/>
              <w:start w:w="110" w:type="dxa"/>
              <w:bottom w:w="100" w:type="dxa"/>
              <w:end w:w="110" w:type="dxa"/>
            </w:tcMar>
            <w:vAlign w:val="top"/>
            <w:shd w:fill="F5F7FA"/>
          </w:tcPr>
          <w:p>
            <w:r>
              <w:rPr>
                <w:b w:val="0"/>
                <w:i w:val="0"/>
                <w:color w:val="1F252B"/>
                <w:sz w:val="16"/>
              </w:rPr>
              <w:t>Get answers about confidentiality, firm introductions, compensation, offer reviews, portability, timing and how to start a private conversation with VYNE.</w:t>
            </w:r>
          </w:p>
        </w:tc>
      </w:tr>
    </w:tbl>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Do I need to be ready to move?</w:t>
            </w:r>
          </w:p>
        </w:tc>
        <w:tc>
          <w:tcPr>
            <w:tcW w:type="dxa" w:w="7776"/>
            <w:tcMar>
              <w:top w:w="120" w:type="dxa"/>
              <w:start w:w="150" w:type="dxa"/>
              <w:bottom w:w="120" w:type="dxa"/>
              <w:end w:w="150" w:type="dxa"/>
            </w:tcMar>
          </w:tcPr>
          <w:p>
            <w:r>
              <w:rPr>
                <w:b w:val="0"/>
                <w:i w:val="0"/>
                <w:color w:val="1F252B"/>
                <w:sz w:val="18"/>
              </w:rPr>
              <w:t>No. Many advisors begin with a question, not a decision. The process may conclude that staying or preparing is the strongest path.</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Will VYNE contact my firm?</w:t>
            </w:r>
          </w:p>
        </w:tc>
        <w:tc>
          <w:tcPr>
            <w:tcW w:type="dxa" w:w="7776"/>
            <w:tcMar>
              <w:top w:w="120" w:type="dxa"/>
              <w:start w:w="150" w:type="dxa"/>
              <w:bottom w:w="120" w:type="dxa"/>
              <w:end w:w="150" w:type="dxa"/>
            </w:tcMar>
          </w:tcPr>
          <w:p>
            <w:r>
              <w:rPr>
                <w:b w:val="0"/>
                <w:i w:val="0"/>
                <w:color w:val="1F252B"/>
                <w:sz w:val="18"/>
              </w:rPr>
              <w:t>Not without explicit authorization. A website inquiry, assessment or conversation does not authorize firm contact.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How many firms will VYNE contact?</w:t>
            </w:r>
          </w:p>
        </w:tc>
        <w:tc>
          <w:tcPr>
            <w:tcW w:type="dxa" w:w="7776"/>
            <w:tcMar>
              <w:top w:w="120" w:type="dxa"/>
              <w:start w:w="150" w:type="dxa"/>
              <w:bottom w:w="120" w:type="dxa"/>
              <w:end w:w="150" w:type="dxa"/>
            </w:tcMar>
          </w:tcPr>
          <w:p>
            <w:r>
              <w:rPr>
                <w:b w:val="0"/>
                <w:i w:val="0"/>
                <w:color w:val="1F252B"/>
                <w:sz w:val="18"/>
              </w:rPr>
              <w:t>VYNE generally recommends a small, advisor-approved set rather than broad simultaneous submission. The exact number depends on the objectives and market.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Does VYNE negotiate my offer?</w:t>
            </w:r>
          </w:p>
        </w:tc>
        <w:tc>
          <w:tcPr>
            <w:tcW w:type="dxa" w:w="7776"/>
            <w:tcMar>
              <w:top w:w="120" w:type="dxa"/>
              <w:start w:w="150" w:type="dxa"/>
              <w:bottom w:w="120" w:type="dxa"/>
              <w:end w:w="150" w:type="dxa"/>
            </w:tcMar>
          </w:tcPr>
          <w:p>
            <w:r>
              <w:rPr>
                <w:b w:val="0"/>
                <w:i w:val="0"/>
                <w:color w:val="1F252B"/>
                <w:sz w:val="18"/>
              </w:rPr>
              <w:t>No. VYNE can analyze the proposal, provide market context, model scenarios and help the advisor prepare questions. The advisor communicates directly with the firm.</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How is VYNE paid?</w:t>
            </w:r>
          </w:p>
        </w:tc>
        <w:tc>
          <w:tcPr>
            <w:tcW w:type="dxa" w:w="7776"/>
            <w:tcMar>
              <w:top w:w="120" w:type="dxa"/>
              <w:start w:w="150" w:type="dxa"/>
              <w:bottom w:w="120" w:type="dxa"/>
              <w:end w:w="150" w:type="dxa"/>
            </w:tcMar>
          </w:tcPr>
          <w:p>
            <w:r>
              <w:rPr>
                <w:b w:val="0"/>
                <w:i w:val="0"/>
                <w:color w:val="1F252B"/>
                <w:sz w:val="18"/>
              </w:rPr>
              <w:t>VYNE may receive a fee from a hiring firm when an advisor joins through an authorized introduction. The specific disclosure and agreement language require professional review.</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Can VYNE review an offer I already received?</w:t>
            </w:r>
          </w:p>
        </w:tc>
        <w:tc>
          <w:tcPr>
            <w:tcW w:type="dxa" w:w="7776"/>
            <w:tcMar>
              <w:top w:w="120" w:type="dxa"/>
              <w:start w:w="150" w:type="dxa"/>
              <w:bottom w:w="120" w:type="dxa"/>
              <w:end w:w="150" w:type="dxa"/>
            </w:tcMar>
          </w:tcPr>
          <w:p>
            <w:r>
              <w:rPr>
                <w:b w:val="0"/>
                <w:i w:val="0"/>
                <w:color w:val="1F252B"/>
                <w:sz w:val="18"/>
              </w:rPr>
              <w:t>Potentially. The analysis depends on the documents, current economic baseline and scope of the engagement.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FAQ: Can VYNE tell me how much of my book will move?</w:t>
            </w:r>
          </w:p>
        </w:tc>
        <w:tc>
          <w:tcPr>
            <w:tcW w:type="dxa" w:w="7776"/>
            <w:tcMar>
              <w:top w:w="120" w:type="dxa"/>
              <w:start w:w="150" w:type="dxa"/>
              <w:bottom w:w="120" w:type="dxa"/>
              <w:end w:w="150" w:type="dxa"/>
            </w:tcMar>
          </w:tcPr>
          <w:p>
            <w:r>
              <w:rPr>
                <w:b w:val="0"/>
                <w:i w:val="0"/>
                <w:color w:val="1F252B"/>
                <w:sz w:val="18"/>
              </w:rPr>
              <w:t>VYNE may provide a range based on data and assumptions. No analysis can guarantee client decisions or eliminate legal and operational risk.</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Conversation headline</w:t>
            </w:r>
          </w:p>
        </w:tc>
        <w:tc>
          <w:tcPr>
            <w:tcW w:type="dxa" w:w="7776"/>
            <w:tcMar>
              <w:top w:w="120" w:type="dxa"/>
              <w:start w:w="150" w:type="dxa"/>
              <w:bottom w:w="120" w:type="dxa"/>
              <w:end w:w="150" w:type="dxa"/>
            </w:tcMar>
          </w:tcPr>
          <w:p>
            <w:r>
              <w:rPr>
                <w:b w:val="0"/>
                <w:i w:val="0"/>
                <w:color w:val="1F252B"/>
                <w:sz w:val="18"/>
              </w:rPr>
              <w:t>Start with the question you are trying to answer.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Conversation body</w:t>
            </w:r>
          </w:p>
        </w:tc>
        <w:tc>
          <w:tcPr>
            <w:tcW w:type="dxa" w:w="7776"/>
            <w:tcMar>
              <w:top w:w="120" w:type="dxa"/>
              <w:start w:w="150" w:type="dxa"/>
              <w:bottom w:w="120" w:type="dxa"/>
              <w:end w:w="150" w:type="dxa"/>
            </w:tcMar>
          </w:tcPr>
          <w:p>
            <w:r>
              <w:rPr>
                <w:b w:val="0"/>
                <w:i w:val="0"/>
                <w:color w:val="1F252B"/>
                <w:sz w:val="18"/>
              </w:rPr>
              <w:t>Share only what you are comfortable sharing. The first conversation is designed to understand the situation and determine whether a structured process would add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Permission checkbox</w:t>
            </w:r>
          </w:p>
        </w:tc>
        <w:tc>
          <w:tcPr>
            <w:tcW w:type="dxa" w:w="7776"/>
            <w:tcMar>
              <w:top w:w="120" w:type="dxa"/>
              <w:start w:w="150" w:type="dxa"/>
              <w:bottom w:w="120" w:type="dxa"/>
              <w:end w:w="150" w:type="dxa"/>
            </w:tcMar>
          </w:tcPr>
          <w:p>
            <w:r>
              <w:rPr>
                <w:b w:val="0"/>
                <w:i w:val="0"/>
                <w:color w:val="1F252B"/>
                <w:sz w:val="18"/>
              </w:rPr>
              <w:t>I understand that submitting this form does not authorize VYNE to contact my firm or submit my identity to another firm.</w:t>
            </w:r>
          </w:p>
        </w:tc>
      </w:tr>
    </w:tbl>
    <w:p>
      <w:pPr>
        <w:spacing w:after="0"/>
      </w:pPr>
    </w:p>
    <w:p>
      <w:pPr>
        <w:pStyle w:val="Heading3"/>
      </w:pPr>
      <w:r>
        <w:t>Calls to action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shd w:fill="12263F"/>
            <w:tcMar>
              <w:top w:w="100" w:type="dxa"/>
              <w:start w:w="110" w:type="dxa"/>
              <w:bottom w:w="100" w:type="dxa"/>
              <w:end w:w="110" w:type="dxa"/>
            </w:tcMar>
            <w:vAlign w:val="center"/>
          </w:tcPr>
          <w:p>
            <w:r>
              <w:rPr>
                <w:b/>
                <w:i w:val="0"/>
                <w:color w:val="FFFFFF"/>
                <w:sz w:val="16"/>
              </w:rPr>
              <w:t>Priority</w:t>
            </w:r>
          </w:p>
        </w:tc>
        <w:tc>
          <w:tcPr>
            <w:tcW w:type="dxa" w:w="2880"/>
            <w:shd w:fill="12263F"/>
            <w:tcMar>
              <w:top w:w="100" w:type="dxa"/>
              <w:start w:w="110" w:type="dxa"/>
              <w:bottom w:w="100" w:type="dxa"/>
              <w:end w:w="110" w:type="dxa"/>
            </w:tcMar>
            <w:vAlign w:val="center"/>
          </w:tcPr>
          <w:p>
            <w:r>
              <w:rPr>
                <w:b/>
                <w:i w:val="0"/>
                <w:color w:val="FFFFFF"/>
                <w:sz w:val="16"/>
              </w:rPr>
              <w:t>CTA</w:t>
            </w:r>
          </w:p>
        </w:tc>
        <w:tc>
          <w:tcPr>
            <w:tcW w:type="dxa" w:w="5616"/>
            <w:shd w:fill="12263F"/>
            <w:tcMar>
              <w:top w:w="100" w:type="dxa"/>
              <w:start w:w="110" w:type="dxa"/>
              <w:bottom w:w="100" w:type="dxa"/>
              <w:end w:w="110" w:type="dxa"/>
            </w:tcMar>
            <w:vAlign w:val="center"/>
          </w:tcPr>
          <w:p>
            <w:r>
              <w:rPr>
                <w:b/>
                <w:i w:val="0"/>
                <w:color w:val="FFFFFF"/>
                <w:sz w:val="16"/>
              </w:rPr>
              <w:t>Purpose</w:t>
            </w:r>
          </w:p>
        </w:tc>
      </w:tr>
      <w:tr>
        <w:tc>
          <w:tcPr>
            <w:tcW w:type="dxa" w:w="1152"/>
            <w:tcMar>
              <w:top w:w="100" w:type="dxa"/>
              <w:start w:w="110" w:type="dxa"/>
              <w:bottom w:w="100" w:type="dxa"/>
              <w:end w:w="110" w:type="dxa"/>
            </w:tcMar>
            <w:vAlign w:val="top"/>
          </w:tcPr>
          <w:p>
            <w:r>
              <w:rPr>
                <w:b w:val="0"/>
                <w:i w:val="0"/>
                <w:color w:val="1F252B"/>
                <w:sz w:val="16"/>
              </w:rPr>
              <w:t>Primary</w:t>
            </w:r>
          </w:p>
        </w:tc>
        <w:tc>
          <w:tcPr>
            <w:tcW w:type="dxa" w:w="2880"/>
            <w:tcMar>
              <w:top w:w="100" w:type="dxa"/>
              <w:start w:w="110" w:type="dxa"/>
              <w:bottom w:w="100" w:type="dxa"/>
              <w:end w:w="110" w:type="dxa"/>
            </w:tcMar>
            <w:vAlign w:val="top"/>
          </w:tcPr>
          <w:p>
            <w:r>
              <w:rPr>
                <w:b w:val="0"/>
                <w:i w:val="0"/>
                <w:color w:val="1F252B"/>
                <w:sz w:val="16"/>
              </w:rPr>
              <w:t>Request a confidential conversation</w:t>
            </w:r>
          </w:p>
        </w:tc>
        <w:tc>
          <w:tcPr>
            <w:tcW w:type="dxa" w:w="5616"/>
            <w:tcMar>
              <w:top w:w="100" w:type="dxa"/>
              <w:start w:w="110" w:type="dxa"/>
              <w:bottom w:w="100" w:type="dxa"/>
              <w:end w:w="110" w:type="dxa"/>
            </w:tcMar>
            <w:vAlign w:val="top"/>
          </w:tcPr>
          <w:p>
            <w:r>
              <w:rPr>
                <w:b w:val="0"/>
                <w:i w:val="0"/>
                <w:color w:val="1F252B"/>
                <w:sz w:val="16"/>
              </w:rPr>
              <w:t>Form</w:t>
            </w:r>
          </w:p>
        </w:tc>
      </w:tr>
      <w:tr>
        <w:tc>
          <w:tcPr>
            <w:tcW w:type="dxa" w:w="1152"/>
            <w:tcMar>
              <w:top w:w="100" w:type="dxa"/>
              <w:start w:w="110" w:type="dxa"/>
              <w:bottom w:w="100" w:type="dxa"/>
              <w:end w:w="110" w:type="dxa"/>
            </w:tcMar>
            <w:vAlign w:val="top"/>
            <w:shd w:fill="F5F7FA"/>
          </w:tcPr>
          <w:p>
            <w:r>
              <w:rPr>
                <w:b w:val="0"/>
                <w:i w:val="0"/>
                <w:color w:val="1F252B"/>
                <w:sz w:val="16"/>
              </w:rPr>
              <w:t>Secondary</w:t>
            </w:r>
          </w:p>
        </w:tc>
        <w:tc>
          <w:tcPr>
            <w:tcW w:type="dxa" w:w="2880"/>
            <w:tcMar>
              <w:top w:w="100" w:type="dxa"/>
              <w:start w:w="110" w:type="dxa"/>
              <w:bottom w:w="100" w:type="dxa"/>
              <w:end w:w="110" w:type="dxa"/>
            </w:tcMar>
            <w:vAlign w:val="top"/>
            <w:shd w:fill="F5F7FA"/>
          </w:tcPr>
          <w:p>
            <w:r>
              <w:rPr>
                <w:b w:val="0"/>
                <w:i w:val="0"/>
                <w:color w:val="1F252B"/>
                <w:sz w:val="16"/>
              </w:rPr>
              <w:t>Subscribe instead</w:t>
            </w:r>
          </w:p>
        </w:tc>
        <w:tc>
          <w:tcPr>
            <w:tcW w:type="dxa" w:w="5616"/>
            <w:tcMar>
              <w:top w:w="100" w:type="dxa"/>
              <w:start w:w="110" w:type="dxa"/>
              <w:bottom w:w="100" w:type="dxa"/>
              <w:end w:w="110" w:type="dxa"/>
            </w:tcMar>
            <w:vAlign w:val="top"/>
            <w:shd w:fill="F5F7FA"/>
          </w:tcPr>
          <w:p>
            <w:r>
              <w:rPr>
                <w:b w:val="0"/>
                <w:i w:val="0"/>
                <w:color w:val="1F252B"/>
                <w:sz w:val="16"/>
              </w:rPr>
              <w:t>Nurture</w:t>
            </w:r>
          </w:p>
        </w:tc>
      </w:tr>
    </w:tbl>
    <w:p>
      <w:pPr>
        <w:pStyle w:val="Heading3"/>
      </w:pPr>
      <w:r>
        <w:t>Advisor questions this page should answer</w:t>
      </w:r>
    </w:p>
    <w:p>
      <w:pPr>
        <w:pStyle w:val="ListBullet"/>
      </w:pPr>
      <w:r>
        <w:t>Is speaking with a financial advisor recruiter confidential?</w:t>
      </w:r>
    </w:p>
    <w:p>
      <w:pPr>
        <w:pStyle w:val="ListBullet"/>
      </w:pPr>
      <w:r>
        <w:t>How are financial advisor recruiters compensated?</w:t>
      </w:r>
    </w:p>
    <w:p>
      <w:pPr>
        <w:pStyle w:val="Heading1"/>
      </w:pPr>
      <w:r>
        <w:t>19  Forms and Microcopy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800"/>
            <w:shd w:fill="12263F"/>
            <w:tcMar>
              <w:top w:w="100" w:type="dxa"/>
              <w:start w:w="110" w:type="dxa"/>
              <w:bottom w:w="100" w:type="dxa"/>
              <w:end w:w="110" w:type="dxa"/>
            </w:tcMar>
            <w:vAlign w:val="center"/>
          </w:tcPr>
          <w:p>
            <w:r>
              <w:rPr>
                <w:b/>
                <w:i w:val="0"/>
                <w:color w:val="FFFFFF"/>
                <w:sz w:val="15"/>
              </w:rPr>
              <w:t>Form</w:t>
            </w:r>
          </w:p>
        </w:tc>
        <w:tc>
          <w:tcPr>
            <w:tcW w:type="dxa" w:w="2736"/>
            <w:shd w:fill="12263F"/>
            <w:tcMar>
              <w:top w:w="100" w:type="dxa"/>
              <w:start w:w="110" w:type="dxa"/>
              <w:bottom w:w="100" w:type="dxa"/>
              <w:end w:w="110" w:type="dxa"/>
            </w:tcMar>
            <w:vAlign w:val="center"/>
          </w:tcPr>
          <w:p>
            <w:r>
              <w:rPr>
                <w:b/>
                <w:i w:val="0"/>
                <w:color w:val="FFFFFF"/>
                <w:sz w:val="15"/>
              </w:rPr>
              <w:t>Initial required fields</w:t>
            </w:r>
          </w:p>
        </w:tc>
        <w:tc>
          <w:tcPr>
            <w:tcW w:type="dxa" w:w="2520"/>
            <w:shd w:fill="12263F"/>
            <w:tcMar>
              <w:top w:w="100" w:type="dxa"/>
              <w:start w:w="110" w:type="dxa"/>
              <w:bottom w:w="100" w:type="dxa"/>
              <w:end w:w="110" w:type="dxa"/>
            </w:tcMar>
            <w:vAlign w:val="center"/>
          </w:tcPr>
          <w:p>
            <w:r>
              <w:rPr>
                <w:b/>
                <w:i w:val="0"/>
                <w:color w:val="FFFFFF"/>
                <w:sz w:val="15"/>
              </w:rPr>
              <w:t>Optional progressive fields</w:t>
            </w:r>
          </w:p>
        </w:tc>
        <w:tc>
          <w:tcPr>
            <w:tcW w:type="dxa" w:w="2592"/>
            <w:shd w:fill="12263F"/>
            <w:tcMar>
              <w:top w:w="100" w:type="dxa"/>
              <w:start w:w="110" w:type="dxa"/>
              <w:bottom w:w="100" w:type="dxa"/>
              <w:end w:w="110" w:type="dxa"/>
            </w:tcMar>
            <w:vAlign w:val="center"/>
          </w:tcPr>
          <w:p>
            <w:r>
              <w:rPr>
                <w:b/>
                <w:i w:val="0"/>
                <w:color w:val="FFFFFF"/>
                <w:sz w:val="15"/>
              </w:rPr>
              <w:t>Success message</w:t>
            </w:r>
          </w:p>
        </w:tc>
      </w:tr>
      <w:tr>
        <w:tc>
          <w:tcPr>
            <w:tcW w:type="dxa" w:w="1800"/>
            <w:tcMar>
              <w:top w:w="100" w:type="dxa"/>
              <w:start w:w="110" w:type="dxa"/>
              <w:bottom w:w="100" w:type="dxa"/>
              <w:end w:w="110" w:type="dxa"/>
            </w:tcMar>
            <w:vAlign w:val="top"/>
          </w:tcPr>
          <w:p>
            <w:r>
              <w:rPr>
                <w:b w:val="0"/>
                <w:i w:val="0"/>
                <w:color w:val="1F252B"/>
                <w:sz w:val="15"/>
              </w:rPr>
              <w:t>Newsletter</w:t>
            </w:r>
          </w:p>
        </w:tc>
        <w:tc>
          <w:tcPr>
            <w:tcW w:type="dxa" w:w="2736"/>
            <w:tcMar>
              <w:top w:w="100" w:type="dxa"/>
              <w:start w:w="110" w:type="dxa"/>
              <w:bottom w:w="100" w:type="dxa"/>
              <w:end w:w="110" w:type="dxa"/>
            </w:tcMar>
            <w:vAlign w:val="top"/>
          </w:tcPr>
          <w:p>
            <w:r>
              <w:rPr>
                <w:b w:val="0"/>
                <w:i w:val="0"/>
                <w:color w:val="1F252B"/>
                <w:sz w:val="15"/>
              </w:rPr>
              <w:t>First name, last name, email</w:t>
            </w:r>
          </w:p>
        </w:tc>
        <w:tc>
          <w:tcPr>
            <w:tcW w:type="dxa" w:w="2520"/>
            <w:tcMar>
              <w:top w:w="100" w:type="dxa"/>
              <w:start w:w="110" w:type="dxa"/>
              <w:bottom w:w="100" w:type="dxa"/>
              <w:end w:w="110" w:type="dxa"/>
            </w:tcMar>
            <w:vAlign w:val="top"/>
          </w:tcPr>
          <w:p>
            <w:r>
              <w:rPr>
                <w:b w:val="0"/>
                <w:i w:val="0"/>
                <w:color w:val="1F252B"/>
                <w:sz w:val="15"/>
              </w:rPr>
              <w:t>Firm, interests</w:t>
            </w:r>
          </w:p>
        </w:tc>
        <w:tc>
          <w:tcPr>
            <w:tcW w:type="dxa" w:w="2592"/>
            <w:tcMar>
              <w:top w:w="100" w:type="dxa"/>
              <w:start w:w="110" w:type="dxa"/>
              <w:bottom w:w="100" w:type="dxa"/>
              <w:end w:w="110" w:type="dxa"/>
            </w:tcMar>
            <w:vAlign w:val="top"/>
          </w:tcPr>
          <w:p>
            <w:r>
              <w:rPr>
                <w:b w:val="0"/>
                <w:i w:val="0"/>
                <w:color w:val="1F252B"/>
                <w:sz w:val="15"/>
              </w:rPr>
              <w:t>You are subscribed. VYNE will send the next Advisor Intelligence Report and selected research related to your interests.</w:t>
            </w:r>
          </w:p>
        </w:tc>
      </w:tr>
      <w:tr>
        <w:tc>
          <w:tcPr>
            <w:tcW w:type="dxa" w:w="1800"/>
            <w:tcMar>
              <w:top w:w="100" w:type="dxa"/>
              <w:start w:w="110" w:type="dxa"/>
              <w:bottom w:w="100" w:type="dxa"/>
              <w:end w:w="110" w:type="dxa"/>
            </w:tcMar>
            <w:vAlign w:val="top"/>
            <w:shd w:fill="F5F7FA"/>
          </w:tcPr>
          <w:p>
            <w:r>
              <w:rPr>
                <w:b w:val="0"/>
                <w:i w:val="0"/>
                <w:color w:val="1F252B"/>
                <w:sz w:val="15"/>
              </w:rPr>
              <w:t>Eight Questions full summary</w:t>
            </w:r>
          </w:p>
        </w:tc>
        <w:tc>
          <w:tcPr>
            <w:tcW w:type="dxa" w:w="2736"/>
            <w:tcMar>
              <w:top w:w="100" w:type="dxa"/>
              <w:start w:w="110" w:type="dxa"/>
              <w:bottom w:w="100" w:type="dxa"/>
              <w:end w:w="110" w:type="dxa"/>
            </w:tcMar>
            <w:vAlign w:val="top"/>
            <w:shd w:fill="F5F7FA"/>
          </w:tcPr>
          <w:p>
            <w:r>
              <w:rPr>
                <w:b w:val="0"/>
                <w:i w:val="0"/>
                <w:color w:val="1F252B"/>
                <w:sz w:val="15"/>
              </w:rPr>
              <w:t>First name, email</w:t>
            </w:r>
          </w:p>
        </w:tc>
        <w:tc>
          <w:tcPr>
            <w:tcW w:type="dxa" w:w="2520"/>
            <w:tcMar>
              <w:top w:w="100" w:type="dxa"/>
              <w:start w:w="110" w:type="dxa"/>
              <w:bottom w:w="100" w:type="dxa"/>
              <w:end w:w="110" w:type="dxa"/>
            </w:tcMar>
            <w:vAlign w:val="top"/>
            <w:shd w:fill="F5F7FA"/>
          </w:tcPr>
          <w:p>
            <w:r>
              <w:rPr>
                <w:b w:val="0"/>
                <w:i w:val="0"/>
                <w:color w:val="1F252B"/>
                <w:sz w:val="15"/>
              </w:rPr>
              <w:t>Firm, timing, T12 range</w:t>
            </w:r>
          </w:p>
        </w:tc>
        <w:tc>
          <w:tcPr>
            <w:tcW w:type="dxa" w:w="2592"/>
            <w:tcMar>
              <w:top w:w="100" w:type="dxa"/>
              <w:start w:w="110" w:type="dxa"/>
              <w:bottom w:w="100" w:type="dxa"/>
              <w:end w:w="110" w:type="dxa"/>
            </w:tcMar>
            <w:vAlign w:val="top"/>
            <w:shd w:fill="F5F7FA"/>
          </w:tcPr>
          <w:p>
            <w:r>
              <w:rPr>
                <w:b w:val="0"/>
                <w:i w:val="0"/>
                <w:color w:val="1F252B"/>
                <w:sz w:val="15"/>
              </w:rPr>
              <w:t>Your directional summary request has been received. No firm contact or submission is authorized.</w:t>
            </w:r>
          </w:p>
        </w:tc>
      </w:tr>
      <w:tr>
        <w:tc>
          <w:tcPr>
            <w:tcW w:type="dxa" w:w="1800"/>
            <w:tcMar>
              <w:top w:w="100" w:type="dxa"/>
              <w:start w:w="110" w:type="dxa"/>
              <w:bottom w:w="100" w:type="dxa"/>
              <w:end w:w="110" w:type="dxa"/>
            </w:tcMar>
            <w:vAlign w:val="top"/>
          </w:tcPr>
          <w:p>
            <w:r>
              <w:rPr>
                <w:b w:val="0"/>
                <w:i w:val="0"/>
                <w:color w:val="1F252B"/>
                <w:sz w:val="15"/>
              </w:rPr>
              <w:t>Confidential conversation</w:t>
            </w:r>
          </w:p>
        </w:tc>
        <w:tc>
          <w:tcPr>
            <w:tcW w:type="dxa" w:w="2736"/>
            <w:tcMar>
              <w:top w:w="100" w:type="dxa"/>
              <w:start w:w="110" w:type="dxa"/>
              <w:bottom w:w="100" w:type="dxa"/>
              <w:end w:w="110" w:type="dxa"/>
            </w:tcMar>
            <w:vAlign w:val="top"/>
          </w:tcPr>
          <w:p>
            <w:r>
              <w:rPr>
                <w:b w:val="0"/>
                <w:i w:val="0"/>
                <w:color w:val="1F252B"/>
                <w:sz w:val="15"/>
              </w:rPr>
              <w:t>Name, email, phone or preferred contact, current firm, reason</w:t>
            </w:r>
          </w:p>
        </w:tc>
        <w:tc>
          <w:tcPr>
            <w:tcW w:type="dxa" w:w="2520"/>
            <w:tcMar>
              <w:top w:w="100" w:type="dxa"/>
              <w:start w:w="110" w:type="dxa"/>
              <w:bottom w:w="100" w:type="dxa"/>
              <w:end w:w="110" w:type="dxa"/>
            </w:tcMar>
            <w:vAlign w:val="top"/>
          </w:tcPr>
          <w:p>
            <w:r>
              <w:rPr>
                <w:b w:val="0"/>
                <w:i w:val="0"/>
                <w:color w:val="1F252B"/>
                <w:sz w:val="15"/>
              </w:rPr>
              <w:t>T12 range, AUM range, team, timing</w:t>
            </w:r>
          </w:p>
        </w:tc>
        <w:tc>
          <w:tcPr>
            <w:tcW w:type="dxa" w:w="2592"/>
            <w:tcMar>
              <w:top w:w="100" w:type="dxa"/>
              <w:start w:w="110" w:type="dxa"/>
              <w:bottom w:w="100" w:type="dxa"/>
              <w:end w:w="110" w:type="dxa"/>
            </w:tcMar>
            <w:vAlign w:val="top"/>
          </w:tcPr>
          <w:p>
            <w:r>
              <w:rPr>
                <w:b w:val="0"/>
                <w:i w:val="0"/>
                <w:color w:val="1F252B"/>
                <w:sz w:val="15"/>
              </w:rPr>
              <w:t>Your request has been received. VYNE will review it and respond through your preferred contact method.</w:t>
            </w:r>
          </w:p>
        </w:tc>
      </w:tr>
      <w:tr>
        <w:tc>
          <w:tcPr>
            <w:tcW w:type="dxa" w:w="1800"/>
            <w:tcMar>
              <w:top w:w="100" w:type="dxa"/>
              <w:start w:w="110" w:type="dxa"/>
              <w:bottom w:w="100" w:type="dxa"/>
              <w:end w:w="110" w:type="dxa"/>
            </w:tcMar>
            <w:vAlign w:val="top"/>
            <w:shd w:fill="F5F7FA"/>
          </w:tcPr>
          <w:p>
            <w:r>
              <w:rPr>
                <w:b w:val="0"/>
                <w:i w:val="0"/>
                <w:color w:val="1F252B"/>
                <w:sz w:val="15"/>
              </w:rPr>
              <w:t>Compare firms</w:t>
            </w:r>
          </w:p>
        </w:tc>
        <w:tc>
          <w:tcPr>
            <w:tcW w:type="dxa" w:w="2736"/>
            <w:tcMar>
              <w:top w:w="100" w:type="dxa"/>
              <w:start w:w="110" w:type="dxa"/>
              <w:bottom w:w="100" w:type="dxa"/>
              <w:end w:w="110" w:type="dxa"/>
            </w:tcMar>
            <w:vAlign w:val="top"/>
            <w:shd w:fill="F5F7FA"/>
          </w:tcPr>
          <w:p>
            <w:r>
              <w:rPr>
                <w:b w:val="0"/>
                <w:i w:val="0"/>
                <w:color w:val="1F252B"/>
                <w:sz w:val="15"/>
              </w:rPr>
              <w:t>Name, email, current firm, firms/models, priorities</w:t>
            </w:r>
          </w:p>
        </w:tc>
        <w:tc>
          <w:tcPr>
            <w:tcW w:type="dxa" w:w="2520"/>
            <w:tcMar>
              <w:top w:w="100" w:type="dxa"/>
              <w:start w:w="110" w:type="dxa"/>
              <w:bottom w:w="100" w:type="dxa"/>
              <w:end w:w="110" w:type="dxa"/>
            </w:tcMar>
            <w:vAlign w:val="top"/>
            <w:shd w:fill="F5F7FA"/>
          </w:tcPr>
          <w:p>
            <w:r>
              <w:rPr>
                <w:b w:val="0"/>
                <w:i w:val="0"/>
                <w:color w:val="1F252B"/>
                <w:sz w:val="15"/>
              </w:rPr>
              <w:t>CRD, T12, AUM, team</w:t>
            </w:r>
          </w:p>
        </w:tc>
        <w:tc>
          <w:tcPr>
            <w:tcW w:type="dxa" w:w="2592"/>
            <w:tcMar>
              <w:top w:w="100" w:type="dxa"/>
              <w:start w:w="110" w:type="dxa"/>
              <w:bottom w:w="100" w:type="dxa"/>
              <w:end w:w="110" w:type="dxa"/>
            </w:tcMar>
            <w:vAlign w:val="top"/>
            <w:shd w:fill="F5F7FA"/>
          </w:tcPr>
          <w:p>
            <w:r>
              <w:rPr>
                <w:b w:val="0"/>
                <w:i w:val="0"/>
                <w:color w:val="1F252B"/>
                <w:sz w:val="15"/>
              </w:rPr>
              <w:t>Your comparison request is private and does not authorize contact with any firm.</w:t>
            </w:r>
          </w:p>
        </w:tc>
      </w:tr>
      <w:tr>
        <w:tc>
          <w:tcPr>
            <w:tcW w:type="dxa" w:w="1800"/>
            <w:tcMar>
              <w:top w:w="100" w:type="dxa"/>
              <w:start w:w="110" w:type="dxa"/>
              <w:bottom w:w="100" w:type="dxa"/>
              <w:end w:w="110" w:type="dxa"/>
            </w:tcMar>
            <w:vAlign w:val="top"/>
          </w:tcPr>
          <w:p>
            <w:r>
              <w:rPr>
                <w:b w:val="0"/>
                <w:i w:val="0"/>
                <w:color w:val="1F252B"/>
                <w:sz w:val="15"/>
              </w:rPr>
              <w:t>Offer review</w:t>
            </w:r>
          </w:p>
        </w:tc>
        <w:tc>
          <w:tcPr>
            <w:tcW w:type="dxa" w:w="2736"/>
            <w:tcMar>
              <w:top w:w="100" w:type="dxa"/>
              <w:start w:w="110" w:type="dxa"/>
              <w:bottom w:w="100" w:type="dxa"/>
              <w:end w:w="110" w:type="dxa"/>
            </w:tcMar>
            <w:vAlign w:val="top"/>
          </w:tcPr>
          <w:p>
            <w:r>
              <w:rPr>
                <w:b w:val="0"/>
                <w:i w:val="0"/>
                <w:color w:val="1F252B"/>
                <w:sz w:val="15"/>
              </w:rPr>
              <w:t>Verified identity, current firm, secure upload</w:t>
            </w:r>
          </w:p>
        </w:tc>
        <w:tc>
          <w:tcPr>
            <w:tcW w:type="dxa" w:w="2520"/>
            <w:tcMar>
              <w:top w:w="100" w:type="dxa"/>
              <w:start w:w="110" w:type="dxa"/>
              <w:bottom w:w="100" w:type="dxa"/>
              <w:end w:w="110" w:type="dxa"/>
            </w:tcMar>
            <w:vAlign w:val="top"/>
          </w:tcPr>
          <w:p>
            <w:r>
              <w:rPr>
                <w:b w:val="0"/>
                <w:i w:val="0"/>
                <w:color w:val="1F252B"/>
                <w:sz w:val="15"/>
              </w:rPr>
              <w:t>Economics baseline, timing</w:t>
            </w:r>
          </w:p>
        </w:tc>
        <w:tc>
          <w:tcPr>
            <w:tcW w:type="dxa" w:w="2592"/>
            <w:tcMar>
              <w:top w:w="100" w:type="dxa"/>
              <w:start w:w="110" w:type="dxa"/>
              <w:bottom w:w="100" w:type="dxa"/>
              <w:end w:w="110" w:type="dxa"/>
            </w:tcMar>
            <w:vAlign w:val="top"/>
          </w:tcPr>
          <w:p>
            <w:r>
              <w:rPr>
                <w:b w:val="0"/>
                <w:i w:val="0"/>
                <w:color w:val="1F252B"/>
                <w:sz w:val="15"/>
              </w:rPr>
              <w:t>Your documents were received through the secure process. VYNE will confirm scope and next steps before beginning analysis.</w:t>
            </w:r>
          </w:p>
        </w:tc>
      </w:tr>
      <w:tr>
        <w:tc>
          <w:tcPr>
            <w:tcW w:type="dxa" w:w="1800"/>
            <w:tcMar>
              <w:top w:w="100" w:type="dxa"/>
              <w:start w:w="110" w:type="dxa"/>
              <w:bottom w:w="100" w:type="dxa"/>
              <w:end w:w="110" w:type="dxa"/>
            </w:tcMar>
            <w:vAlign w:val="top"/>
            <w:shd w:fill="F5F7FA"/>
          </w:tcPr>
          <w:p>
            <w:r>
              <w:rPr>
                <w:b w:val="0"/>
                <w:i w:val="0"/>
                <w:color w:val="1F252B"/>
                <w:sz w:val="15"/>
              </w:rPr>
              <w:t>Continuity network</w:t>
            </w:r>
          </w:p>
        </w:tc>
        <w:tc>
          <w:tcPr>
            <w:tcW w:type="dxa" w:w="2736"/>
            <w:tcMar>
              <w:top w:w="100" w:type="dxa"/>
              <w:start w:w="110" w:type="dxa"/>
              <w:bottom w:w="100" w:type="dxa"/>
              <w:end w:w="110" w:type="dxa"/>
            </w:tcMar>
            <w:vAlign w:val="top"/>
            <w:shd w:fill="F5F7FA"/>
          </w:tcPr>
          <w:p>
            <w:r>
              <w:rPr>
                <w:b w:val="0"/>
                <w:i w:val="0"/>
                <w:color w:val="1F252B"/>
                <w:sz w:val="15"/>
              </w:rPr>
              <w:t>Role, market, firm/model, objective, email</w:t>
            </w:r>
          </w:p>
        </w:tc>
        <w:tc>
          <w:tcPr>
            <w:tcW w:type="dxa" w:w="2520"/>
            <w:tcMar>
              <w:top w:w="100" w:type="dxa"/>
              <w:start w:w="110" w:type="dxa"/>
              <w:bottom w:w="100" w:type="dxa"/>
              <w:end w:w="110" w:type="dxa"/>
            </w:tcMar>
            <w:vAlign w:val="top"/>
            <w:shd w:fill="F5F7FA"/>
          </w:tcPr>
          <w:p>
            <w:r>
              <w:rPr>
                <w:b w:val="0"/>
                <w:i w:val="0"/>
                <w:color w:val="1F252B"/>
                <w:sz w:val="15"/>
              </w:rPr>
              <w:t>CRD, T12/AUM, timing, profile</w:t>
            </w:r>
          </w:p>
        </w:tc>
        <w:tc>
          <w:tcPr>
            <w:tcW w:type="dxa" w:w="2592"/>
            <w:tcMar>
              <w:top w:w="100" w:type="dxa"/>
              <w:start w:w="110" w:type="dxa"/>
              <w:bottom w:w="100" w:type="dxa"/>
              <w:end w:w="110" w:type="dxa"/>
            </w:tcMar>
            <w:vAlign w:val="top"/>
            <w:shd w:fill="F5F7FA"/>
          </w:tcPr>
          <w:p>
            <w:r>
              <w:rPr>
                <w:b w:val="0"/>
                <w:i w:val="0"/>
                <w:color w:val="1F252B"/>
                <w:sz w:val="15"/>
              </w:rPr>
              <w:t>Your information will remain private unless you separately approve a specific introduction.</w:t>
            </w:r>
          </w:p>
        </w:tc>
      </w:tr>
    </w:tbl>
    <w:p>
      <w:pPr>
        <w:pStyle w:val="Heading2"/>
      </w:pPr>
      <w:r>
        <w:t>Button language</w:t>
      </w:r>
    </w:p>
    <w:tbl>
      <w:tblPr>
        <w:tblStyle w:val="TableGrid"/>
        <w:tblW w:type="auto" w:w="0"/>
        <w:jc w:val="center"/>
        <w:tblLayout w:type="fixed"/>
        <w:tblLook w:firstColumn="1" w:firstRow="1" w:lastColumn="0" w:lastRow="0" w:noHBand="0" w:noVBand="1" w:val="04A0"/>
      </w:tblPr>
      <w:tblGrid>
        <w:gridCol w:w="5083"/>
        <w:gridCol w:w="5083"/>
      </w:tblGrid>
      <w:tr>
        <w:tc>
          <w:tcPr>
            <w:tcW w:type="dxa" w:w="4608"/>
            <w:shd w:fill="12263F"/>
            <w:tcMar>
              <w:top w:w="100" w:type="dxa"/>
              <w:start w:w="110" w:type="dxa"/>
              <w:bottom w:w="100" w:type="dxa"/>
              <w:end w:w="110" w:type="dxa"/>
            </w:tcMar>
            <w:vAlign w:val="center"/>
          </w:tcPr>
          <w:p>
            <w:r>
              <w:rPr>
                <w:b/>
                <w:i w:val="0"/>
                <w:color w:val="FFFFFF"/>
                <w:sz w:val="16"/>
              </w:rPr>
              <w:t>Weak or generic</w:t>
            </w:r>
          </w:p>
        </w:tc>
        <w:tc>
          <w:tcPr>
            <w:tcW w:type="dxa" w:w="5040"/>
            <w:shd w:fill="12263F"/>
            <w:tcMar>
              <w:top w:w="100" w:type="dxa"/>
              <w:start w:w="110" w:type="dxa"/>
              <w:bottom w:w="100" w:type="dxa"/>
              <w:end w:w="110" w:type="dxa"/>
            </w:tcMar>
            <w:vAlign w:val="center"/>
          </w:tcPr>
          <w:p>
            <w:r>
              <w:rPr>
                <w:b/>
                <w:i w:val="0"/>
                <w:color w:val="FFFFFF"/>
                <w:sz w:val="16"/>
              </w:rPr>
              <w:t>Recommended</w:t>
            </w:r>
          </w:p>
        </w:tc>
      </w:tr>
      <w:tr>
        <w:tc>
          <w:tcPr>
            <w:tcW w:type="dxa" w:w="4608"/>
            <w:tcMar>
              <w:top w:w="100" w:type="dxa"/>
              <w:start w:w="110" w:type="dxa"/>
              <w:bottom w:w="100" w:type="dxa"/>
              <w:end w:w="110" w:type="dxa"/>
            </w:tcMar>
            <w:vAlign w:val="top"/>
          </w:tcPr>
          <w:p>
            <w:r>
              <w:rPr>
                <w:b w:val="0"/>
                <w:i w:val="0"/>
                <w:color w:val="1F252B"/>
                <w:sz w:val="16"/>
              </w:rPr>
              <w:t>Submit</w:t>
            </w:r>
          </w:p>
        </w:tc>
        <w:tc>
          <w:tcPr>
            <w:tcW w:type="dxa" w:w="5040"/>
            <w:tcMar>
              <w:top w:w="100" w:type="dxa"/>
              <w:start w:w="110" w:type="dxa"/>
              <w:bottom w:w="100" w:type="dxa"/>
              <w:end w:w="110" w:type="dxa"/>
            </w:tcMar>
            <w:vAlign w:val="top"/>
          </w:tcPr>
          <w:p>
            <w:r>
              <w:rPr>
                <w:b w:val="0"/>
                <w:i w:val="0"/>
                <w:color w:val="1F252B"/>
                <w:sz w:val="16"/>
              </w:rPr>
              <w:t>Request my summary</w:t>
            </w:r>
          </w:p>
        </w:tc>
      </w:tr>
      <w:tr>
        <w:tc>
          <w:tcPr>
            <w:tcW w:type="dxa" w:w="4608"/>
            <w:tcMar>
              <w:top w:w="100" w:type="dxa"/>
              <w:start w:w="110" w:type="dxa"/>
              <w:bottom w:w="100" w:type="dxa"/>
              <w:end w:w="110" w:type="dxa"/>
            </w:tcMar>
            <w:vAlign w:val="top"/>
            <w:shd w:fill="F5F7FA"/>
          </w:tcPr>
          <w:p>
            <w:r>
              <w:rPr>
                <w:b w:val="0"/>
                <w:i w:val="0"/>
                <w:color w:val="1F252B"/>
                <w:sz w:val="16"/>
              </w:rPr>
              <w:t>Learn more</w:t>
            </w:r>
          </w:p>
        </w:tc>
        <w:tc>
          <w:tcPr>
            <w:tcW w:type="dxa" w:w="5040"/>
            <w:tcMar>
              <w:top w:w="100" w:type="dxa"/>
              <w:start w:w="110" w:type="dxa"/>
              <w:bottom w:w="100" w:type="dxa"/>
              <w:end w:w="110" w:type="dxa"/>
            </w:tcMar>
            <w:vAlign w:val="top"/>
            <w:shd w:fill="F5F7FA"/>
          </w:tcPr>
          <w:p>
            <w:r>
              <w:rPr>
                <w:b w:val="0"/>
                <w:i w:val="0"/>
                <w:color w:val="1F252B"/>
                <w:sz w:val="16"/>
              </w:rPr>
              <w:t>See how the process works</w:t>
            </w:r>
          </w:p>
        </w:tc>
      </w:tr>
      <w:tr>
        <w:tc>
          <w:tcPr>
            <w:tcW w:type="dxa" w:w="4608"/>
            <w:tcMar>
              <w:top w:w="100" w:type="dxa"/>
              <w:start w:w="110" w:type="dxa"/>
              <w:bottom w:w="100" w:type="dxa"/>
              <w:end w:w="110" w:type="dxa"/>
            </w:tcMar>
            <w:vAlign w:val="top"/>
          </w:tcPr>
          <w:p>
            <w:r>
              <w:rPr>
                <w:b w:val="0"/>
                <w:i w:val="0"/>
                <w:color w:val="1F252B"/>
                <w:sz w:val="16"/>
              </w:rPr>
              <w:t>Contact us</w:t>
            </w:r>
          </w:p>
        </w:tc>
        <w:tc>
          <w:tcPr>
            <w:tcW w:type="dxa" w:w="5040"/>
            <w:tcMar>
              <w:top w:w="100" w:type="dxa"/>
              <w:start w:w="110" w:type="dxa"/>
              <w:bottom w:w="100" w:type="dxa"/>
              <w:end w:w="110" w:type="dxa"/>
            </w:tcMar>
            <w:vAlign w:val="top"/>
          </w:tcPr>
          <w:p>
            <w:r>
              <w:rPr>
                <w:b w:val="0"/>
                <w:i w:val="0"/>
                <w:color w:val="1F252B"/>
                <w:sz w:val="16"/>
              </w:rPr>
              <w:t>Start a confidential conversation</w:t>
            </w:r>
          </w:p>
        </w:tc>
      </w:tr>
      <w:tr>
        <w:tc>
          <w:tcPr>
            <w:tcW w:type="dxa" w:w="4608"/>
            <w:tcMar>
              <w:top w:w="100" w:type="dxa"/>
              <w:start w:w="110" w:type="dxa"/>
              <w:bottom w:w="100" w:type="dxa"/>
              <w:end w:w="110" w:type="dxa"/>
            </w:tcMar>
            <w:vAlign w:val="top"/>
            <w:shd w:fill="F5F7FA"/>
          </w:tcPr>
          <w:p>
            <w:r>
              <w:rPr>
                <w:b w:val="0"/>
                <w:i w:val="0"/>
                <w:color w:val="1F252B"/>
                <w:sz w:val="16"/>
              </w:rPr>
              <w:t>Get started</w:t>
            </w:r>
          </w:p>
        </w:tc>
        <w:tc>
          <w:tcPr>
            <w:tcW w:type="dxa" w:w="5040"/>
            <w:tcMar>
              <w:top w:w="100" w:type="dxa"/>
              <w:start w:w="110" w:type="dxa"/>
              <w:bottom w:w="100" w:type="dxa"/>
              <w:end w:w="110" w:type="dxa"/>
            </w:tcMar>
            <w:vAlign w:val="top"/>
            <w:shd w:fill="F5F7FA"/>
          </w:tcPr>
          <w:p>
            <w:r>
              <w:rPr>
                <w:b w:val="0"/>
                <w:i w:val="0"/>
                <w:color w:val="1F252B"/>
                <w:sz w:val="16"/>
              </w:rPr>
              <w:t>Define what better must mean</w:t>
            </w:r>
          </w:p>
        </w:tc>
      </w:tr>
      <w:tr>
        <w:tc>
          <w:tcPr>
            <w:tcW w:type="dxa" w:w="4608"/>
            <w:tcMar>
              <w:top w:w="100" w:type="dxa"/>
              <w:start w:w="110" w:type="dxa"/>
              <w:bottom w:w="100" w:type="dxa"/>
              <w:end w:w="110" w:type="dxa"/>
            </w:tcMar>
            <w:vAlign w:val="top"/>
          </w:tcPr>
          <w:p>
            <w:r>
              <w:rPr>
                <w:b w:val="0"/>
                <w:i w:val="0"/>
                <w:color w:val="1F252B"/>
                <w:sz w:val="16"/>
              </w:rPr>
              <w:t>View firms</w:t>
            </w:r>
          </w:p>
        </w:tc>
        <w:tc>
          <w:tcPr>
            <w:tcW w:type="dxa" w:w="5040"/>
            <w:tcMar>
              <w:top w:w="100" w:type="dxa"/>
              <w:start w:w="110" w:type="dxa"/>
              <w:bottom w:w="100" w:type="dxa"/>
              <w:end w:w="110" w:type="dxa"/>
            </w:tcMar>
            <w:vAlign w:val="top"/>
          </w:tcPr>
          <w:p>
            <w:r>
              <w:rPr>
                <w:b w:val="0"/>
                <w:i w:val="0"/>
                <w:color w:val="1F252B"/>
                <w:sz w:val="16"/>
              </w:rPr>
              <w:t>Research privately</w:t>
            </w:r>
          </w:p>
        </w:tc>
      </w:tr>
      <w:tr>
        <w:tc>
          <w:tcPr>
            <w:tcW w:type="dxa" w:w="4608"/>
            <w:tcMar>
              <w:top w:w="100" w:type="dxa"/>
              <w:start w:w="110" w:type="dxa"/>
              <w:bottom w:w="100" w:type="dxa"/>
              <w:end w:w="110" w:type="dxa"/>
            </w:tcMar>
            <w:vAlign w:val="top"/>
            <w:shd w:fill="F5F7FA"/>
          </w:tcPr>
          <w:p>
            <w:r>
              <w:rPr>
                <w:b w:val="0"/>
                <w:i w:val="0"/>
                <w:color w:val="1F252B"/>
                <w:sz w:val="16"/>
              </w:rPr>
              <w:t>Upload</w:t>
            </w:r>
          </w:p>
        </w:tc>
        <w:tc>
          <w:tcPr>
            <w:tcW w:type="dxa" w:w="5040"/>
            <w:tcMar>
              <w:top w:w="100" w:type="dxa"/>
              <w:start w:w="110" w:type="dxa"/>
              <w:bottom w:w="100" w:type="dxa"/>
              <w:end w:w="110" w:type="dxa"/>
            </w:tcMar>
            <w:vAlign w:val="top"/>
            <w:shd w:fill="F5F7FA"/>
          </w:tcPr>
          <w:p>
            <w:r>
              <w:rPr>
                <w:b w:val="0"/>
                <w:i w:val="0"/>
                <w:color w:val="1F252B"/>
                <w:sz w:val="16"/>
              </w:rPr>
              <w:t>Request a secure offer review</w:t>
            </w:r>
          </w:p>
        </w:tc>
      </w:tr>
    </w:tbl>
    <w:p>
      <w:pPr>
        <w:pStyle w:val="Heading2"/>
      </w:pPr>
      <w:r>
        <w:t>Error and privacy microcopy</w:t>
      </w:r>
    </w:p>
    <w:p>
      <w:pPr>
        <w:pStyle w:val="ListBullet"/>
      </w:pPr>
      <w:r>
        <w:t>Please enter a professional or personal email you can access privately.</w:t>
      </w:r>
    </w:p>
    <w:p>
      <w:pPr>
        <w:pStyle w:val="ListBullet"/>
      </w:pPr>
      <w:r>
        <w:t>Do not upload client names, account numbers or personally identifiable client information through this form.</w:t>
      </w:r>
    </w:p>
    <w:p>
      <w:pPr>
        <w:pStyle w:val="ListBullet"/>
      </w:pPr>
      <w:r>
        <w:t>Your CRD may be used to verify industry identity; it does not establish book ownership or authority to share client information.</w:t>
      </w:r>
    </w:p>
    <w:p>
      <w:pPr>
        <w:pStyle w:val="ListBullet"/>
      </w:pPr>
      <w:r>
        <w:t>We could not complete the request. No information was submitted. Please try again or contact VYNE through the listed private channel.</w:t>
      </w:r>
    </w:p>
    <w:p>
      <w:pPr>
        <w:pStyle w:val="Heading1"/>
      </w:pPr>
      <w:r>
        <w:t>20  Email and Nurture Copy</w:t>
      </w:r>
    </w:p>
    <w:p>
      <w:pPr>
        <w:pStyle w:val="Heading2"/>
      </w:pPr>
      <w:r>
        <w:t>Newsletter welcome email</w:t>
      </w: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Subject</w:t>
            </w:r>
          </w:p>
        </w:tc>
        <w:tc>
          <w:tcPr>
            <w:tcW w:type="dxa" w:w="7776"/>
            <w:tcMar>
              <w:top w:w="120" w:type="dxa"/>
              <w:start w:w="150" w:type="dxa"/>
              <w:bottom w:w="120" w:type="dxa"/>
              <w:end w:w="150" w:type="dxa"/>
            </w:tcMar>
          </w:tcPr>
          <w:p>
            <w:r>
              <w:rPr>
                <w:b w:val="0"/>
                <w:i w:val="0"/>
                <w:color w:val="1F252B"/>
                <w:sz w:val="18"/>
              </w:rPr>
              <w:t>Welcome to VYNE Advisor Intelligence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Thank you for subscribing. VYNE publishes research for financial advisors evaluating firms, business models, compensation, ownership, succession and long-term enterprise value. You will receive the monthly report and occasional analysis tied to the interests you selected. Subscribing does not place you into a firm process, and VYNE will not contact your firm.</w:t>
            </w:r>
          </w:p>
        </w:tc>
      </w:tr>
    </w:tbl>
    <w:p>
      <w:pPr>
        <w:spacing w:after="0"/>
      </w:pPr>
    </w:p>
    <w:p>
      <w:pPr>
        <w:pStyle w:val="Heading2"/>
      </w:pPr>
      <w:r>
        <w:t>Assessment follow-up</w:t>
      </w: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Subject</w:t>
            </w:r>
          </w:p>
        </w:tc>
        <w:tc>
          <w:tcPr>
            <w:tcW w:type="dxa" w:w="7776"/>
            <w:tcMar>
              <w:top w:w="120" w:type="dxa"/>
              <w:start w:w="150" w:type="dxa"/>
              <w:bottom w:w="120" w:type="dxa"/>
              <w:end w:w="150" w:type="dxa"/>
            </w:tcMar>
          </w:tcPr>
          <w:p>
            <w:r>
              <w:rPr>
                <w:b w:val="0"/>
                <w:i w:val="0"/>
                <w:color w:val="1F252B"/>
                <w:sz w:val="18"/>
              </w:rPr>
              <w:t>Your VYNE assessment summary</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Your responses point to a directional next step, not a recommendation to change firms. The attached or linked summary highlights the questions that appear most important and the information that would be needed before reaching a firm-specific conclusion.</w:t>
            </w:r>
          </w:p>
        </w:tc>
      </w:tr>
    </w:tbl>
    <w:p>
      <w:pPr>
        <w:spacing w:after="0"/>
      </w:pPr>
    </w:p>
    <w:p>
      <w:pPr>
        <w:pStyle w:val="Heading2"/>
      </w:pPr>
      <w:r>
        <w:t>Confidential conversation confirmation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Subject</w:t>
            </w:r>
          </w:p>
        </w:tc>
        <w:tc>
          <w:tcPr>
            <w:tcW w:type="dxa" w:w="7776"/>
            <w:tcMar>
              <w:top w:w="120" w:type="dxa"/>
              <w:start w:w="150" w:type="dxa"/>
              <w:bottom w:w="120" w:type="dxa"/>
              <w:end w:w="150" w:type="dxa"/>
            </w:tcMar>
          </w:tcPr>
          <w:p>
            <w:r>
              <w:rPr>
                <w:b w:val="0"/>
                <w:i w:val="0"/>
                <w:color w:val="1F252B"/>
                <w:sz w:val="18"/>
              </w:rPr>
              <w:t>VYNE received your confidential request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VYNE received your request and will review the information you provided before responding. No firm contact, named submission or document sharing has been authorized. The first conversation will focus on the question you are trying to answer and whether VYNE can add value.</w:t>
            </w:r>
          </w:p>
        </w:tc>
      </w:tr>
    </w:tbl>
    <w:p>
      <w:pPr>
        <w:spacing w:after="0"/>
      </w:pPr>
    </w:p>
    <w:p>
      <w:pPr>
        <w:pStyle w:val="Heading2"/>
      </w:pPr>
      <w:r>
        <w:t>Long-term nurture check-in</w:t>
      </w: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Subject</w:t>
            </w:r>
          </w:p>
        </w:tc>
        <w:tc>
          <w:tcPr>
            <w:tcW w:type="dxa" w:w="7776"/>
            <w:tcMar>
              <w:top w:w="120" w:type="dxa"/>
              <w:start w:w="150" w:type="dxa"/>
              <w:bottom w:w="120" w:type="dxa"/>
              <w:end w:w="150" w:type="dxa"/>
            </w:tcMar>
          </w:tcPr>
          <w:p>
            <w:r>
              <w:rPr>
                <w:b w:val="0"/>
                <w:i w:val="0"/>
                <w:color w:val="1F252B"/>
                <w:sz w:val="18"/>
              </w:rPr>
              <w:t>Has the question changed?</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1872"/>
            <w:shd w:fill="EAF0F6"/>
            <w:tcMar>
              <w:top w:w="120" w:type="dxa"/>
              <w:start w:w="130" w:type="dxa"/>
              <w:bottom w:w="120" w:type="dxa"/>
              <w:end w:w="130" w:type="dxa"/>
            </w:tcMar>
          </w:tcPr>
          <w:p>
            <w:r>
              <w:rPr>
                <w:b/>
                <w:i w:val="0"/>
                <w:color w:val="12263F"/>
                <w:sz w:val="17"/>
              </w:rPr>
              <w:t>Body</w:t>
            </w:r>
          </w:p>
        </w:tc>
        <w:tc>
          <w:tcPr>
            <w:tcW w:type="dxa" w:w="7776"/>
            <w:tcMar>
              <w:top w:w="120" w:type="dxa"/>
              <w:start w:w="150" w:type="dxa"/>
              <w:bottom w:w="120" w:type="dxa"/>
              <w:end w:w="150" w:type="dxa"/>
            </w:tcMar>
          </w:tcPr>
          <w:p>
            <w:r>
              <w:rPr>
                <w:b w:val="0"/>
                <w:i w:val="0"/>
                <w:color w:val="1F252B"/>
                <w:sz w:val="18"/>
              </w:rPr>
              <w:t>When we last spoke, your most useful next step was to remain informed and revisit the decision later. I am reaching out because timing, firm conditions, succession priorities or your team may have changed. There is no assumption that you should restart an active process. Has the question you are trying to answer changed?</w:t>
            </w:r>
          </w:p>
        </w:tc>
      </w:tr>
    </w:tbl>
    <w:p>
      <w:pPr>
        <w:spacing w:after="0"/>
      </w:pPr>
    </w:p>
    <w:p>
      <w:pPr>
        <w:pStyle w:val="Heading1"/>
      </w:pPr>
      <w:r>
        <w:t>21  Launch Editorial Checklist</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12263F"/>
            <w:tcMar>
              <w:top w:w="100" w:type="dxa"/>
              <w:start w:w="110" w:type="dxa"/>
              <w:bottom w:w="100" w:type="dxa"/>
              <w:end w:w="110" w:type="dxa"/>
            </w:tcMar>
            <w:vAlign w:val="center"/>
          </w:tcPr>
          <w:p>
            <w:r>
              <w:rPr>
                <w:b/>
                <w:i w:val="0"/>
                <w:color w:val="FFFFFF"/>
                <w:sz w:val="16"/>
              </w:rPr>
              <w:t>Check</w:t>
            </w:r>
          </w:p>
        </w:tc>
        <w:tc>
          <w:tcPr>
            <w:tcW w:type="dxa" w:w="7848"/>
            <w:shd w:fill="12263F"/>
            <w:tcMar>
              <w:top w:w="100" w:type="dxa"/>
              <w:start w:w="110" w:type="dxa"/>
              <w:bottom w:w="100" w:type="dxa"/>
              <w:end w:w="110" w:type="dxa"/>
            </w:tcMar>
            <w:vAlign w:val="center"/>
          </w:tcPr>
          <w:p>
            <w:r>
              <w:rPr>
                <w:b/>
                <w:i w:val="0"/>
                <w:color w:val="FFFFFF"/>
                <w:sz w:val="16"/>
              </w:rPr>
              <w:t>Launch standard</w:t>
            </w:r>
          </w:p>
        </w:tc>
      </w:tr>
      <w:tr>
        <w:tc>
          <w:tcPr>
            <w:tcW w:type="dxa" w:w="1800"/>
            <w:tcMar>
              <w:top w:w="100" w:type="dxa"/>
              <w:start w:w="110" w:type="dxa"/>
              <w:bottom w:w="100" w:type="dxa"/>
              <w:end w:w="110" w:type="dxa"/>
            </w:tcMar>
            <w:vAlign w:val="top"/>
          </w:tcPr>
          <w:p>
            <w:r>
              <w:rPr>
                <w:b w:val="0"/>
                <w:i w:val="0"/>
                <w:color w:val="1F252B"/>
                <w:sz w:val="16"/>
              </w:rPr>
              <w:t>Claims</w:t>
            </w:r>
          </w:p>
        </w:tc>
        <w:tc>
          <w:tcPr>
            <w:tcW w:type="dxa" w:w="7848"/>
            <w:tcMar>
              <w:top w:w="100" w:type="dxa"/>
              <w:start w:w="110" w:type="dxa"/>
              <w:bottom w:w="100" w:type="dxa"/>
              <w:end w:w="110" w:type="dxa"/>
            </w:tcMar>
            <w:vAlign w:val="top"/>
          </w:tcPr>
          <w:p>
            <w:r>
              <w:rPr>
                <w:b w:val="0"/>
                <w:i w:val="0"/>
                <w:color w:val="1F252B"/>
                <w:sz w:val="16"/>
              </w:rPr>
              <w:t>Every claim is supportable, current and not materially overstated.</w:t>
            </w:r>
          </w:p>
        </w:tc>
      </w:tr>
      <w:tr>
        <w:tc>
          <w:tcPr>
            <w:tcW w:type="dxa" w:w="1800"/>
            <w:tcMar>
              <w:top w:w="100" w:type="dxa"/>
              <w:start w:w="110" w:type="dxa"/>
              <w:bottom w:w="100" w:type="dxa"/>
              <w:end w:w="110" w:type="dxa"/>
            </w:tcMar>
            <w:vAlign w:val="top"/>
            <w:shd w:fill="F5F7FA"/>
          </w:tcPr>
          <w:p>
            <w:r>
              <w:rPr>
                <w:b w:val="0"/>
                <w:i w:val="0"/>
                <w:color w:val="1F252B"/>
                <w:sz w:val="16"/>
              </w:rPr>
              <w:t>Objectivity</w:t>
            </w:r>
          </w:p>
        </w:tc>
        <w:tc>
          <w:tcPr>
            <w:tcW w:type="dxa" w:w="7848"/>
            <w:tcMar>
              <w:top w:w="100" w:type="dxa"/>
              <w:start w:w="110" w:type="dxa"/>
              <w:bottom w:w="100" w:type="dxa"/>
              <w:end w:w="110" w:type="dxa"/>
            </w:tcMar>
            <w:vAlign w:val="top"/>
            <w:shd w:fill="F5F7FA"/>
          </w:tcPr>
          <w:p>
            <w:r>
              <w:rPr>
                <w:b w:val="0"/>
                <w:i w:val="0"/>
                <w:color w:val="1F252B"/>
                <w:sz w:val="16"/>
              </w:rPr>
              <w:t>Staying is presented as a legitimate outcome.</w:t>
            </w:r>
          </w:p>
        </w:tc>
      </w:tr>
      <w:tr>
        <w:tc>
          <w:tcPr>
            <w:tcW w:type="dxa" w:w="1800"/>
            <w:tcMar>
              <w:top w:w="100" w:type="dxa"/>
              <w:start w:w="110" w:type="dxa"/>
              <w:bottom w:w="100" w:type="dxa"/>
              <w:end w:w="110" w:type="dxa"/>
            </w:tcMar>
            <w:vAlign w:val="top"/>
          </w:tcPr>
          <w:p>
            <w:r>
              <w:rPr>
                <w:b w:val="0"/>
                <w:i w:val="0"/>
                <w:color w:val="1F252B"/>
                <w:sz w:val="16"/>
              </w:rPr>
              <w:t>Permission</w:t>
            </w:r>
          </w:p>
        </w:tc>
        <w:tc>
          <w:tcPr>
            <w:tcW w:type="dxa" w:w="7848"/>
            <w:tcMar>
              <w:top w:w="100" w:type="dxa"/>
              <w:start w:w="110" w:type="dxa"/>
              <w:bottom w:w="100" w:type="dxa"/>
              <w:end w:w="110" w:type="dxa"/>
            </w:tcMar>
            <w:vAlign w:val="top"/>
          </w:tcPr>
          <w:p>
            <w:r>
              <w:rPr>
                <w:b w:val="0"/>
                <w:i w:val="0"/>
                <w:color w:val="1F252B"/>
                <w:sz w:val="16"/>
              </w:rPr>
              <w:t>No form implies authorization to contact or submit without a separate step.</w:t>
            </w:r>
          </w:p>
        </w:tc>
      </w:tr>
      <w:tr>
        <w:tc>
          <w:tcPr>
            <w:tcW w:type="dxa" w:w="1800"/>
            <w:tcMar>
              <w:top w:w="100" w:type="dxa"/>
              <w:start w:w="110" w:type="dxa"/>
              <w:bottom w:w="100" w:type="dxa"/>
              <w:end w:w="110" w:type="dxa"/>
            </w:tcMar>
            <w:vAlign w:val="top"/>
            <w:shd w:fill="F5F7FA"/>
          </w:tcPr>
          <w:p>
            <w:r>
              <w:rPr>
                <w:b w:val="0"/>
                <w:i w:val="0"/>
                <w:color w:val="1F252B"/>
                <w:sz w:val="16"/>
              </w:rPr>
              <w:t>Privacy</w:t>
            </w:r>
          </w:p>
        </w:tc>
        <w:tc>
          <w:tcPr>
            <w:tcW w:type="dxa" w:w="7848"/>
            <w:tcMar>
              <w:top w:w="100" w:type="dxa"/>
              <w:start w:w="110" w:type="dxa"/>
              <w:bottom w:w="100" w:type="dxa"/>
              <w:end w:w="110" w:type="dxa"/>
            </w:tcMar>
            <w:vAlign w:val="top"/>
            <w:shd w:fill="F5F7FA"/>
          </w:tcPr>
          <w:p>
            <w:r>
              <w:rPr>
                <w:b w:val="0"/>
                <w:i w:val="0"/>
                <w:color w:val="1F252B"/>
                <w:sz w:val="16"/>
              </w:rPr>
              <w:t>Sensitive data is excluded from public forms; secure workflows are identified.</w:t>
            </w:r>
          </w:p>
        </w:tc>
      </w:tr>
      <w:tr>
        <w:tc>
          <w:tcPr>
            <w:tcW w:type="dxa" w:w="1800"/>
            <w:tcMar>
              <w:top w:w="100" w:type="dxa"/>
              <w:start w:w="110" w:type="dxa"/>
              <w:bottom w:w="100" w:type="dxa"/>
              <w:end w:w="110" w:type="dxa"/>
            </w:tcMar>
            <w:vAlign w:val="top"/>
          </w:tcPr>
          <w:p>
            <w:r>
              <w:rPr>
                <w:b w:val="0"/>
                <w:i w:val="0"/>
                <w:color w:val="1F252B"/>
                <w:sz w:val="16"/>
              </w:rPr>
              <w:t>Founder trust</w:t>
            </w:r>
          </w:p>
        </w:tc>
        <w:tc>
          <w:tcPr>
            <w:tcW w:type="dxa" w:w="7848"/>
            <w:tcMar>
              <w:top w:w="100" w:type="dxa"/>
              <w:start w:w="110" w:type="dxa"/>
              <w:bottom w:w="100" w:type="dxa"/>
              <w:end w:w="110" w:type="dxa"/>
            </w:tcMar>
            <w:vAlign w:val="top"/>
          </w:tcPr>
          <w:p>
            <w:r>
              <w:rPr>
                <w:b w:val="0"/>
                <w:i w:val="0"/>
                <w:color w:val="1F252B"/>
                <w:sz w:val="16"/>
              </w:rPr>
              <w:t>Accountable leadership and contact details exist before high-trust asks launch.</w:t>
            </w:r>
          </w:p>
        </w:tc>
      </w:tr>
      <w:tr>
        <w:tc>
          <w:tcPr>
            <w:tcW w:type="dxa" w:w="1800"/>
            <w:tcMar>
              <w:top w:w="100" w:type="dxa"/>
              <w:start w:w="110" w:type="dxa"/>
              <w:bottom w:w="100" w:type="dxa"/>
              <w:end w:w="110" w:type="dxa"/>
            </w:tcMar>
            <w:vAlign w:val="top"/>
            <w:shd w:fill="F5F7FA"/>
          </w:tcPr>
          <w:p>
            <w:r>
              <w:rPr>
                <w:b w:val="0"/>
                <w:i w:val="0"/>
                <w:color w:val="1F252B"/>
                <w:sz w:val="16"/>
              </w:rPr>
              <w:t>AEO</w:t>
            </w:r>
          </w:p>
        </w:tc>
        <w:tc>
          <w:tcPr>
            <w:tcW w:type="dxa" w:w="7848"/>
            <w:tcMar>
              <w:top w:w="100" w:type="dxa"/>
              <w:start w:w="110" w:type="dxa"/>
              <w:bottom w:w="100" w:type="dxa"/>
              <w:end w:w="110" w:type="dxa"/>
            </w:tcMar>
            <w:vAlign w:val="top"/>
            <w:shd w:fill="F5F7FA"/>
          </w:tcPr>
          <w:p>
            <w:r>
              <w:rPr>
                <w:b w:val="0"/>
                <w:i w:val="0"/>
                <w:color w:val="1F252B"/>
                <w:sz w:val="16"/>
              </w:rPr>
              <w:t>Each public page directly answers a real advisor question in crawlable text.</w:t>
            </w:r>
          </w:p>
        </w:tc>
      </w:tr>
      <w:tr>
        <w:tc>
          <w:tcPr>
            <w:tcW w:type="dxa" w:w="1800"/>
            <w:tcMar>
              <w:top w:w="100" w:type="dxa"/>
              <w:start w:w="110" w:type="dxa"/>
              <w:bottom w:w="100" w:type="dxa"/>
              <w:end w:w="110" w:type="dxa"/>
            </w:tcMar>
            <w:vAlign w:val="top"/>
          </w:tcPr>
          <w:p>
            <w:r>
              <w:rPr>
                <w:b w:val="0"/>
                <w:i w:val="0"/>
                <w:color w:val="1F252B"/>
                <w:sz w:val="16"/>
              </w:rPr>
              <w:t>Conversion</w:t>
            </w:r>
          </w:p>
        </w:tc>
        <w:tc>
          <w:tcPr>
            <w:tcW w:type="dxa" w:w="7848"/>
            <w:tcMar>
              <w:top w:w="100" w:type="dxa"/>
              <w:start w:w="110" w:type="dxa"/>
              <w:bottom w:w="100" w:type="dxa"/>
              <w:end w:w="110" w:type="dxa"/>
            </w:tcMar>
            <w:vAlign w:val="top"/>
          </w:tcPr>
          <w:p>
            <w:r>
              <w:rPr>
                <w:b w:val="0"/>
                <w:i w:val="0"/>
                <w:color w:val="1F252B"/>
                <w:sz w:val="16"/>
              </w:rPr>
              <w:t>Every page offers a next step appropriate to the visitor’s intent.</w:t>
            </w:r>
          </w:p>
        </w:tc>
      </w:tr>
      <w:tr>
        <w:tc>
          <w:tcPr>
            <w:tcW w:type="dxa" w:w="1800"/>
            <w:tcMar>
              <w:top w:w="100" w:type="dxa"/>
              <w:start w:w="110" w:type="dxa"/>
              <w:bottom w:w="100" w:type="dxa"/>
              <w:end w:w="110" w:type="dxa"/>
            </w:tcMar>
            <w:vAlign w:val="top"/>
            <w:shd w:fill="F5F7FA"/>
          </w:tcPr>
          <w:p>
            <w:r>
              <w:rPr>
                <w:b w:val="0"/>
                <w:i w:val="0"/>
                <w:color w:val="1F252B"/>
                <w:sz w:val="16"/>
              </w:rPr>
              <w:t>Evidence</w:t>
            </w:r>
          </w:p>
        </w:tc>
        <w:tc>
          <w:tcPr>
            <w:tcW w:type="dxa" w:w="7848"/>
            <w:tcMar>
              <w:top w:w="100" w:type="dxa"/>
              <w:start w:w="110" w:type="dxa"/>
              <w:bottom w:w="100" w:type="dxa"/>
              <w:end w:w="110" w:type="dxa"/>
            </w:tcMar>
            <w:vAlign w:val="top"/>
            <w:shd w:fill="F5F7FA"/>
          </w:tcPr>
          <w:p>
            <w:r>
              <w:rPr>
                <w:b w:val="0"/>
                <w:i w:val="0"/>
                <w:color w:val="1F252B"/>
                <w:sz w:val="16"/>
              </w:rPr>
              <w:t>Firm profiles use dated sources and evidence labels.</w:t>
            </w:r>
          </w:p>
        </w:tc>
      </w:tr>
      <w:tr>
        <w:tc>
          <w:tcPr>
            <w:tcW w:type="dxa" w:w="1800"/>
            <w:tcMar>
              <w:top w:w="100" w:type="dxa"/>
              <w:start w:w="110" w:type="dxa"/>
              <w:bottom w:w="100" w:type="dxa"/>
              <w:end w:w="110" w:type="dxa"/>
            </w:tcMar>
            <w:vAlign w:val="top"/>
          </w:tcPr>
          <w:p>
            <w:r>
              <w:rPr>
                <w:b w:val="0"/>
                <w:i w:val="0"/>
                <w:color w:val="1F252B"/>
                <w:sz w:val="16"/>
              </w:rPr>
              <w:t>Boundaries</w:t>
            </w:r>
          </w:p>
        </w:tc>
        <w:tc>
          <w:tcPr>
            <w:tcW w:type="dxa" w:w="7848"/>
            <w:tcMar>
              <w:top w:w="100" w:type="dxa"/>
              <w:start w:w="110" w:type="dxa"/>
              <w:bottom w:w="100" w:type="dxa"/>
              <w:end w:w="110" w:type="dxa"/>
            </w:tcMar>
            <w:vAlign w:val="top"/>
          </w:tcPr>
          <w:p>
            <w:r>
              <w:rPr>
                <w:b w:val="0"/>
                <w:i w:val="0"/>
                <w:color w:val="1F252B"/>
                <w:sz w:val="16"/>
              </w:rPr>
              <w:t>Legal, tax, negotiation and portability limits are clearly stated.</w:t>
            </w:r>
          </w:p>
        </w:tc>
      </w:tr>
      <w:tr>
        <w:tc>
          <w:tcPr>
            <w:tcW w:type="dxa" w:w="1800"/>
            <w:tcMar>
              <w:top w:w="100" w:type="dxa"/>
              <w:start w:w="110" w:type="dxa"/>
              <w:bottom w:w="100" w:type="dxa"/>
              <w:end w:w="110" w:type="dxa"/>
            </w:tcMar>
            <w:vAlign w:val="top"/>
            <w:shd w:fill="F5F7FA"/>
          </w:tcPr>
          <w:p>
            <w:r>
              <w:rPr>
                <w:b w:val="0"/>
                <w:i w:val="0"/>
                <w:color w:val="1F252B"/>
                <w:sz w:val="16"/>
              </w:rPr>
              <w:t>Accessibility</w:t>
            </w:r>
          </w:p>
        </w:tc>
        <w:tc>
          <w:tcPr>
            <w:tcW w:type="dxa" w:w="7848"/>
            <w:tcMar>
              <w:top w:w="100" w:type="dxa"/>
              <w:start w:w="110" w:type="dxa"/>
              <w:bottom w:w="100" w:type="dxa"/>
              <w:end w:w="110" w:type="dxa"/>
            </w:tcMar>
            <w:vAlign w:val="top"/>
            <w:shd w:fill="F5F7FA"/>
          </w:tcPr>
          <w:p>
            <w:r>
              <w:rPr>
                <w:b w:val="0"/>
                <w:i w:val="0"/>
                <w:color w:val="1F252B"/>
                <w:sz w:val="16"/>
              </w:rPr>
              <w:t>Headings, contrast, keyboard navigation, labels and mobile forms are tested.</w:t>
            </w:r>
          </w:p>
        </w:tc>
      </w:tr>
      <w:tr>
        <w:tc>
          <w:tcPr>
            <w:tcW w:type="dxa" w:w="1800"/>
            <w:tcMar>
              <w:top w:w="100" w:type="dxa"/>
              <w:start w:w="110" w:type="dxa"/>
              <w:bottom w:w="100" w:type="dxa"/>
              <w:end w:w="110" w:type="dxa"/>
            </w:tcMar>
            <w:vAlign w:val="top"/>
          </w:tcPr>
          <w:p>
            <w:r>
              <w:rPr>
                <w:b w:val="0"/>
                <w:i w:val="0"/>
                <w:color w:val="1F252B"/>
                <w:sz w:val="16"/>
              </w:rPr>
              <w:t>Analytics</w:t>
            </w:r>
          </w:p>
        </w:tc>
        <w:tc>
          <w:tcPr>
            <w:tcW w:type="dxa" w:w="7848"/>
            <w:tcMar>
              <w:top w:w="100" w:type="dxa"/>
              <w:start w:w="110" w:type="dxa"/>
              <w:bottom w:w="100" w:type="dxa"/>
              <w:end w:w="110" w:type="dxa"/>
            </w:tcMar>
            <w:vAlign w:val="top"/>
          </w:tcPr>
          <w:p>
            <w:r>
              <w:rPr>
                <w:b w:val="0"/>
                <w:i w:val="0"/>
                <w:color w:val="1F252B"/>
                <w:sz w:val="16"/>
              </w:rPr>
              <w:t>Assessment, signup, verification and conversation events are measured.</w:t>
            </w:r>
          </w:p>
        </w:tc>
      </w:tr>
      <w:tr>
        <w:tc>
          <w:tcPr>
            <w:tcW w:type="dxa" w:w="1800"/>
            <w:tcMar>
              <w:top w:w="100" w:type="dxa"/>
              <w:start w:w="110" w:type="dxa"/>
              <w:bottom w:w="100" w:type="dxa"/>
              <w:end w:w="110" w:type="dxa"/>
            </w:tcMar>
            <w:vAlign w:val="top"/>
            <w:shd w:fill="F5F7FA"/>
          </w:tcPr>
          <w:p>
            <w:r>
              <w:rPr>
                <w:b w:val="0"/>
                <w:i w:val="0"/>
                <w:color w:val="1F252B"/>
                <w:sz w:val="16"/>
              </w:rPr>
              <w:t>Review cadence</w:t>
            </w:r>
          </w:p>
        </w:tc>
        <w:tc>
          <w:tcPr>
            <w:tcW w:type="dxa" w:w="7848"/>
            <w:tcMar>
              <w:top w:w="100" w:type="dxa"/>
              <w:start w:w="110" w:type="dxa"/>
              <w:bottom w:w="100" w:type="dxa"/>
              <w:end w:w="110" w:type="dxa"/>
            </w:tcMar>
            <w:vAlign w:val="top"/>
            <w:shd w:fill="F5F7FA"/>
          </w:tcPr>
          <w:p>
            <w:r>
              <w:rPr>
                <w:b w:val="0"/>
                <w:i w:val="0"/>
                <w:color w:val="1F252B"/>
                <w:sz w:val="16"/>
              </w:rPr>
              <w:t>Time-sensitive pages have an owner and next-review date.</w:t>
            </w:r>
          </w:p>
        </w:tc>
      </w:tr>
    </w:tbl>
    <w:tbl>
      <w:tblPr>
        <w:tblW w:type="auto" w:w="0"/>
        <w:jc w:val="center"/>
        <w:tblLayout w:type="fixed"/>
        <w:tblLook w:firstColumn="1" w:firstRow="1" w:lastColumn="0" w:lastRow="0" w:noHBand="0" w:noVBand="1" w:val="04A0"/>
      </w:tblPr>
      <w:tblGrid>
        <w:gridCol w:w="10166"/>
      </w:tblGrid>
      <w:tr>
        <w:tc>
          <w:tcPr>
            <w:tcW w:type="dxa" w:w="10166"/>
            <w:shd w:fill="EAF0F6"/>
            <w:tcBorders>
              <w:top w:val="single" w:sz="8" w:color="12263F"/>
              <w:left w:val="single" w:sz="8" w:color="12263F"/>
              <w:bottom w:val="single" w:sz="8" w:color="12263F"/>
              <w:right w:val="single" w:sz="8" w:color="12263F"/>
              <w:insideH w:val="single" w:sz="8" w:color="12263F"/>
              <w:insideV w:val="single" w:sz="8" w:color="12263F"/>
            </w:tcBorders>
            <w:tcMar>
              <w:top w:w="140" w:type="dxa"/>
              <w:start w:w="170" w:type="dxa"/>
              <w:bottom w:w="140" w:type="dxa"/>
              <w:end w:w="170" w:type="dxa"/>
            </w:tcMar>
          </w:tcPr>
          <w:p>
            <w:r>
              <w:rPr>
                <w:b/>
                <w:i w:val="0"/>
                <w:color w:val="12263F"/>
                <w:sz w:val="20"/>
              </w:rPr>
              <w:t>Final copy position</w:t>
            </w:r>
          </w:p>
          <w:p>
            <w:r>
              <w:rPr>
                <w:b w:val="0"/>
                <w:i w:val="0"/>
                <w:color w:val="1F252B"/>
                <w:sz w:val="19"/>
              </w:rPr>
              <w:t>VYNE should sound like a disciplined advisor consulting and intelligence business that is capable of saying “stay,” not like a recruiter attempting to create urgency. The strongest conversion mechanism is not withholding all useful information. It is showing the quality of VYNE’s thinking while reserving the advisor-specific answer for a confidential relationship.</w:t>
            </w:r>
          </w:p>
        </w:tc>
      </w:tr>
    </w:tbl>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570"/>
        <w:sz w:val="15"/>
      </w:rPr>
      <w:t xml:space="preserve">CONFIDENTIAL - FOR STRATEGIC PLANNING  |  </w:t>
    </w:r>
    <w:r>
      <w:rPr>
        <w:rFonts w:ascii="Aptos" w:hAnsi="Aptos"/>
        <w:color w:val="5C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3" w:color="D5DBE3"/>
      </w:pBdr>
    </w:pPr>
    <w:r>
      <w:rPr>
        <w:b/>
        <w:i w:val="0"/>
        <w:color w:val="5C6570"/>
        <w:sz w:val="16"/>
      </w:rPr>
      <w:t>VYNE STRATEGIES  |  WEBSITE COPY DECK &amp; MESSAGING SYSTEM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F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63F"/>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22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26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C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403" w:right="403"/>
    </w:pPr>
    <w:rPr>
      <w:rFonts w:ascii="Aptos" w:hAnsi="Aptos"/>
      <w:i/>
      <w:color w:val="1226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ai-features" TargetMode="External"/><Relationship Id="rId12" Type="http://schemas.openxmlformats.org/officeDocument/2006/relationships/hyperlink" Target="https://developers.google.com/search/docs/fundamentals/ai-optimization-guide" TargetMode="External"/><Relationship Id="rId13" Type="http://schemas.openxmlformats.org/officeDocument/2006/relationships/hyperlink" Target="https://developers.google.com/search/blog/2025/05/succeeding-in-ai-search" TargetMode="External"/><Relationship Id="rId14" Type="http://schemas.openxmlformats.org/officeDocument/2006/relationships/hyperlink" Target="https://developers.openai.com/api/docs/bots" TargetMode="External"/><Relationship Id="rId15" Type="http://schemas.openxmlformats.org/officeDocument/2006/relationships/hyperlink" Target="https://help.openai.com/en/articles/12627856-publishers-and-developers-faq" TargetMode="External"/><Relationship Id="rId16" Type="http://schemas.openxmlformats.org/officeDocument/2006/relationships/hyperlink" Target="https://blogs.bing.com/webmaster/February-2026/Introducing-AI-Performance-in-Bing-Webmaster-Tools-Public-Preview" TargetMode="External"/><Relationship Id="rId17" Type="http://schemas.openxmlformats.org/officeDocument/2006/relationships/hyperlink" Target="https://blogs.bing.com/search/June-2026/New-AI-Visibility-Insights-in-Bing-Webmaster-Tools-Intents-Topics-Citation-Share-Compare" TargetMode="External"/><Relationship Id="rId18" Type="http://schemas.openxmlformats.org/officeDocument/2006/relationships/hyperlink" Target="https://developers.google.com/search/docs/fundamentals/using-gen-ai-content" TargetMode="External"/><Relationship Id="rId19" Type="http://schemas.openxmlformats.org/officeDocument/2006/relationships/hyperlink" Target="https://www.linkedin.com/business/marketing/blog/financial-services" TargetMode="External"/><Relationship Id="rId20" Type="http://schemas.openxmlformats.org/officeDocument/2006/relationships/hyperlink" Target="https://www.linkedin.com/business/marketing/blog/targeting" TargetMode="External"/><Relationship Id="rId21" Type="http://schemas.openxmlformats.org/officeDocument/2006/relationships/hyperlink" Target="https://www.linkedin.com/business/marketing/blog/linkedin-ads/a-new-guide-how-top-prove-the-value-of-b2b-marketing" TargetMode="External"/><Relationship Id="rId22" Type="http://schemas.openxmlformats.org/officeDocument/2006/relationships/hyperlink" Target="https://spartan-advisory.com/" TargetMode="External"/><Relationship Id="rId23" Type="http://schemas.openxmlformats.org/officeDocument/2006/relationships/hyperlink" Target="https://www.diamond-consultants.com/" TargetMode="External"/><Relationship Id="rId24" Type="http://schemas.openxmlformats.org/officeDocument/2006/relationships/hyperlink" Target="https://www.bridgemarkstrategies.com/" TargetMode="External"/><Relationship Id="rId25" Type="http://schemas.openxmlformats.org/officeDocument/2006/relationships/hyperlink" Target="https://eliteconsultingpartners.com/" TargetMode="External"/><Relationship Id="rId26" Type="http://schemas.openxmlformats.org/officeDocument/2006/relationships/hyperlink" Target="https://f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