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sz w:val="32"/>
        </w:rPr>
        <w:t>Manual de instalación</w:t>
      </w:r>
    </w:p>
    <w:p>
      <w:pPr>
        <w:spacing w:after="120"/>
        <w:jc w:val="center"/>
        <w:shd w:val="clear" w:color="auto" w:fill="70AD47"/>
      </w:pPr>
      <w:r>
        <w:rPr>
          <w:rFonts w:ascii="Calibri" w:hAnsi="Calibri"/>
          <w:b/>
          <w:color w:val="FFFFFF"/>
          <w:sz w:val="28"/>
        </w:rPr>
        <w:t>MX01-274906 - Portal Retail - Mejora 4 - Alta usuario 1a vez con OTP</w:t>
      </w:r>
    </w:p>
    <w:p/>
    <w:p>
      <w:pPr>
        <w:spacing w:after="80"/>
      </w:pPr>
      <w:r>
        <w:rPr>
          <w:rFonts w:ascii="Calibri" w:hAnsi="Calibri"/>
          <w:b/>
          <w:color w:val="70AD47"/>
          <w:sz w:val="24"/>
        </w:rPr>
        <w:t>1.- Componentes afectados: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E0B3"/>
          <w:left w:val="single" w:sz="4" w:space="0" w:color="C5E0B3"/>
          <w:bottom w:val="single" w:sz="4" w:space="0" w:color="C5E0B3"/>
          <w:right w:val="single" w:sz="4" w:space="0" w:color="C5E0B3"/>
          <w:insideH w:val="single" w:sz="4" w:space="0" w:color="C5E0B3"/>
          <w:insideV w:val="single" w:sz="4" w:space="0" w:color="C5E0B3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1881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ESTATUS</w:t>
            </w:r>
          </w:p>
        </w:tc>
        <w:tc>
          <w:tcPr>
            <w:tcW w:type="dxa" w:w="1881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881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CONTENEDOR</w:t>
            </w:r>
          </w:p>
        </w:tc>
        <w:tc>
          <w:tcPr>
            <w:tcW w:type="dxa" w:w="1881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UBICACIÓN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MxAuthenticationApi.zip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modificado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.zip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IIS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QA: 10.42.55.25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SecurityGlobalApp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modificado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Scripts SQL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SecurityGlobalApp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SecurityGlobalApp | QA: 10.42.55.30</w:t>
            </w:r>
          </w:p>
        </w:tc>
      </w:tr>
    </w:tbl>
    <w:p/>
    <w:p>
      <w:pPr>
        <w:spacing w:after="120"/>
      </w:pPr>
      <w:r>
        <w:rPr>
          <w:rFonts w:ascii="Calibri" w:hAnsi="Calibri"/>
          <w:i/>
          <w:sz w:val="20"/>
        </w:rPr>
        <w:t>NOTA: Los componentes relacionados en este listado deberán ser respaldados y actualizados en caso de que existan, y en caso de no existir deberán ser agregados en la ruta especificada.</w:t>
      </w:r>
    </w:p>
    <w:p/>
    <w:p>
      <w:pPr>
        <w:spacing w:after="80"/>
      </w:pPr>
      <w:r>
        <w:rPr>
          <w:rFonts w:ascii="Calibri" w:hAnsi="Calibri"/>
          <w:b/>
          <w:color w:val="70AD47"/>
          <w:sz w:val="24"/>
        </w:rPr>
        <w:t>2.- Proceso</w:t>
      </w:r>
    </w:p>
    <w:p/>
    <w:p>
      <w:pPr>
        <w:spacing w:after="80"/>
      </w:pPr>
      <w:r>
        <w:rPr>
          <w:rFonts w:ascii="Calibri" w:hAnsi="Calibri"/>
          <w:b/>
          <w:sz w:val="22"/>
        </w:rPr>
        <w:t>1.- SQL</w:t>
      </w:r>
    </w:p>
    <w:p>
      <w:pPr>
        <w:spacing w:after="40"/>
        <w:ind w:left="283"/>
      </w:pPr>
      <w:r>
        <w:rPr>
          <w:rFonts w:ascii="Calibri" w:hAnsi="Calibri"/>
          <w:b/>
          <w:sz w:val="22"/>
        </w:rPr>
        <w:t xml:space="preserve">1.1.- </w:t>
      </w:r>
      <w:r>
        <w:rPr>
          <w:rFonts w:ascii="Calibri" w:hAnsi="Calibri"/>
          <w:sz w:val="22"/>
        </w:rPr>
        <w:t>En la Base de Datos SecurityGlobalApp en el servidor QA (10.42.55.30):</w:t>
      </w:r>
    </w:p>
    <w:p>
      <w:pPr>
        <w:spacing w:after="40"/>
        <w:ind w:left="283"/>
      </w:pPr>
      <w:r>
        <w:rPr>
          <w:rFonts w:ascii="Calibri" w:hAnsi="Calibri"/>
          <w:b/>
          <w:sz w:val="22"/>
        </w:rPr>
        <w:t xml:space="preserve">1.2.- </w:t>
      </w:r>
      <w:r>
        <w:rPr>
          <w:rFonts w:ascii="Calibri" w:hAnsi="Calibri"/>
          <w:sz w:val="22"/>
        </w:rPr>
        <w:t xml:space="preserve">Ejecutar el script </w:t>
      </w:r>
      <w:r>
        <w:rPr>
          <w:rFonts w:ascii="Calibri" w:hAnsi="Calibri"/>
          <w:b/>
          <w:sz w:val="22"/>
        </w:rPr>
        <w:t>"alter_table_OTP_Abierto_add_column.sql"</w:t>
      </w:r>
    </w:p>
    <w:p>
      <w:pPr>
        <w:spacing w:after="80"/>
      </w:pPr>
      <w:r>
        <w:rPr>
          <w:rFonts w:ascii="Calibri" w:hAnsi="Calibri"/>
          <w:b/>
          <w:sz w:val="22"/>
        </w:rPr>
        <w:t>2.- API</w:t>
      </w:r>
    </w:p>
    <w:p>
      <w:pPr>
        <w:spacing w:after="40"/>
        <w:ind w:left="283"/>
      </w:pPr>
      <w:r>
        <w:rPr>
          <w:rFonts w:ascii="Calibri" w:hAnsi="Calibri"/>
          <w:b/>
          <w:sz w:val="22"/>
        </w:rPr>
        <w:t xml:space="preserve">2.1.- </w:t>
      </w:r>
      <w:r>
        <w:rPr>
          <w:rFonts w:ascii="Calibri" w:hAnsi="Calibri"/>
          <w:sz w:val="22"/>
        </w:rPr>
        <w:t>En el servidor de servicios en QA (10.42.55.25):</w:t>
      </w:r>
    </w:p>
    <w:p>
      <w:pPr>
        <w:spacing w:after="40"/>
        <w:ind w:left="283"/>
      </w:pPr>
      <w:r>
        <w:rPr>
          <w:rFonts w:ascii="Calibri" w:hAnsi="Calibri"/>
          <w:b/>
          <w:sz w:val="22"/>
        </w:rPr>
        <w:t xml:space="preserve">2.2.- </w:t>
      </w:r>
      <w:r>
        <w:rPr>
          <w:rFonts w:ascii="Calibri" w:hAnsi="Calibri"/>
          <w:sz w:val="22"/>
        </w:rPr>
        <w:t xml:space="preserve">Actualizar el servicio </w:t>
      </w:r>
      <w:r>
        <w:rPr>
          <w:rFonts w:ascii="Calibri" w:hAnsi="Calibri"/>
          <w:b/>
          <w:sz w:val="22"/>
        </w:rPr>
        <w:t>"MxAuthenticationApi"</w:t>
      </w:r>
      <w:r>
        <w:rPr>
          <w:rFonts w:ascii="Calibri" w:hAnsi="Calibri"/>
          <w:sz w:val="22"/>
        </w:rPr>
        <w:t xml:space="preserve"> con el contenido del zip </w:t>
      </w:r>
      <w:r>
        <w:rPr>
          <w:rFonts w:ascii="Calibri" w:hAnsi="Calibri"/>
          <w:b/>
          <w:sz w:val="22"/>
        </w:rPr>
        <w:t>"MxAuthenticationApi.zip"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  <w:sz w:val="18"/>
        <w:szCs w:val="18"/>
      </w:rPr>
      <w:t>Autor: Manuel García González</w:t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>31 de marzo del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