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SDLC-Harness</w:t>
      </w:r>
    </w:p>
    <w:p>
      <w:pPr>
        <w:spacing w:after="60"/>
      </w:pPr>
      <w:r>
        <w:rPr>
          <w:sz w:val="28"/>
          <w:szCs w:val="28"/>
        </w:rPr>
        <w:t xml:space="preserve">Admin and DevOps setup guide</w:t>
      </w:r>
    </w:p>
    <w:p>
      <w:pPr>
        <w:spacing w:after="240"/>
      </w:pPr>
      <w:r>
        <w:rPr>
          <w:color w:val="595959"/>
          <w:sz w:val="20"/>
          <w:szCs w:val="20"/>
        </w:rPr>
        <w:t xml:space="preserve">Version 1.0 · 13 October 2026</w:t>
      </w:r>
    </w:p>
    <w:p>
      <w:pPr>
        <w:spacing w:after="120"/>
      </w:pPr>
      <w:r>
        <w:t xml:space="preserve">This guide is for the GitHub organization admin and the DevOps team. It lists what must be in place before developers can run the SDLC-Harness on a service repository: the organization-level setup done once, and the settings and files added once per service repository. Developers follow the separate </w:t>
      </w:r>
      <w:r>
        <w:rPr>
          <w:b/>
          <w:bCs/>
        </w:rPr>
        <w:t xml:space="preserve">Developer guide</w:t>
      </w:r>
      <w:r>
        <w:t xml:space="preserve"> for everything after that.</w:t>
      </w:r>
    </w:p>
    <w:p>
      <w:pPr>
        <w:spacing w:after="120"/>
      </w:pPr>
      <w:r>
        <w:t xml:space="preserve">The harness runs in GitHub Actions on GitHub-hosted runners. It reads a story, drives GitHub Copilot through ten phases with automated checks between them, and opens a pull request. It never merges, never deploys and never publishes a build.</w:t>
      </w:r>
    </w:p>
    <w:p>
      <w:pPr>
        <w:pStyle w:val="Heading2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 often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 the shared repositories exist: engine, toolkit, library store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 service repositories call the engine’s reusable workflow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Organization / engine repo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COPILOT_GITHUB_TOKEN</w:t>
            </w:r>
            <w:r>
              <w:t xml:space="preserve"> token and add it as a secret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repo (or organization)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Once per repo; rotate on expiry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Actions and branch settings on the service repo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repo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Once per repo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Publish the service’s internal libraries to the library store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Library store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Once per repo; again for new internal dependencies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the caller workflow to the default and release branches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repo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Once per repo; on each new release branch it is inherited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 over to the developers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repo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Once per repo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EAF1FB" w:val="clear"/>
        <w:spacing w:after="160" w:before="60"/>
        <w:ind w:left="200"/>
      </w:pPr>
      <w:r>
        <w:rPr>
          <w:b/>
          <w:bCs/>
        </w:rPr>
        <w:t xml:space="preserve">No action needed: Copilot model access.</w:t>
      </w:r>
      <w:r>
        <w:t xml:space="preserve"> The organization policy “Allow use of Copilot CLI billed to the organization” is already enabled. Model calls use the built-in Actions token, billed to the organization; no separate model token is required.</w:t>
      </w:r>
    </w:p>
    <w:p>
      <w:pPr>
        <w:pStyle w:val="Heading1"/>
      </w:pPr>
      <w:r>
        <w:t xml:space="preserve">Part A — Organization setup (once)</w:t>
      </w:r>
    </w:p>
    <w:p>
      <w:pPr>
        <w:pStyle w:val="Heading2"/>
      </w:pPr>
      <w:r>
        <w:t xml:space="preserve">Step 1. Shared repositories</w:t>
      </w:r>
    </w:p>
    <w:p>
      <w:pPr>
        <w:spacing w:after="120"/>
      </w:pPr>
      <w:r>
        <w:t xml:space="preserve">Three shared repositories serve every service. Confirm each exists and note its exact name and branch; the caller workflow in Step 6 refers to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60"/>
        <w:gridCol w:w="28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to confirm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SDLC-Harness (engine)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Python engine and the reusable workflow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.github/workflows/harness.yml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</w:t>
            </w:r>
            <w:r>
              <w:t xml:space="preserve"> exists and points at the approved release.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Toolkit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dx_copilot-standards-workspace</w:t>
            </w:r>
            <w:r>
              <w:t xml:space="preserve">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skills/</w:t>
            </w:r>
            <w:r>
              <w:t xml:space="preserve">) and instruction files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instructions/</w:t>
            </w:r>
            <w:r>
              <w:t xml:space="preserve">) the harness gives the model.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Its default branch name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master</w:t>
            </w:r>
            <w:r>
              <w:t xml:space="preserve"> at BCBSM). Protect it so changes arrive only by reviewed PR.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Library store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maven-libs</w:t>
            </w:r>
            <w:r>
              <w:t xml:space="preserve">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Internal Maven libraries laid out like the artifact repository, plus a bundled Maven under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tools/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Exists and is private. Needed because GitHub-hosted runners cannot reach the company artifact repository.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EAF1FB" w:val="clear"/>
        <w:spacing w:after="160" w:before="60"/>
        <w:ind w:left="200"/>
      </w:pPr>
      <w:r>
        <w:rPr>
          <w:b/>
          <w:bCs/>
        </w:rPr>
        <w:t xml:space="preserve">Moving the `v1` tag changes every service at once.</w:t>
      </w:r>
      <w:r>
        <w:t xml:space="preserve"> All callers run </w:t>
      </w:r>
      <w:r>
        <w:rPr>
          <w:rFonts w:ascii="Consolas" w:cs="Consolas" w:eastAsia="Consolas" w:hAnsi="Consolas"/>
          <w:sz w:val="19"/>
          <w:szCs w:val="19"/>
        </w:rPr>
        <w:t xml:space="preserve">harness.yml@v1</w:t>
      </w:r>
      <w:r>
        <w:t xml:space="preserve">, so the next run of every repository picks up the new engine and workflow. Announce each move to the pilot developers, and check the workflow diff for lost settings before re-tagging.</w:t>
      </w:r>
    </w:p>
    <w:p>
      <w:pPr>
        <w:pStyle w:val="Heading2"/>
      </w:pPr>
      <w:r>
        <w:t xml:space="preserve">Step 2. Allow service repositories to use the engine workflow</w:t>
      </w:r>
    </w:p>
    <w:p>
      <w:pPr>
        <w:spacing w:after="120"/>
      </w:pPr>
      <w:r>
        <w:t xml:space="preserve">Service repositories call the engine with </w:t>
      </w:r>
      <w:r>
        <w:rPr>
          <w:rFonts w:ascii="Consolas" w:cs="Consolas" w:eastAsia="Consolas" w:hAnsi="Consolas"/>
          <w:sz w:val="19"/>
          <w:szCs w:val="19"/>
        </w:rPr>
        <w:t xml:space="preserve">uses: &lt;org&gt;/SDLC-Harness/.github/workflows/harness.yml@v1</w:t>
      </w:r>
      <w:r>
        <w:t xml:space="preserve">. Two settings must allow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Engine repo → Settings → Actions → General → Access:</w:t>
      </w:r>
      <w:r>
        <w:t xml:space="preserve"> choose “Accessible from repositories in the organization”. Without this, a private engine repo’s workflow cannot be called.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Organization (and service repo) → Settings → Actions → General → Actions permissions:</w:t>
      </w:r>
      <w:r>
        <w:t xml:space="preserve"> if only selected actions are allowed, add </w:t>
      </w:r>
      <w:r>
        <w:rPr>
          <w:rFonts w:ascii="Consolas" w:cs="Consolas" w:eastAsia="Consolas" w:hAnsi="Consolas"/>
          <w:sz w:val="19"/>
          <w:szCs w:val="19"/>
        </w:rPr>
        <w:t xml:space="preserve">&lt;org&gt;/SDLC-Harness/.github/workflows/harness.yml@*</w:t>
      </w:r>
      <w:r>
        <w:t xml:space="preserve"> to the allow list. The engine also uses the standard </w:t>
      </w:r>
      <w:r>
        <w:rPr>
          <w:rFonts w:ascii="Consolas" w:cs="Consolas" w:eastAsia="Consolas" w:hAnsi="Consolas"/>
          <w:sz w:val="19"/>
          <w:szCs w:val="19"/>
        </w:rPr>
        <w:t xml:space="preserve">actions/checkout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actions/setup-java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actions/setup-python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actions/setup-node</w:t>
      </w:r>
      <w:r>
        <w:t xml:space="preserve"> actions; allow those too.</w:t>
      </w:r>
    </w:p>
    <w:p>
      <w:pPr>
        <w:pStyle w:val="Heading1"/>
      </w:pPr>
      <w:r>
        <w:t xml:space="preserve">Part B — Per service repository</w:t>
      </w:r>
    </w:p>
    <w:p>
      <w:pPr>
        <w:pStyle w:val="Heading2"/>
      </w:pPr>
      <w:r>
        <w:t xml:space="preserve">Step 3. The COPILOT_GITHUB_TOKEN secret</w:t>
      </w:r>
    </w:p>
    <w:p>
      <w:pPr>
        <w:spacing w:after="120"/>
      </w:pPr>
      <w:r>
        <w:t xml:space="preserve">The harness uses one token for all repository access: checking out the engine, toolkit and library store, pushing its branches and opening the pull request. It is </w:t>
      </w:r>
      <w:r>
        <w:rPr>
          <w:b/>
          <w:bCs/>
        </w:rPr>
        <w:t xml:space="preserve">not</w:t>
      </w:r>
      <w:r>
        <w:t xml:space="preserve"> used for Copilot model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type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classic personal access token (or a GitHub App token for production). A fine-grained token also works if it covers all four repositories below.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</w:t>
            </w:r>
            <w:r>
              <w:t xml:space="preserve"> (full control of private repositories).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 access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account that owns the token needs </w:t>
            </w:r>
            <w:r>
              <w:rPr>
                <w:b/>
                <w:bCs/>
              </w:rPr>
              <w:t xml:space="preserve">read</w:t>
            </w:r>
            <w:r>
              <w:t xml:space="preserve"> on the engine, toolkit and library store repositories, and </w:t>
            </w:r>
            <w:r>
              <w:rPr>
                <w:b/>
                <w:bCs/>
              </w:rPr>
              <w:t xml:space="preserve">write</w:t>
            </w:r>
            <w:r>
              <w:t xml:space="preserve"> on the service repository.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the organization uses SAML single sign-on, authorize the token for the organization (Settings → Developer settings → Tokens → Configure SSO).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 to store it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repo → Settings → Secrets and variables → Actions → New repository secret, named exactly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COPILOT_GITHUB_TOKEN</w:t>
            </w:r>
            <w:r>
              <w:t xml:space="preserve">. An organization secret shared with the service repositories works too.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Expiry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 the expiry date and rotate before it; an expired token fails the run at the first checkout.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EAF1FB" w:val="clear"/>
        <w:spacing w:after="160" w:before="60"/>
        <w:ind w:left="200"/>
      </w:pPr>
      <w:r>
        <w:t xml:space="preserve">Pull requests and branches the harness creates show the token owner as the author. A dedicated service account or a GitHub App keeps this neutral and is the durable option for production.</w:t>
      </w:r>
    </w:p>
    <w:p>
      <w:pPr>
        <w:pStyle w:val="Heading2"/>
      </w:pPr>
      <w:r>
        <w:t xml:space="preserve">Step 4. Actions and branch settings on the service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must allow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Actions enabled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Settings → Actions → General: Actions are allowed for the repository.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Branch creation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Rulesets and branch protection must not block pushes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harness/**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harness-wip/**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harness-metrics</w:t>
            </w:r>
            <w:r>
              <w:t xml:space="preserve">. The harness never pushes to release, feature or story branches; it only opens PRs into them.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harness-metrics</w:t>
            </w:r>
            <w:r>
              <w:t xml:space="preserve"> branch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 automatically on the first run. Do not protect or delete it: it holds the metrics and audit trail of every run.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 request targets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harness opens PRs into story branches. Existing PR rules (reviewers, checks) apply to them as to any PR.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5. Internal libraries in the library store</w:t>
      </w:r>
    </w:p>
    <w:p>
      <w:pPr>
        <w:spacing w:after="120"/>
      </w:pPr>
      <w:r>
        <w:t xml:space="preserve">Before the first run, every company-internal library the service’s build needs (parent POMs, </w:t>
      </w:r>
      <w:r>
        <w:rPr>
          <w:rFonts w:ascii="Consolas" w:cs="Consolas" w:eastAsia="Consolas" w:hAnsi="Consolas"/>
          <w:sz w:val="19"/>
          <w:szCs w:val="19"/>
        </w:rPr>
        <w:t xml:space="preserve">*-openapi-client-code</w:t>
      </w:r>
      <w:r>
        <w:t xml:space="preserve"> jars and so on) must be in the library store, in one top-level folder per artifact-repository release repository, using the standard deploy layout. Public libraries come from Maven Central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missing internal library halts the run with a dependency failure that names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story that adds a new internal dependency needs that library added to the store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pom.xml</w:t>
      </w:r>
      <w:r>
        <w:t xml:space="preserve"> is never changed: repository locations stay in the runner’s </w:t>
      </w:r>
      <w:r>
        <w:rPr>
          <w:rFonts w:ascii="Consolas" w:cs="Consolas" w:eastAsia="Consolas" w:hAnsi="Consolas"/>
          <w:sz w:val="19"/>
          <w:szCs w:val="19"/>
        </w:rPr>
        <w:t xml:space="preserve">settings.xml</w:t>
      </w:r>
      <w:r>
        <w:t xml:space="preserve">, which the workflow writes.</w:t>
      </w:r>
    </w:p>
    <w:p>
      <w:pPr>
        <w:pStyle w:val="Heading2"/>
      </w:pPr>
      <w:r>
        <w:t xml:space="preserve">Step 6. Add the caller workflow</w:t>
      </w:r>
    </w:p>
    <w:p>
      <w:pPr>
        <w:spacing w:after="120"/>
      </w:pPr>
      <w:r>
        <w:t xml:space="preserve">The caller workflow </w:t>
      </w:r>
      <w:r>
        <w:rPr>
          <w:rFonts w:ascii="Consolas" w:cs="Consolas" w:eastAsia="Consolas" w:hAnsi="Consolas"/>
          <w:sz w:val="19"/>
          <w:szCs w:val="19"/>
        </w:rPr>
        <w:t xml:space="preserve">.github/workflows/SDLC-Harness.yml</w:t>
      </w:r>
      <w:r>
        <w:t xml:space="preserve"> is the “Run workflow” form developers use. Start from </w:t>
      </w:r>
      <w:r>
        <w:rPr>
          <w:rFonts w:ascii="Consolas" w:cs="Consolas" w:eastAsia="Consolas" w:hAnsi="Consolas"/>
          <w:sz w:val="19"/>
          <w:szCs w:val="19"/>
        </w:rPr>
        <w:t xml:space="preserve">docs/examples/SDLC-Harness.yml</w:t>
      </w:r>
      <w:r>
        <w:t xml:space="preserve"> in the engine repo and commit it 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repository’s </w:t>
      </w:r>
      <w:r>
        <w:rPr>
          <w:b/>
          <w:bCs/>
        </w:rPr>
        <w:t xml:space="preserve">default branch</w:t>
      </w:r>
      <w:r>
        <w:t xml:space="preserve">: GitHub shows the Run workflow button only for workflows on the default branch;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active </w:t>
      </w:r>
      <w:r>
        <w:rPr>
          <w:b/>
          <w:bCs/>
        </w:rPr>
        <w:t xml:space="preserve">release branch</w:t>
      </w:r>
      <w:r>
        <w:t xml:space="preserve">: developers select the release branch under “Use workflow from”, and new release branches cut from it inherit the file.</w:t>
      </w:r>
    </w:p>
    <w:p>
      <w:pPr>
        <w:spacing w:after="120"/>
      </w:pPr>
      <w:r>
        <w:t xml:space="preserve">Keep every copy identical; GitHub runs the copy on the branch chosen in “Use workflow from”. Set these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 it to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uses: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engine_ref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&lt;org&gt;/SDLC-Harness/.github/workflows/harness.yml@v1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</w:t>
            </w:r>
            <w:r>
              <w:t xml:space="preserve"> (must match).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engine_repo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&lt;org&gt;/SDLC-Harness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toolkit_repo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toolkit_ref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toolkit repository and its default branch (BCBSM: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master</w:t>
            </w:r>
            <w:r>
              <w:t xml:space="preserve">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maven_libs_repo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library store repository; blank only for a service with no internal libraries.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runs_build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  <w:r>
              <w:t xml:space="preserve">: the harness builds, runs the unit tests and checks coverage.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toolkit_proposals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false</w:t>
            </w:r>
            <w:r>
              <w:t xml:space="preserve"> unless the toolkit owner has agreed to receive proposal PRs (they use the same token, which then needs write on the toolkit).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permissions:</w:t>
            </w:r>
            <w:r>
              <w:t xml:space="preserve"> block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contents: write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pull-requests: write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copilot-requests: write</w:t>
            </w:r>
            <w:r>
              <w:t xml:space="preserve">. A reusable workflow cannot exceed its caller’s permissions.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base</w:t>
            </w:r>
            <w:r>
              <w:t xml:space="preserve"> input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it </w:t>
            </w:r>
            <w:r>
              <w:rPr>
                <w:b/>
                <w:bCs/>
              </w:rPr>
              <w:t xml:space="preserve">required</w:t>
            </w:r>
            <w:r>
              <w:t xml:space="preserve">: it is the story branch the harness works on and opens its PR into.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7. Hand over to the developers</w:t>
      </w:r>
    </w:p>
    <w:p>
      <w:pPr>
        <w:spacing w:after="120"/>
      </w:pPr>
      <w:r>
        <w:t xml:space="preserve">Tell the service team the setup is done and point them to the Developer guide. They add </w:t>
      </w:r>
      <w:r>
        <w:rPr>
          <w:rFonts w:ascii="Consolas" w:cs="Consolas" w:eastAsia="Consolas" w:hAnsi="Consolas"/>
          <w:sz w:val="19"/>
          <w:szCs w:val="19"/>
        </w:rPr>
        <w:t xml:space="preserve">.harness/config.yaml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</w:rPr>
        <w:t xml:space="preserve">.gitignore</w:t>
      </w:r>
      <w:r>
        <w:t xml:space="preserve"> entries themselves.</w:t>
      </w:r>
    </w:p>
    <w:p>
      <w:pPr>
        <w:pStyle w:val="Heading1"/>
      </w:pPr>
      <w:r>
        <w:t xml:space="preserve">Running and supporting the harness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to know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run reports its own Copilot usage per phase in the log and in the metrics record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harness-metrics</w:t>
            </w:r>
            <w:r>
              <w:t xml:space="preserve">. Usage is billed to the organization; per-story cost is available, per-developer cost is not.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Failures that need an admin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Checkout failures (“could not read Username”, “not found”): token missing, expired, unauthorized for SSO, or lacking access. Auth errors on model calls: check the Copilot policy and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copilot-requests: write</w:t>
            </w:r>
            <w:r>
              <w:t xml:space="preserve"> permission.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outputs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compiled on the runner is discarded when the job ends; nothing is uploaded or deployed. Releases still come from the normal CI after a person merges.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trail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run’s context, plan, review, validation verdicts and run summary are kept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harness-metrics</w:t>
            </w:r>
            <w:r>
              <w:t xml:space="preserve"> under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artifacts/&lt;feature&gt;/&lt;run_id&gt;/</w:t>
            </w:r>
            <w:r>
              <w:t xml:space="preserve">. It is a durable record but not tamper-proof: anyone with write access can change it.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Toolkit changes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Changes to skills and instructions reach every service on the next run. Review them by PR on the toolkit repository.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Admin checklist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Engine tag </w:t>
      </w:r>
      <w:r>
        <w:rPr>
          <w:rFonts w:ascii="Consolas" w:cs="Consolas" w:eastAsia="Consolas" w:hAnsi="Consolas"/>
          <w:sz w:val="19"/>
          <w:szCs w:val="19"/>
        </w:rPr>
        <w:t xml:space="preserve">v1</w:t>
      </w:r>
      <w:r>
        <w:t xml:space="preserve"> points at the approved release; engine repo accessible to organization workflows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Reusable workflow and standard </w:t>
      </w:r>
      <w:r>
        <w:rPr>
          <w:rFonts w:ascii="Consolas" w:cs="Consolas" w:eastAsia="Consolas" w:hAnsi="Consolas"/>
          <w:sz w:val="19"/>
          <w:szCs w:val="19"/>
        </w:rPr>
        <w:t xml:space="preserve">actions/*</w:t>
      </w:r>
      <w:r>
        <w:t xml:space="preserve"> allowed by the Actions policy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Toolkit repository readable by the token; default branch protected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Library store contains every internal library the service needs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rFonts w:ascii="Consolas" w:cs="Consolas" w:eastAsia="Consolas" w:hAnsi="Consolas"/>
          <w:sz w:val="19"/>
          <w:szCs w:val="19"/>
        </w:rPr>
        <w:t xml:space="preserve">COPILOT_GITHUB_TOKEN</w:t>
      </w:r>
      <w:r>
        <w:t xml:space="preserve"> secret present: </w:t>
      </w:r>
      <w:r>
        <w:rPr>
          <w:rFonts w:ascii="Consolas" w:cs="Consolas" w:eastAsia="Consolas" w:hAnsi="Consolas"/>
          <w:sz w:val="19"/>
          <w:szCs w:val="19"/>
        </w:rPr>
        <w:t xml:space="preserve">repo</w:t>
      </w:r>
      <w:r>
        <w:t xml:space="preserve"> scope, access to engine, toolkit, library store (read) and service (write), SSO authorized, expiry noted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Actions enabled; no rule blocks pushes to </w:t>
      </w:r>
      <w:r>
        <w:rPr>
          <w:rFonts w:ascii="Consolas" w:cs="Consolas" w:eastAsia="Consolas" w:hAnsi="Consolas"/>
          <w:sz w:val="19"/>
          <w:szCs w:val="19"/>
        </w:rPr>
        <w:t xml:space="preserve">harness/**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harness-wip/**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harness-metrics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Caller workflow on the default branch and every active release branch, identical copies,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 required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Copilot policy: already enabled at the organization (no action)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t xml:space="preserve">Service team told to follow the Developer guide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SDLC-Harness admin and DevOps setup guide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SDLC-Harness admin and DevOps setup guide</dc:title>
  <dc:creator>SDLC-Harness</dc:creator>
  <cp:lastModifiedBy>Un-named</cp:lastModifiedBy>
  <cp:revision>1</cp:revision>
  <dcterms:created xsi:type="dcterms:W3CDTF">2026-10-13T12:19:21.364Z</dcterms:created>
  <dcterms:modified xsi:type="dcterms:W3CDTF">2026-10-13T12:19:21.388Z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