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9EF3" w14:textId="77777777" w:rsidR="00E254EF" w:rsidRPr="00E254EF" w:rsidRDefault="00E254EF" w:rsidP="00E254EF">
      <w:pPr>
        <w:rPr>
          <w:b/>
          <w:bCs/>
        </w:rPr>
      </w:pPr>
      <w:r w:rsidRPr="00E254EF">
        <w:rPr>
          <w:b/>
          <w:bCs/>
        </w:rPr>
        <w:t>Context and Background:</w:t>
      </w:r>
    </w:p>
    <w:p w14:paraId="48B6C2EB" w14:textId="77777777" w:rsidR="00E254EF" w:rsidRPr="00E254EF" w:rsidRDefault="00E254EF" w:rsidP="00E254EF">
      <w:r w:rsidRPr="00E254EF">
        <w:t>Elizabeth C. Ingram, Director of Regulatory Strategy at Entergy Services, LLC, presents testimony supporting ELL's request to implement a Corporate Sustainability Rider (CSR) as part of an Electric Service Agreement (ESA) with a significant industrial customer project in North Louisiana.</w:t>
      </w:r>
    </w:p>
    <w:p w14:paraId="266087C4" w14:textId="77777777" w:rsidR="00E254EF" w:rsidRPr="00E254EF" w:rsidRDefault="00E254EF" w:rsidP="00E254EF">
      <w:pPr>
        <w:rPr>
          <w:b/>
          <w:bCs/>
        </w:rPr>
      </w:pPr>
      <w:r w:rsidRPr="00E254EF">
        <w:rPr>
          <w:b/>
          <w:bCs/>
        </w:rPr>
        <w:t>Key Topics Covered:</w:t>
      </w:r>
    </w:p>
    <w:p w14:paraId="60452E3D" w14:textId="77777777" w:rsidR="00E254EF" w:rsidRPr="00E254EF" w:rsidRDefault="00E254EF" w:rsidP="00E254EF">
      <w:pPr>
        <w:rPr>
          <w:b/>
          <w:bCs/>
        </w:rPr>
      </w:pPr>
      <w:r w:rsidRPr="00E254EF">
        <w:rPr>
          <w:b/>
          <w:bCs/>
        </w:rPr>
        <w:t>1. Purpose of Testimony:</w:t>
      </w:r>
    </w:p>
    <w:p w14:paraId="590BB14D" w14:textId="77777777" w:rsidR="00E254EF" w:rsidRPr="00E254EF" w:rsidRDefault="00E254EF" w:rsidP="00E254EF">
      <w:pPr>
        <w:numPr>
          <w:ilvl w:val="0"/>
          <w:numId w:val="1"/>
        </w:numPr>
      </w:pPr>
      <w:r w:rsidRPr="00E254EF">
        <w:t>The testimony supports ELL's request for authorization to implement the CSR tailored to support sustainability goals for the industrial customer and Entergy Louisiana.</w:t>
      </w:r>
    </w:p>
    <w:p w14:paraId="309DBA54" w14:textId="77777777" w:rsidR="00E254EF" w:rsidRPr="00E254EF" w:rsidRDefault="00E254EF" w:rsidP="00E254EF">
      <w:pPr>
        <w:numPr>
          <w:ilvl w:val="0"/>
          <w:numId w:val="1"/>
        </w:numPr>
      </w:pPr>
      <w:r w:rsidRPr="00E254EF">
        <w:t>CSR includes a commitment to procure renewable resources like solar, storage, carbon capture, and potentially other clean energy resources.</w:t>
      </w:r>
    </w:p>
    <w:p w14:paraId="2E01FCD0" w14:textId="77777777" w:rsidR="00E254EF" w:rsidRPr="00E254EF" w:rsidRDefault="00E254EF" w:rsidP="00E254EF">
      <w:pPr>
        <w:rPr>
          <w:b/>
          <w:bCs/>
        </w:rPr>
      </w:pPr>
      <w:r w:rsidRPr="00E254EF">
        <w:rPr>
          <w:b/>
          <w:bCs/>
        </w:rPr>
        <w:t>2. Overview of Corporate Sustainability Rider (CSR):</w:t>
      </w:r>
    </w:p>
    <w:p w14:paraId="1D4C784E" w14:textId="77777777" w:rsidR="00E254EF" w:rsidRPr="00E254EF" w:rsidRDefault="00E254EF" w:rsidP="00E254EF">
      <w:pPr>
        <w:numPr>
          <w:ilvl w:val="0"/>
          <w:numId w:val="2"/>
        </w:numPr>
      </w:pPr>
      <w:r w:rsidRPr="00E254EF">
        <w:t xml:space="preserve">CSR is designed specifically for the customer and integrated into </w:t>
      </w:r>
      <w:proofErr w:type="gramStart"/>
      <w:r w:rsidRPr="00E254EF">
        <w:t>the ESA</w:t>
      </w:r>
      <w:proofErr w:type="gramEnd"/>
      <w:r w:rsidRPr="00E254EF">
        <w:t>.</w:t>
      </w:r>
    </w:p>
    <w:p w14:paraId="19AFF96B" w14:textId="77777777" w:rsidR="00E254EF" w:rsidRPr="00E254EF" w:rsidRDefault="00E254EF" w:rsidP="00E254EF">
      <w:pPr>
        <w:numPr>
          <w:ilvl w:val="0"/>
          <w:numId w:val="2"/>
        </w:numPr>
      </w:pPr>
      <w:r w:rsidRPr="00E254EF">
        <w:t xml:space="preserve">It facilitates </w:t>
      </w:r>
      <w:proofErr w:type="gramStart"/>
      <w:r w:rsidRPr="00E254EF">
        <w:t>procurement</w:t>
      </w:r>
      <w:proofErr w:type="gramEnd"/>
      <w:r w:rsidRPr="00E254EF">
        <w:t xml:space="preserve"> of renewable and clean resources (solar, wind, carbon capture, etc.) while providing cost recovery mechanisms and promoting sustainability objectives.</w:t>
      </w:r>
    </w:p>
    <w:p w14:paraId="0F003060" w14:textId="77777777" w:rsidR="00E254EF" w:rsidRPr="00E254EF" w:rsidRDefault="00E254EF" w:rsidP="00E254EF">
      <w:pPr>
        <w:rPr>
          <w:b/>
          <w:bCs/>
        </w:rPr>
      </w:pPr>
      <w:r w:rsidRPr="00E254EF">
        <w:rPr>
          <w:b/>
          <w:bCs/>
        </w:rPr>
        <w:t>3. Solar and Storage Commitments in CSR:</w:t>
      </w:r>
    </w:p>
    <w:p w14:paraId="154C96B0" w14:textId="77777777" w:rsidR="00E254EF" w:rsidRPr="00E254EF" w:rsidRDefault="00E254EF" w:rsidP="00E254EF">
      <w:pPr>
        <w:numPr>
          <w:ilvl w:val="0"/>
          <w:numId w:val="3"/>
        </w:numPr>
      </w:pPr>
      <w:r w:rsidRPr="00E254EF">
        <w:t>ELL plans to procure 1,500 MW of incremental solar and/or hybrid resources under an "Initial Renewable Subscription Amount."</w:t>
      </w:r>
    </w:p>
    <w:p w14:paraId="363DA02D" w14:textId="77777777" w:rsidR="00E254EF" w:rsidRPr="00E254EF" w:rsidRDefault="00E254EF" w:rsidP="00E254EF">
      <w:pPr>
        <w:numPr>
          <w:ilvl w:val="0"/>
          <w:numId w:val="3"/>
        </w:numPr>
      </w:pPr>
      <w:r w:rsidRPr="00E254EF">
        <w:t>These resources will be acquired via a competitive procurement process approved under the Commission's "3 GW Order," ensuring adherence to specific procurement guidelines and criteria (Table 1, page 9).</w:t>
      </w:r>
    </w:p>
    <w:p w14:paraId="7536A7B3" w14:textId="77777777" w:rsidR="00E254EF" w:rsidRPr="00E254EF" w:rsidRDefault="00E254EF" w:rsidP="00E254EF">
      <w:pPr>
        <w:numPr>
          <w:ilvl w:val="0"/>
          <w:numId w:val="3"/>
        </w:numPr>
      </w:pPr>
      <w:r w:rsidRPr="00E254EF">
        <w:t>A streamlined procurement process is explained, emphasizing cost-effectiveness, timeliness, and adherence to sustainability objectives.</w:t>
      </w:r>
    </w:p>
    <w:p w14:paraId="4CCC7790" w14:textId="77777777" w:rsidR="00E254EF" w:rsidRPr="00E254EF" w:rsidRDefault="00E254EF" w:rsidP="00E254EF">
      <w:pPr>
        <w:rPr>
          <w:b/>
          <w:bCs/>
        </w:rPr>
      </w:pPr>
      <w:r w:rsidRPr="00E254EF">
        <w:rPr>
          <w:b/>
          <w:bCs/>
        </w:rPr>
        <w:t>4. Carbon Capture and Storage (CCS) Commitments:</w:t>
      </w:r>
    </w:p>
    <w:p w14:paraId="5B139AC4" w14:textId="77777777" w:rsidR="00E254EF" w:rsidRPr="00E254EF" w:rsidRDefault="00E254EF" w:rsidP="00E254EF">
      <w:pPr>
        <w:numPr>
          <w:ilvl w:val="0"/>
          <w:numId w:val="4"/>
        </w:numPr>
      </w:pPr>
      <w:r w:rsidRPr="00E254EF">
        <w:t>CSR includes provisions for pursuing CCS technology at Lake Charles Power Station (LCPS).</w:t>
      </w:r>
    </w:p>
    <w:p w14:paraId="1A2527AC" w14:textId="77777777" w:rsidR="00E254EF" w:rsidRPr="00E254EF" w:rsidRDefault="00E254EF" w:rsidP="00E254EF">
      <w:pPr>
        <w:numPr>
          <w:ilvl w:val="0"/>
          <w:numId w:val="4"/>
        </w:numPr>
      </w:pPr>
      <w:r w:rsidRPr="00E254EF">
        <w:t>Customer commitment includes subscribing to low-carbon option (LCO) for carbon emissions reduction and receiving associated Alternative Energy Credits (AECs).</w:t>
      </w:r>
    </w:p>
    <w:p w14:paraId="1E6FBC7D" w14:textId="77777777" w:rsidR="00E254EF" w:rsidRPr="00E254EF" w:rsidRDefault="00E254EF" w:rsidP="00E254EF">
      <w:pPr>
        <w:rPr>
          <w:b/>
          <w:bCs/>
        </w:rPr>
      </w:pPr>
      <w:r w:rsidRPr="00E254EF">
        <w:rPr>
          <w:b/>
          <w:bCs/>
        </w:rPr>
        <w:t>5. Commitments to Other Clean Resources:</w:t>
      </w:r>
    </w:p>
    <w:p w14:paraId="3F9EDA6E" w14:textId="77777777" w:rsidR="00E254EF" w:rsidRPr="00E254EF" w:rsidRDefault="00E254EF" w:rsidP="00E254EF">
      <w:pPr>
        <w:numPr>
          <w:ilvl w:val="0"/>
          <w:numId w:val="5"/>
        </w:numPr>
      </w:pPr>
      <w:r w:rsidRPr="00E254EF">
        <w:t>CSR outlines potential future commitments to wind and nuclear energy resources, although commercial terms for these resources have not been finalized.</w:t>
      </w:r>
    </w:p>
    <w:p w14:paraId="4C2E91B1" w14:textId="77777777" w:rsidR="00E254EF" w:rsidRPr="00E254EF" w:rsidRDefault="00E254EF" w:rsidP="00E254EF">
      <w:pPr>
        <w:rPr>
          <w:b/>
          <w:bCs/>
        </w:rPr>
      </w:pPr>
      <w:r w:rsidRPr="00E254EF">
        <w:rPr>
          <w:b/>
          <w:bCs/>
        </w:rPr>
        <w:t>6. The Power to Care Commitment:</w:t>
      </w:r>
    </w:p>
    <w:p w14:paraId="31980413" w14:textId="77777777" w:rsidR="00E254EF" w:rsidRPr="00E254EF" w:rsidRDefault="00E254EF" w:rsidP="00E254EF">
      <w:pPr>
        <w:numPr>
          <w:ilvl w:val="0"/>
          <w:numId w:val="6"/>
        </w:numPr>
      </w:pPr>
      <w:r w:rsidRPr="00E254EF">
        <w:t>CSR also includes customer commitments to Entergy’s "Power to Care" assistance program, designed to provide energy bill assistance to vulnerable customers.</w:t>
      </w:r>
    </w:p>
    <w:p w14:paraId="2FE11F66" w14:textId="77777777" w:rsidR="00E254EF" w:rsidRPr="00E254EF" w:rsidRDefault="00E254EF" w:rsidP="00E254EF">
      <w:pPr>
        <w:numPr>
          <w:ilvl w:val="0"/>
          <w:numId w:val="6"/>
        </w:numPr>
      </w:pPr>
      <w:r w:rsidRPr="00E254EF">
        <w:lastRenderedPageBreak/>
        <w:t>The customer commits to matching Entergy's corporate contributions, significantly increasing financial assistance available under this program.</w:t>
      </w:r>
    </w:p>
    <w:p w14:paraId="6A7E655E" w14:textId="77777777" w:rsidR="00E254EF" w:rsidRPr="00E254EF" w:rsidRDefault="00E254EF" w:rsidP="00E254EF">
      <w:pPr>
        <w:rPr>
          <w:b/>
          <w:bCs/>
        </w:rPr>
      </w:pPr>
      <w:r w:rsidRPr="00E254EF">
        <w:rPr>
          <w:b/>
          <w:bCs/>
        </w:rPr>
        <w:t>7. Cost Recovery Treatment:</w:t>
      </w:r>
    </w:p>
    <w:p w14:paraId="0E03B4C6" w14:textId="77777777" w:rsidR="00E254EF" w:rsidRPr="00E254EF" w:rsidRDefault="00E254EF" w:rsidP="00E254EF">
      <w:pPr>
        <w:numPr>
          <w:ilvl w:val="0"/>
          <w:numId w:val="7"/>
        </w:numPr>
      </w:pPr>
      <w:r w:rsidRPr="00E254EF">
        <w:t>ELL proposes cost recovery mechanisms through existing rate recovery methods (Fuel Adjustment Clause, Formula Rate Plan, etc.).</w:t>
      </w:r>
    </w:p>
    <w:p w14:paraId="3F3AB971" w14:textId="77777777" w:rsidR="00E254EF" w:rsidRPr="00E254EF" w:rsidRDefault="00E254EF" w:rsidP="00E254EF">
      <w:pPr>
        <w:numPr>
          <w:ilvl w:val="0"/>
          <w:numId w:val="7"/>
        </w:numPr>
      </w:pPr>
      <w:r w:rsidRPr="00E254EF">
        <w:t>Renewable energy credits and revenues from market participation will offset costs, and ELL outlines procedures for ensuring fair allocation of costs and benefits among all ratepayers (pages 28-31).</w:t>
      </w:r>
    </w:p>
    <w:p w14:paraId="4AE8EFA7" w14:textId="77777777" w:rsidR="00E254EF" w:rsidRPr="00E254EF" w:rsidRDefault="00E254EF" w:rsidP="00E254EF">
      <w:pPr>
        <w:numPr>
          <w:ilvl w:val="0"/>
          <w:numId w:val="7"/>
        </w:numPr>
      </w:pPr>
      <w:r w:rsidRPr="00E254EF">
        <w:t>Specific financial safeguards, including adherence to "Breakeven Parameters," are established to protect the broader customer base from any excessive cost impacts.</w:t>
      </w:r>
    </w:p>
    <w:p w14:paraId="653EBE12" w14:textId="77777777" w:rsidR="00E254EF" w:rsidRPr="00E254EF" w:rsidRDefault="00E254EF" w:rsidP="00E254EF">
      <w:pPr>
        <w:rPr>
          <w:b/>
          <w:bCs/>
        </w:rPr>
      </w:pPr>
      <w:r w:rsidRPr="00E254EF">
        <w:rPr>
          <w:b/>
          <w:bCs/>
        </w:rPr>
        <w:t>Exhibits Included:</w:t>
      </w:r>
    </w:p>
    <w:p w14:paraId="330EA1AA" w14:textId="77777777" w:rsidR="00E254EF" w:rsidRPr="00E254EF" w:rsidRDefault="00E254EF" w:rsidP="00E254EF">
      <w:pPr>
        <w:numPr>
          <w:ilvl w:val="0"/>
          <w:numId w:val="8"/>
        </w:numPr>
      </w:pPr>
      <w:r w:rsidRPr="00E254EF">
        <w:t>List of prior testimonies by Elizabeth C. Ingram.</w:t>
      </w:r>
    </w:p>
    <w:p w14:paraId="535CCA87" w14:textId="77777777" w:rsidR="00E254EF" w:rsidRPr="00E254EF" w:rsidRDefault="00E254EF" w:rsidP="00E254EF">
      <w:pPr>
        <w:numPr>
          <w:ilvl w:val="0"/>
          <w:numId w:val="8"/>
        </w:numPr>
      </w:pPr>
      <w:r w:rsidRPr="00E254EF">
        <w:t>Corporate Sustainability Rider (CSR) details (HSPM – Highly Sensitive Protected Material intentionally omitted from the public version).</w:t>
      </w:r>
    </w:p>
    <w:p w14:paraId="29D279BB" w14:textId="77777777" w:rsidR="00E254EF" w:rsidRPr="00E254EF" w:rsidRDefault="00E254EF" w:rsidP="00E254EF">
      <w:pPr>
        <w:rPr>
          <w:b/>
          <w:bCs/>
        </w:rPr>
      </w:pPr>
      <w:r w:rsidRPr="00E254EF">
        <w:rPr>
          <w:b/>
          <w:bCs/>
        </w:rPr>
        <w:t>Conclusion:</w:t>
      </w:r>
    </w:p>
    <w:p w14:paraId="0A94C8DD" w14:textId="77777777" w:rsidR="00E254EF" w:rsidRPr="00E254EF" w:rsidRDefault="00E254EF" w:rsidP="00E254EF">
      <w:r w:rsidRPr="00E254EF">
        <w:t>The testimony emphasizes the alignment of CSR with Entergy's long-term sustainability goals, highlighting benefits not only for the customer directly involved but also indirectly for all other customers due to improved reliability, sustainability, and cost mitigation through renewable and clean energy integration.</w:t>
      </w:r>
    </w:p>
    <w:p w14:paraId="1D14A25F"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550"/>
    <w:multiLevelType w:val="multilevel"/>
    <w:tmpl w:val="847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988"/>
    <w:multiLevelType w:val="multilevel"/>
    <w:tmpl w:val="9BB4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27C"/>
    <w:multiLevelType w:val="multilevel"/>
    <w:tmpl w:val="E0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7146D"/>
    <w:multiLevelType w:val="multilevel"/>
    <w:tmpl w:val="A96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14328"/>
    <w:multiLevelType w:val="multilevel"/>
    <w:tmpl w:val="245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1C70"/>
    <w:multiLevelType w:val="multilevel"/>
    <w:tmpl w:val="402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27ECC"/>
    <w:multiLevelType w:val="multilevel"/>
    <w:tmpl w:val="669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6496B"/>
    <w:multiLevelType w:val="multilevel"/>
    <w:tmpl w:val="86C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270440">
    <w:abstractNumId w:val="7"/>
  </w:num>
  <w:num w:numId="2" w16cid:durableId="1198733398">
    <w:abstractNumId w:val="6"/>
  </w:num>
  <w:num w:numId="3" w16cid:durableId="582953224">
    <w:abstractNumId w:val="0"/>
  </w:num>
  <w:num w:numId="4" w16cid:durableId="2071272439">
    <w:abstractNumId w:val="4"/>
  </w:num>
  <w:num w:numId="5" w16cid:durableId="747771758">
    <w:abstractNumId w:val="1"/>
  </w:num>
  <w:num w:numId="6" w16cid:durableId="1059092603">
    <w:abstractNumId w:val="2"/>
  </w:num>
  <w:num w:numId="7" w16cid:durableId="697858049">
    <w:abstractNumId w:val="5"/>
  </w:num>
  <w:num w:numId="8" w16cid:durableId="1586650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EF"/>
    <w:rsid w:val="001E77D2"/>
    <w:rsid w:val="00636502"/>
    <w:rsid w:val="0096775F"/>
    <w:rsid w:val="00DC2B54"/>
    <w:rsid w:val="00E2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321E1"/>
  <w15:chartTrackingRefBased/>
  <w15:docId w15:val="{5C2B30F4-B651-461B-835C-7D21DAF8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4EF"/>
    <w:rPr>
      <w:rFonts w:eastAsiaTheme="majorEastAsia" w:cstheme="majorBidi"/>
      <w:color w:val="272727" w:themeColor="text1" w:themeTint="D8"/>
    </w:rPr>
  </w:style>
  <w:style w:type="paragraph" w:styleId="Title">
    <w:name w:val="Title"/>
    <w:basedOn w:val="Normal"/>
    <w:next w:val="Normal"/>
    <w:link w:val="TitleChar"/>
    <w:uiPriority w:val="10"/>
    <w:qFormat/>
    <w:rsid w:val="00E2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4EF"/>
    <w:pPr>
      <w:spacing w:before="160"/>
      <w:jc w:val="center"/>
    </w:pPr>
    <w:rPr>
      <w:i/>
      <w:iCs/>
      <w:color w:val="404040" w:themeColor="text1" w:themeTint="BF"/>
    </w:rPr>
  </w:style>
  <w:style w:type="character" w:customStyle="1" w:styleId="QuoteChar">
    <w:name w:val="Quote Char"/>
    <w:basedOn w:val="DefaultParagraphFont"/>
    <w:link w:val="Quote"/>
    <w:uiPriority w:val="29"/>
    <w:rsid w:val="00E254EF"/>
    <w:rPr>
      <w:i/>
      <w:iCs/>
      <w:color w:val="404040" w:themeColor="text1" w:themeTint="BF"/>
    </w:rPr>
  </w:style>
  <w:style w:type="paragraph" w:styleId="ListParagraph">
    <w:name w:val="List Paragraph"/>
    <w:basedOn w:val="Normal"/>
    <w:uiPriority w:val="34"/>
    <w:qFormat/>
    <w:rsid w:val="00E254EF"/>
    <w:pPr>
      <w:ind w:left="720"/>
      <w:contextualSpacing/>
    </w:pPr>
  </w:style>
  <w:style w:type="character" w:styleId="IntenseEmphasis">
    <w:name w:val="Intense Emphasis"/>
    <w:basedOn w:val="DefaultParagraphFont"/>
    <w:uiPriority w:val="21"/>
    <w:qFormat/>
    <w:rsid w:val="00E254EF"/>
    <w:rPr>
      <w:i/>
      <w:iCs/>
      <w:color w:val="0F4761" w:themeColor="accent1" w:themeShade="BF"/>
    </w:rPr>
  </w:style>
  <w:style w:type="paragraph" w:styleId="IntenseQuote">
    <w:name w:val="Intense Quote"/>
    <w:basedOn w:val="Normal"/>
    <w:next w:val="Normal"/>
    <w:link w:val="IntenseQuoteChar"/>
    <w:uiPriority w:val="30"/>
    <w:qFormat/>
    <w:rsid w:val="00E2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4EF"/>
    <w:rPr>
      <w:i/>
      <w:iCs/>
      <w:color w:val="0F4761" w:themeColor="accent1" w:themeShade="BF"/>
    </w:rPr>
  </w:style>
  <w:style w:type="character" w:styleId="IntenseReference">
    <w:name w:val="Intense Reference"/>
    <w:basedOn w:val="DefaultParagraphFont"/>
    <w:uiPriority w:val="32"/>
    <w:qFormat/>
    <w:rsid w:val="00E25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36286">
      <w:bodyDiv w:val="1"/>
      <w:marLeft w:val="0"/>
      <w:marRight w:val="0"/>
      <w:marTop w:val="0"/>
      <w:marBottom w:val="0"/>
      <w:divBdr>
        <w:top w:val="none" w:sz="0" w:space="0" w:color="auto"/>
        <w:left w:val="none" w:sz="0" w:space="0" w:color="auto"/>
        <w:bottom w:val="none" w:sz="0" w:space="0" w:color="auto"/>
        <w:right w:val="none" w:sz="0" w:space="0" w:color="auto"/>
      </w:divBdr>
    </w:div>
    <w:div w:id="8381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2919</Characters>
  <Application>Microsoft Office Word</Application>
  <DocSecurity>0</DocSecurity>
  <Lines>52</Lines>
  <Paragraphs>30</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2025-05-27T23:43:00Z</dcterms:created>
  <dcterms:modified xsi:type="dcterms:W3CDTF">2025-05-27T23:43:00Z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3aa04246-e254-43c3-ae86-5cf51c5dae33</vt:lpwstr>
  </property>
</Properties>
</file>