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8498A" w14:textId="77777777" w:rsidR="00F028B9" w:rsidRPr="00F028B9" w:rsidRDefault="00F028B9" w:rsidP="00F028B9">
      <w:pPr>
        <w:rPr>
          <w:b/>
          <w:bCs/>
        </w:rPr>
      </w:pPr>
      <w:r w:rsidRPr="00F028B9">
        <w:rPr>
          <w:b/>
          <w:bCs/>
        </w:rPr>
        <w:t>Context and Background:</w:t>
      </w:r>
    </w:p>
    <w:p w14:paraId="3D2A1B49" w14:textId="77777777" w:rsidR="00F028B9" w:rsidRPr="00F028B9" w:rsidRDefault="00F028B9" w:rsidP="00F028B9">
      <w:r w:rsidRPr="00F028B9">
        <w:t>Matthew Bulpitt, Vice President of Power Development for Entergy Louisiana, LLC, provides detailed testimony supporting ELL’s application for approval of constructing Combined Cycle Combustion Turbine (CCCT) units to serve a significant new customer load in Richland Parish, North Louisiana. His testimony addresses technology selection, construction schedules, cost estimates, risk management strategies, and CCS (Carbon Capture and Storage) integration.</w:t>
      </w:r>
    </w:p>
    <w:p w14:paraId="1365856E" w14:textId="77777777" w:rsidR="00F028B9" w:rsidRPr="00F028B9" w:rsidRDefault="00F028B9" w:rsidP="00F028B9">
      <w:pPr>
        <w:rPr>
          <w:b/>
          <w:bCs/>
        </w:rPr>
      </w:pPr>
      <w:r w:rsidRPr="00F028B9">
        <w:rPr>
          <w:b/>
          <w:bCs/>
        </w:rPr>
        <w:t>Key Points and Sections:</w:t>
      </w:r>
    </w:p>
    <w:p w14:paraId="38BC927F" w14:textId="77777777" w:rsidR="00F028B9" w:rsidRPr="00F028B9" w:rsidRDefault="00F028B9" w:rsidP="00F028B9">
      <w:pPr>
        <w:rPr>
          <w:b/>
          <w:bCs/>
        </w:rPr>
      </w:pPr>
      <w:r w:rsidRPr="00F028B9">
        <w:rPr>
          <w:b/>
          <w:bCs/>
        </w:rPr>
        <w:t>I. Introduction and Background:</w:t>
      </w:r>
    </w:p>
    <w:p w14:paraId="354CDB31" w14:textId="77777777" w:rsidR="00F028B9" w:rsidRPr="00F028B9" w:rsidRDefault="00F028B9" w:rsidP="00F028B9">
      <w:pPr>
        <w:numPr>
          <w:ilvl w:val="0"/>
          <w:numId w:val="1"/>
        </w:numPr>
      </w:pPr>
      <w:r w:rsidRPr="00F028B9">
        <w:t>Bulpitt’s role includes project management oversight for large-scale power generation and storage projects, including carbon capture and hydrogen technologies.</w:t>
      </w:r>
    </w:p>
    <w:p w14:paraId="6081C476" w14:textId="77777777" w:rsidR="00F028B9" w:rsidRPr="00F028B9" w:rsidRDefault="00F028B9" w:rsidP="00F028B9">
      <w:pPr>
        <w:numPr>
          <w:ilvl w:val="0"/>
          <w:numId w:val="1"/>
        </w:numPr>
      </w:pPr>
      <w:r w:rsidRPr="00F028B9">
        <w:t>He previously held roles in nuclear engineering for the U.S. Navy, capital project management, and transmission system operations.</w:t>
      </w:r>
    </w:p>
    <w:p w14:paraId="6D5ABEA7" w14:textId="77777777" w:rsidR="00F028B9" w:rsidRPr="00F028B9" w:rsidRDefault="00F028B9" w:rsidP="00F028B9">
      <w:pPr>
        <w:rPr>
          <w:b/>
          <w:bCs/>
        </w:rPr>
      </w:pPr>
      <w:r w:rsidRPr="00F028B9">
        <w:rPr>
          <w:b/>
          <w:bCs/>
        </w:rPr>
        <w:t>II. CCCT Technology:</w:t>
      </w:r>
    </w:p>
    <w:p w14:paraId="4D50FA10" w14:textId="77777777" w:rsidR="00F028B9" w:rsidRPr="00F028B9" w:rsidRDefault="00F028B9" w:rsidP="00F028B9">
      <w:pPr>
        <w:numPr>
          <w:ilvl w:val="0"/>
          <w:numId w:val="2"/>
        </w:numPr>
      </w:pPr>
      <w:r w:rsidRPr="00F028B9">
        <w:t>ELL selected CCCT technology for its efficiency, flexibility, and relatively low greenhouse gas emissions.</w:t>
      </w:r>
    </w:p>
    <w:p w14:paraId="36961925" w14:textId="77777777" w:rsidR="00F028B9" w:rsidRPr="00F028B9" w:rsidRDefault="00F028B9" w:rsidP="00F028B9">
      <w:pPr>
        <w:numPr>
          <w:ilvl w:val="0"/>
          <w:numId w:val="2"/>
        </w:numPr>
      </w:pPr>
      <w:r w:rsidRPr="00F028B9">
        <w:t>The project proposes three 1x1 CCCT units (each approximately 754 MW capacity), utilizing Mitsubishi combustion turbines with hydrogen co-firing capability.</w:t>
      </w:r>
    </w:p>
    <w:p w14:paraId="374F7868" w14:textId="77777777" w:rsidR="00F028B9" w:rsidRPr="00F028B9" w:rsidRDefault="00F028B9" w:rsidP="00F028B9">
      <w:pPr>
        <w:numPr>
          <w:ilvl w:val="0"/>
          <w:numId w:val="2"/>
        </w:numPr>
      </w:pPr>
      <w:r w:rsidRPr="00F028B9">
        <w:t>The units will include infrastructure designed to accommodate future CCS integration.</w:t>
      </w:r>
    </w:p>
    <w:p w14:paraId="7ECB110F" w14:textId="77777777" w:rsidR="00F028B9" w:rsidRPr="00F028B9" w:rsidRDefault="00F028B9" w:rsidP="00F028B9">
      <w:pPr>
        <w:rPr>
          <w:b/>
          <w:bCs/>
        </w:rPr>
      </w:pPr>
      <w:r w:rsidRPr="00F028B9">
        <w:rPr>
          <w:b/>
          <w:bCs/>
        </w:rPr>
        <w:t>III. Units 1-2 Timeline and Cost:</w:t>
      </w:r>
    </w:p>
    <w:p w14:paraId="4F5A6023" w14:textId="77777777" w:rsidR="00F028B9" w:rsidRPr="00F028B9" w:rsidRDefault="00F028B9" w:rsidP="00F028B9">
      <w:pPr>
        <w:numPr>
          <w:ilvl w:val="0"/>
          <w:numId w:val="3"/>
        </w:numPr>
      </w:pPr>
      <w:r w:rsidRPr="00F028B9">
        <w:t>Units 1 and 2 will be adjacent to the customer’s facility in Richland Parish.</w:t>
      </w:r>
    </w:p>
    <w:p w14:paraId="592709F0" w14:textId="77777777" w:rsidR="00F028B9" w:rsidRPr="00F028B9" w:rsidRDefault="00F028B9" w:rsidP="00F028B9">
      <w:pPr>
        <w:numPr>
          <w:ilvl w:val="0"/>
          <w:numId w:val="3"/>
        </w:numPr>
      </w:pPr>
      <w:r w:rsidRPr="00F028B9">
        <w:rPr>
          <w:b/>
          <w:bCs/>
        </w:rPr>
        <w:t>Key Project Timeline</w:t>
      </w:r>
      <w:r w:rsidRPr="00F028B9">
        <w:t>:</w:t>
      </w:r>
    </w:p>
    <w:p w14:paraId="49B51341" w14:textId="77777777" w:rsidR="00F028B9" w:rsidRPr="00F028B9" w:rsidRDefault="00F028B9" w:rsidP="00F028B9">
      <w:pPr>
        <w:numPr>
          <w:ilvl w:val="1"/>
          <w:numId w:val="3"/>
        </w:numPr>
      </w:pPr>
      <w:r w:rsidRPr="00F028B9">
        <w:t>Substantial completion targeted by November 2028.</w:t>
      </w:r>
    </w:p>
    <w:p w14:paraId="42B08100" w14:textId="77777777" w:rsidR="00F028B9" w:rsidRPr="00F028B9" w:rsidRDefault="00F028B9" w:rsidP="00F028B9">
      <w:pPr>
        <w:numPr>
          <w:ilvl w:val="1"/>
          <w:numId w:val="3"/>
        </w:numPr>
      </w:pPr>
      <w:r w:rsidRPr="00F028B9">
        <w:t>Commercial operation date (COD) by December 2028 (</w:t>
      </w:r>
      <w:r w:rsidRPr="00F028B9">
        <w:rPr>
          <w:i/>
          <w:iCs/>
        </w:rPr>
        <w:t>Table 2, page 19</w:t>
      </w:r>
      <w:r w:rsidRPr="00F028B9">
        <w:t>).</w:t>
      </w:r>
    </w:p>
    <w:p w14:paraId="0851B56B" w14:textId="77777777" w:rsidR="00F028B9" w:rsidRPr="00F028B9" w:rsidRDefault="00F028B9" w:rsidP="00F028B9">
      <w:pPr>
        <w:numPr>
          <w:ilvl w:val="0"/>
          <w:numId w:val="3"/>
        </w:numPr>
      </w:pPr>
      <w:r w:rsidRPr="00F028B9">
        <w:rPr>
          <w:b/>
          <w:bCs/>
        </w:rPr>
        <w:t>Cost Estimates</w:t>
      </w:r>
      <w:r w:rsidRPr="00F028B9">
        <w:t xml:space="preserve"> (</w:t>
      </w:r>
      <w:r w:rsidRPr="00F028B9">
        <w:rPr>
          <w:i/>
          <w:iCs/>
        </w:rPr>
        <w:t>Table 3, page 27</w:t>
      </w:r>
      <w:r w:rsidRPr="00F028B9">
        <w:t>):</w:t>
      </w:r>
    </w:p>
    <w:p w14:paraId="41A98A3C" w14:textId="77777777" w:rsidR="00F028B9" w:rsidRPr="00F028B9" w:rsidRDefault="00F028B9" w:rsidP="00F028B9">
      <w:pPr>
        <w:numPr>
          <w:ilvl w:val="1"/>
          <w:numId w:val="3"/>
        </w:numPr>
      </w:pPr>
      <w:r w:rsidRPr="00F028B9">
        <w:t>Estimated total project cost: approximately $2.39 billion.</w:t>
      </w:r>
    </w:p>
    <w:p w14:paraId="2028FAC3" w14:textId="77777777" w:rsidR="00F028B9" w:rsidRPr="00F028B9" w:rsidRDefault="00F028B9" w:rsidP="00F028B9">
      <w:pPr>
        <w:numPr>
          <w:ilvl w:val="1"/>
          <w:numId w:val="3"/>
        </w:numPr>
      </w:pPr>
      <w:r w:rsidRPr="00F028B9">
        <w:t>Includes EPC (Engineering, Procurement, Construction) costs, contingency, transmission interconnection, and upgrades.</w:t>
      </w:r>
    </w:p>
    <w:p w14:paraId="5F28D1F2" w14:textId="77777777" w:rsidR="00F028B9" w:rsidRPr="00F028B9" w:rsidRDefault="00F028B9" w:rsidP="00F028B9">
      <w:pPr>
        <w:numPr>
          <w:ilvl w:val="1"/>
          <w:numId w:val="3"/>
        </w:numPr>
      </w:pPr>
      <w:r w:rsidRPr="00F028B9">
        <w:t>EPC costs primarily fixed-price contracts for certainty and risk reduction.</w:t>
      </w:r>
    </w:p>
    <w:p w14:paraId="3C0B1937" w14:textId="77777777" w:rsidR="00F028B9" w:rsidRPr="00F028B9" w:rsidRDefault="00F028B9" w:rsidP="00F028B9">
      <w:pPr>
        <w:rPr>
          <w:b/>
          <w:bCs/>
        </w:rPr>
      </w:pPr>
      <w:r w:rsidRPr="00F028B9">
        <w:rPr>
          <w:b/>
          <w:bCs/>
        </w:rPr>
        <w:t>IV. Unit 3 Timeline and Cost:</w:t>
      </w:r>
    </w:p>
    <w:p w14:paraId="10D326D4" w14:textId="77777777" w:rsidR="00F028B9" w:rsidRPr="00F028B9" w:rsidRDefault="00F028B9" w:rsidP="00F028B9">
      <w:pPr>
        <w:numPr>
          <w:ilvl w:val="0"/>
          <w:numId w:val="4"/>
        </w:numPr>
      </w:pPr>
      <w:r w:rsidRPr="00F028B9">
        <w:t>Unit 3, located in SELPA, will follow a separate competitive procurement process.</w:t>
      </w:r>
    </w:p>
    <w:p w14:paraId="0F85504F" w14:textId="77777777" w:rsidR="00F028B9" w:rsidRPr="00F028B9" w:rsidRDefault="00F028B9" w:rsidP="00F028B9">
      <w:pPr>
        <w:numPr>
          <w:ilvl w:val="0"/>
          <w:numId w:val="4"/>
        </w:numPr>
      </w:pPr>
      <w:r w:rsidRPr="00F028B9">
        <w:t>Target COD by December 2029.</w:t>
      </w:r>
    </w:p>
    <w:p w14:paraId="0866B082" w14:textId="77777777" w:rsidR="00F028B9" w:rsidRPr="00F028B9" w:rsidRDefault="00F028B9" w:rsidP="00F028B9">
      <w:pPr>
        <w:numPr>
          <w:ilvl w:val="0"/>
          <w:numId w:val="4"/>
        </w:numPr>
      </w:pPr>
      <w:r w:rsidRPr="00F028B9">
        <w:t>Project timeline milestones detailed in (</w:t>
      </w:r>
      <w:r w:rsidRPr="00F028B9">
        <w:rPr>
          <w:i/>
          <w:iCs/>
        </w:rPr>
        <w:t>Table 5, page 40</w:t>
      </w:r>
      <w:r w:rsidRPr="00F028B9">
        <w:t>).</w:t>
      </w:r>
    </w:p>
    <w:p w14:paraId="668E1B7A" w14:textId="77777777" w:rsidR="00F028B9" w:rsidRPr="00F028B9" w:rsidRDefault="00F028B9" w:rsidP="00F028B9">
      <w:pPr>
        <w:rPr>
          <w:b/>
          <w:bCs/>
        </w:rPr>
      </w:pPr>
      <w:r w:rsidRPr="00F028B9">
        <w:rPr>
          <w:b/>
          <w:bCs/>
        </w:rPr>
        <w:lastRenderedPageBreak/>
        <w:t>V. Construction Risk Management:</w:t>
      </w:r>
    </w:p>
    <w:p w14:paraId="74C1169F" w14:textId="77777777" w:rsidR="00F028B9" w:rsidRPr="00F028B9" w:rsidRDefault="00F028B9" w:rsidP="00F028B9">
      <w:pPr>
        <w:numPr>
          <w:ilvl w:val="0"/>
          <w:numId w:val="5"/>
        </w:numPr>
      </w:pPr>
      <w:r w:rsidRPr="00F028B9">
        <w:t>Risks addressed include project delays, cost overruns, supply-chain uncertainties, and site-specific construction challenges.</w:t>
      </w:r>
    </w:p>
    <w:p w14:paraId="2E8DC2E8" w14:textId="77777777" w:rsidR="00F028B9" w:rsidRPr="00F028B9" w:rsidRDefault="00F028B9" w:rsidP="00F028B9">
      <w:pPr>
        <w:numPr>
          <w:ilvl w:val="0"/>
          <w:numId w:val="5"/>
        </w:numPr>
      </w:pPr>
      <w:r w:rsidRPr="00F028B9">
        <w:t>EPC contract structure (fixed-price) includes incentives for timely completion and liquidated damages for delays.</w:t>
      </w:r>
    </w:p>
    <w:p w14:paraId="0F7AFC8D" w14:textId="77777777" w:rsidR="00F028B9" w:rsidRPr="00F028B9" w:rsidRDefault="00F028B9" w:rsidP="00F028B9">
      <w:pPr>
        <w:numPr>
          <w:ilvl w:val="0"/>
          <w:numId w:val="5"/>
        </w:numPr>
      </w:pPr>
      <w:r w:rsidRPr="00F028B9">
        <w:t>EPC consortium manages major risks, particularly regarding long-lead equipment procurement and site conditions.</w:t>
      </w:r>
    </w:p>
    <w:p w14:paraId="7C375E86" w14:textId="77777777" w:rsidR="00F028B9" w:rsidRPr="00F028B9" w:rsidRDefault="00F028B9" w:rsidP="00F028B9">
      <w:pPr>
        <w:rPr>
          <w:b/>
          <w:bCs/>
        </w:rPr>
      </w:pPr>
      <w:r w:rsidRPr="00F028B9">
        <w:rPr>
          <w:b/>
          <w:bCs/>
        </w:rPr>
        <w:t>VI. Carbon Capture and Storage (CCS):</w:t>
      </w:r>
    </w:p>
    <w:p w14:paraId="73322872" w14:textId="77777777" w:rsidR="00F028B9" w:rsidRPr="00F028B9" w:rsidRDefault="00F028B9" w:rsidP="00F028B9">
      <w:pPr>
        <w:numPr>
          <w:ilvl w:val="0"/>
          <w:numId w:val="6"/>
        </w:numPr>
      </w:pPr>
      <w:r w:rsidRPr="00F028B9">
        <w:t>CCCT units designed with future CCS capabilities, aligning with anticipated EPA Phase 2 CO₂ emission standards effective January 1, 2032.</w:t>
      </w:r>
    </w:p>
    <w:p w14:paraId="6646A1A9" w14:textId="77777777" w:rsidR="00F028B9" w:rsidRPr="00F028B9" w:rsidRDefault="00F028B9" w:rsidP="00F028B9">
      <w:pPr>
        <w:numPr>
          <w:ilvl w:val="0"/>
          <w:numId w:val="6"/>
        </w:numPr>
      </w:pPr>
      <w:r w:rsidRPr="00F028B9">
        <w:t>CCS implementation could reduce CO₂ emissions by approximately 95%.</w:t>
      </w:r>
    </w:p>
    <w:p w14:paraId="3EB4C129" w14:textId="77777777" w:rsidR="00F028B9" w:rsidRPr="00F028B9" w:rsidRDefault="00F028B9" w:rsidP="00F028B9">
      <w:pPr>
        <w:numPr>
          <w:ilvl w:val="0"/>
          <w:numId w:val="6"/>
        </w:numPr>
      </w:pPr>
      <w:r w:rsidRPr="00F028B9">
        <w:t>CCS considerations significantly influence unit design, including site layout and infrastructure requirements (</w:t>
      </w:r>
      <w:r w:rsidRPr="00F028B9">
        <w:rPr>
          <w:i/>
          <w:iCs/>
        </w:rPr>
        <w:t>Page 49</w:t>
      </w:r>
      <w:r w:rsidRPr="00F028B9">
        <w:t>).</w:t>
      </w:r>
    </w:p>
    <w:p w14:paraId="376329E5" w14:textId="77777777" w:rsidR="00F028B9" w:rsidRPr="00F028B9" w:rsidRDefault="00F028B9" w:rsidP="00F028B9">
      <w:pPr>
        <w:rPr>
          <w:b/>
          <w:bCs/>
        </w:rPr>
      </w:pPr>
      <w:r w:rsidRPr="00F028B9">
        <w:rPr>
          <w:b/>
          <w:bCs/>
        </w:rPr>
        <w:t>VII. Summary of Key Testimony Points:</w:t>
      </w:r>
    </w:p>
    <w:p w14:paraId="724B1486" w14:textId="77777777" w:rsidR="00F028B9" w:rsidRPr="00F028B9" w:rsidRDefault="00F028B9" w:rsidP="00F028B9">
      <w:pPr>
        <w:numPr>
          <w:ilvl w:val="0"/>
          <w:numId w:val="7"/>
        </w:numPr>
      </w:pPr>
      <w:r w:rsidRPr="00F028B9">
        <w:t>CCCT technology is the optimal choice given reliability, flexibility, and efficiency criteria.</w:t>
      </w:r>
    </w:p>
    <w:p w14:paraId="455F4CD2" w14:textId="77777777" w:rsidR="00F028B9" w:rsidRPr="00F028B9" w:rsidRDefault="00F028B9" w:rsidP="00F028B9">
      <w:pPr>
        <w:numPr>
          <w:ilvl w:val="0"/>
          <w:numId w:val="7"/>
        </w:numPr>
      </w:pPr>
      <w:r w:rsidRPr="00F028B9">
        <w:t>Accelerated timeline driven by customer demand necessitated CCCT selection.</w:t>
      </w:r>
    </w:p>
    <w:p w14:paraId="7412DCBE" w14:textId="77777777" w:rsidR="00F028B9" w:rsidRPr="00F028B9" w:rsidRDefault="00F028B9" w:rsidP="00F028B9">
      <w:pPr>
        <w:numPr>
          <w:ilvl w:val="0"/>
          <w:numId w:val="7"/>
        </w:numPr>
      </w:pPr>
      <w:r w:rsidRPr="00F028B9">
        <w:t>ELL has substantial experience managing similar projects successfully.</w:t>
      </w:r>
    </w:p>
    <w:p w14:paraId="12AB57AB" w14:textId="77777777" w:rsidR="00F028B9" w:rsidRPr="00F028B9" w:rsidRDefault="00F028B9" w:rsidP="00F028B9">
      <w:pPr>
        <w:numPr>
          <w:ilvl w:val="0"/>
          <w:numId w:val="7"/>
        </w:numPr>
      </w:pPr>
      <w:r w:rsidRPr="00F028B9">
        <w:t>Comprehensive risk management and EPC structure designed to mitigate project risks effectively.</w:t>
      </w:r>
    </w:p>
    <w:p w14:paraId="524EEB4D" w14:textId="77777777" w:rsidR="00F028B9" w:rsidRPr="00F028B9" w:rsidRDefault="00F028B9" w:rsidP="00F028B9">
      <w:pPr>
        <w:numPr>
          <w:ilvl w:val="0"/>
          <w:numId w:val="7"/>
        </w:numPr>
      </w:pPr>
      <w:r w:rsidRPr="00F028B9">
        <w:t>CCCT units prepared to integrate CCS technology, ensuring long-term compliance with emission standards.</w:t>
      </w:r>
    </w:p>
    <w:p w14:paraId="38A5BAF2" w14:textId="77777777" w:rsidR="00F028B9" w:rsidRPr="00F028B9" w:rsidRDefault="00F028B9" w:rsidP="00F028B9">
      <w:pPr>
        <w:rPr>
          <w:b/>
          <w:bCs/>
        </w:rPr>
      </w:pPr>
      <w:r w:rsidRPr="00F028B9">
        <w:rPr>
          <w:b/>
          <w:bCs/>
        </w:rPr>
        <w:t>Exhibits Provided:</w:t>
      </w:r>
    </w:p>
    <w:p w14:paraId="4901A4D0" w14:textId="77777777" w:rsidR="00F028B9" w:rsidRPr="00F028B9" w:rsidRDefault="00F028B9" w:rsidP="00F028B9">
      <w:pPr>
        <w:numPr>
          <w:ilvl w:val="0"/>
          <w:numId w:val="8"/>
        </w:numPr>
      </w:pPr>
      <w:r w:rsidRPr="00F028B9">
        <w:t>Exhibit MB-4 (</w:t>
      </w:r>
      <w:r w:rsidRPr="00F028B9">
        <w:rPr>
          <w:i/>
          <w:iCs/>
        </w:rPr>
        <w:t>Page 58</w:t>
      </w:r>
      <w:r w:rsidRPr="00F028B9">
        <w:t>): Organizational chart for the operations staff at Richland Parish location.</w:t>
      </w:r>
    </w:p>
    <w:p w14:paraId="5F1CA3AA" w14:textId="77777777" w:rsidR="00F028B9" w:rsidRPr="00F028B9" w:rsidRDefault="00F028B9" w:rsidP="00F028B9">
      <w:pPr>
        <w:numPr>
          <w:ilvl w:val="0"/>
          <w:numId w:val="8"/>
        </w:numPr>
      </w:pPr>
      <w:r w:rsidRPr="00F028B9">
        <w:t>Exhibit MB-5 (</w:t>
      </w:r>
      <w:r w:rsidRPr="00F028B9">
        <w:rPr>
          <w:i/>
          <w:iCs/>
        </w:rPr>
        <w:t>Page 59</w:t>
      </w:r>
      <w:r w:rsidRPr="00F028B9">
        <w:t>): Site layout diagram detailing CCCT Units 1 and 2.</w:t>
      </w:r>
    </w:p>
    <w:p w14:paraId="68BFA45F" w14:textId="77777777" w:rsidR="00F028B9" w:rsidRPr="00F028B9" w:rsidRDefault="00F028B9" w:rsidP="00F028B9">
      <w:r w:rsidRPr="00F028B9">
        <w:t>The testimony emphasizes comprehensive project management, clear cost estimations, and proactive risk management strategies to ensure successful project delivery while supporting Entergy’s strategic goals and compliance with environmental standards.</w:t>
      </w:r>
    </w:p>
    <w:p w14:paraId="0C213C31" w14:textId="77777777" w:rsidR="001E77D2" w:rsidRDefault="001E77D2"/>
    <w:sectPr w:rsidR="001E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94E86"/>
    <w:multiLevelType w:val="multilevel"/>
    <w:tmpl w:val="54EC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E6DAA"/>
    <w:multiLevelType w:val="multilevel"/>
    <w:tmpl w:val="AF48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463D0"/>
    <w:multiLevelType w:val="multilevel"/>
    <w:tmpl w:val="BF92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D5489"/>
    <w:multiLevelType w:val="multilevel"/>
    <w:tmpl w:val="A93A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857FE"/>
    <w:multiLevelType w:val="multilevel"/>
    <w:tmpl w:val="E7D2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66BAA"/>
    <w:multiLevelType w:val="multilevel"/>
    <w:tmpl w:val="3696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122081"/>
    <w:multiLevelType w:val="multilevel"/>
    <w:tmpl w:val="6BA2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70D02"/>
    <w:multiLevelType w:val="multilevel"/>
    <w:tmpl w:val="4D0C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148150">
    <w:abstractNumId w:val="5"/>
  </w:num>
  <w:num w:numId="2" w16cid:durableId="1667316710">
    <w:abstractNumId w:val="0"/>
  </w:num>
  <w:num w:numId="3" w16cid:durableId="1954052192">
    <w:abstractNumId w:val="2"/>
  </w:num>
  <w:num w:numId="4" w16cid:durableId="274411557">
    <w:abstractNumId w:val="4"/>
  </w:num>
  <w:num w:numId="5" w16cid:durableId="1704791720">
    <w:abstractNumId w:val="1"/>
  </w:num>
  <w:num w:numId="6" w16cid:durableId="2122070846">
    <w:abstractNumId w:val="6"/>
  </w:num>
  <w:num w:numId="7" w16cid:durableId="741759797">
    <w:abstractNumId w:val="7"/>
  </w:num>
  <w:num w:numId="8" w16cid:durableId="452794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B9"/>
    <w:rsid w:val="001E77D2"/>
    <w:rsid w:val="00636502"/>
    <w:rsid w:val="0096775F"/>
    <w:rsid w:val="00DC2B54"/>
    <w:rsid w:val="00F0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61CEE8"/>
  <w15:chartTrackingRefBased/>
  <w15:docId w15:val="{7BEBFA38-4DB2-4882-BC45-DB35F313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3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3171</Characters>
  <Application>Microsoft Office Word</Application>
  <DocSecurity>0</DocSecurity>
  <Lines>60</Lines>
  <Paragraphs>41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Gharaibeh</dc:creator>
  <cp:keywords/>
  <dc:description/>
  <cp:lastModifiedBy>Mohammad Gharaibeh</cp:lastModifiedBy>
  <cp:revision>1</cp:revision>
  <dcterms:created xsi:type="dcterms:W3CDTF">2025-05-27T23:45:00Z</dcterms:created>
  <dcterms:modified xsi:type="dcterms:W3CDTF">2025-05-27T23:46:00Z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31f65dd0-9b09-486f-b75f-34930ae3a77d</vt:lpwstr>
  </property>
</Properties>
</file>