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E56EA" w14:textId="77777777" w:rsidR="000A4AF4" w:rsidRPr="000A4AF4" w:rsidRDefault="000A4AF4" w:rsidP="000A4AF4">
      <w:pPr>
        <w:rPr>
          <w:b/>
          <w:bCs/>
        </w:rPr>
      </w:pPr>
      <w:r w:rsidRPr="000A4AF4">
        <w:rPr>
          <w:b/>
          <w:bCs/>
        </w:rPr>
        <w:t>Context and Background:</w:t>
      </w:r>
    </w:p>
    <w:p w14:paraId="227920AF" w14:textId="77777777" w:rsidR="000A4AF4" w:rsidRPr="000A4AF4" w:rsidRDefault="000A4AF4" w:rsidP="000A4AF4">
      <w:r w:rsidRPr="000A4AF4">
        <w:t>Phillip R. May, President and Chief Executive Officer of Entergy Louisiana, LLC (ELL), provides testimony supporting ELL's application to construct significant generation and transmission infrastructure to serve a major industrial customer project in Richland Parish, North Louisiana.</w:t>
      </w:r>
    </w:p>
    <w:p w14:paraId="1BE78C9A" w14:textId="77777777" w:rsidR="000A4AF4" w:rsidRPr="000A4AF4" w:rsidRDefault="000A4AF4" w:rsidP="000A4AF4">
      <w:pPr>
        <w:rPr>
          <w:b/>
          <w:bCs/>
        </w:rPr>
      </w:pPr>
      <w:r w:rsidRPr="000A4AF4">
        <w:rPr>
          <w:b/>
          <w:bCs/>
        </w:rPr>
        <w:t>Key Sections and Points:</w:t>
      </w:r>
    </w:p>
    <w:p w14:paraId="1D09BE2C" w14:textId="77777777" w:rsidR="000A4AF4" w:rsidRPr="000A4AF4" w:rsidRDefault="000A4AF4" w:rsidP="000A4AF4">
      <w:pPr>
        <w:rPr>
          <w:b/>
          <w:bCs/>
        </w:rPr>
      </w:pPr>
      <w:r w:rsidRPr="000A4AF4">
        <w:rPr>
          <w:b/>
          <w:bCs/>
        </w:rPr>
        <w:t>I. Introduction and Background:</w:t>
      </w:r>
    </w:p>
    <w:p w14:paraId="19D169BD" w14:textId="77777777" w:rsidR="000A4AF4" w:rsidRPr="000A4AF4" w:rsidRDefault="000A4AF4" w:rsidP="000A4AF4">
      <w:pPr>
        <w:numPr>
          <w:ilvl w:val="0"/>
          <w:numId w:val="1"/>
        </w:numPr>
      </w:pPr>
      <w:r w:rsidRPr="000A4AF4">
        <w:t>May outlines his responsibilities as CEO, emphasizing his role in overseeing strategic initiatives and operational performance of ELL.</w:t>
      </w:r>
    </w:p>
    <w:p w14:paraId="11D243A4" w14:textId="77777777" w:rsidR="000A4AF4" w:rsidRPr="000A4AF4" w:rsidRDefault="000A4AF4" w:rsidP="000A4AF4">
      <w:pPr>
        <w:numPr>
          <w:ilvl w:val="0"/>
          <w:numId w:val="1"/>
        </w:numPr>
      </w:pPr>
      <w:r w:rsidRPr="000A4AF4">
        <w:t>He highlights his extensive background in energy sector management and regulatory strategy.</w:t>
      </w:r>
    </w:p>
    <w:p w14:paraId="4A79A519" w14:textId="77777777" w:rsidR="000A4AF4" w:rsidRPr="000A4AF4" w:rsidRDefault="000A4AF4" w:rsidP="000A4AF4">
      <w:pPr>
        <w:rPr>
          <w:b/>
          <w:bCs/>
        </w:rPr>
      </w:pPr>
      <w:r w:rsidRPr="000A4AF4">
        <w:rPr>
          <w:b/>
          <w:bCs/>
        </w:rPr>
        <w:t>II. ELL’s Unique Position for Economic Development:</w:t>
      </w:r>
    </w:p>
    <w:p w14:paraId="37BF849A" w14:textId="77777777" w:rsidR="000A4AF4" w:rsidRPr="000A4AF4" w:rsidRDefault="000A4AF4" w:rsidP="000A4AF4">
      <w:pPr>
        <w:numPr>
          <w:ilvl w:val="0"/>
          <w:numId w:val="2"/>
        </w:numPr>
      </w:pPr>
      <w:r w:rsidRPr="000A4AF4">
        <w:t>May emphasizes ELL’s capability to support major economic development projects, asserting the company's role as a crucial facilitator of economic growth in Louisiana.</w:t>
      </w:r>
    </w:p>
    <w:p w14:paraId="494EDD97" w14:textId="77777777" w:rsidR="000A4AF4" w:rsidRPr="000A4AF4" w:rsidRDefault="000A4AF4" w:rsidP="000A4AF4">
      <w:pPr>
        <w:numPr>
          <w:ilvl w:val="0"/>
          <w:numId w:val="2"/>
        </w:numPr>
      </w:pPr>
      <w:r w:rsidRPr="000A4AF4">
        <w:t>The Richland Parish project represents a transformative economic opportunity, promising significant job creation, infrastructure enhancement, and regional economic revitalization.</w:t>
      </w:r>
    </w:p>
    <w:p w14:paraId="7197B4EE" w14:textId="77777777" w:rsidR="000A4AF4" w:rsidRPr="000A4AF4" w:rsidRDefault="000A4AF4" w:rsidP="000A4AF4">
      <w:pPr>
        <w:numPr>
          <w:ilvl w:val="0"/>
          <w:numId w:val="2"/>
        </w:numPr>
      </w:pPr>
      <w:r w:rsidRPr="000A4AF4">
        <w:t>ELL's scale and financial health allow it to effectively handle such substantial infrastructure expansions and investments.</w:t>
      </w:r>
    </w:p>
    <w:p w14:paraId="64050ED0" w14:textId="77777777" w:rsidR="000A4AF4" w:rsidRPr="000A4AF4" w:rsidRDefault="000A4AF4" w:rsidP="000A4AF4">
      <w:pPr>
        <w:rPr>
          <w:b/>
          <w:bCs/>
        </w:rPr>
      </w:pPr>
      <w:r w:rsidRPr="000A4AF4">
        <w:rPr>
          <w:b/>
          <w:bCs/>
        </w:rPr>
        <w:t>III. Project Overview:</w:t>
      </w:r>
    </w:p>
    <w:p w14:paraId="3116213F" w14:textId="77777777" w:rsidR="000A4AF4" w:rsidRPr="000A4AF4" w:rsidRDefault="000A4AF4" w:rsidP="000A4AF4">
      <w:pPr>
        <w:numPr>
          <w:ilvl w:val="0"/>
          <w:numId w:val="3"/>
        </w:numPr>
      </w:pPr>
      <w:r w:rsidRPr="000A4AF4">
        <w:rPr>
          <w:b/>
          <w:bCs/>
        </w:rPr>
        <w:t>Project Description</w:t>
      </w:r>
      <w:r w:rsidRPr="000A4AF4">
        <w:t>:</w:t>
      </w:r>
    </w:p>
    <w:p w14:paraId="39064601" w14:textId="77777777" w:rsidR="000A4AF4" w:rsidRPr="000A4AF4" w:rsidRDefault="000A4AF4" w:rsidP="000A4AF4">
      <w:pPr>
        <w:numPr>
          <w:ilvl w:val="1"/>
          <w:numId w:val="3"/>
        </w:numPr>
      </w:pPr>
      <w:r w:rsidRPr="000A4AF4">
        <w:t>The industrial customer’s project will require approximately $5 billion in capital investment in Richland Parish, demanding significant new baseload generation and transmission facilities.</w:t>
      </w:r>
    </w:p>
    <w:p w14:paraId="40B85F38" w14:textId="77777777" w:rsidR="000A4AF4" w:rsidRPr="000A4AF4" w:rsidRDefault="000A4AF4" w:rsidP="000A4AF4">
      <w:pPr>
        <w:numPr>
          <w:ilvl w:val="1"/>
          <w:numId w:val="3"/>
        </w:numPr>
      </w:pPr>
      <w:r w:rsidRPr="000A4AF4">
        <w:t>Construction plans include three Combined Cycle Combustion Turbine (CCCT) generators, providing 2,262 MW of new generation capacity.</w:t>
      </w:r>
    </w:p>
    <w:p w14:paraId="7C29AC6D" w14:textId="77777777" w:rsidR="000A4AF4" w:rsidRPr="000A4AF4" w:rsidRDefault="000A4AF4" w:rsidP="000A4AF4">
      <w:pPr>
        <w:numPr>
          <w:ilvl w:val="1"/>
          <w:numId w:val="3"/>
        </w:numPr>
      </w:pPr>
      <w:r w:rsidRPr="000A4AF4">
        <w:t>The transmission enhancements involve new substations, 500 kV lines, and upgrades to existing infrastructure (pages 21-24).</w:t>
      </w:r>
    </w:p>
    <w:p w14:paraId="65C8BD91" w14:textId="77777777" w:rsidR="000A4AF4" w:rsidRPr="000A4AF4" w:rsidRDefault="000A4AF4" w:rsidP="000A4AF4">
      <w:pPr>
        <w:numPr>
          <w:ilvl w:val="0"/>
          <w:numId w:val="3"/>
        </w:numPr>
      </w:pPr>
      <w:r w:rsidRPr="000A4AF4">
        <w:rPr>
          <w:b/>
          <w:bCs/>
        </w:rPr>
        <w:t>Financial and Contractual Arrangements</w:t>
      </w:r>
      <w:r w:rsidRPr="000A4AF4">
        <w:t>:</w:t>
      </w:r>
    </w:p>
    <w:p w14:paraId="611D5A23" w14:textId="77777777" w:rsidR="000A4AF4" w:rsidRPr="000A4AF4" w:rsidRDefault="000A4AF4" w:rsidP="000A4AF4">
      <w:pPr>
        <w:numPr>
          <w:ilvl w:val="1"/>
          <w:numId w:val="3"/>
        </w:numPr>
      </w:pPr>
      <w:r w:rsidRPr="000A4AF4">
        <w:t>ELL and the customer have executed an Electric Service Agreement (ESA) and a Contribution in Aid of Construction (CIAC) agreement to fund significant portions of the required infrastructure, protecting existing customers from undue financial burdens (pages 25-28).</w:t>
      </w:r>
    </w:p>
    <w:p w14:paraId="3E17D139" w14:textId="77777777" w:rsidR="000A4AF4" w:rsidRPr="000A4AF4" w:rsidRDefault="000A4AF4" w:rsidP="000A4AF4">
      <w:pPr>
        <w:numPr>
          <w:ilvl w:val="1"/>
          <w:numId w:val="3"/>
        </w:numPr>
      </w:pPr>
      <w:r w:rsidRPr="000A4AF4">
        <w:t>The customer has committed substantial upfront financial contributions and collateral guarantees to mitigate risks.</w:t>
      </w:r>
    </w:p>
    <w:p w14:paraId="32C24FC0" w14:textId="77777777" w:rsidR="000A4AF4" w:rsidRPr="000A4AF4" w:rsidRDefault="000A4AF4" w:rsidP="000A4AF4">
      <w:pPr>
        <w:numPr>
          <w:ilvl w:val="0"/>
          <w:numId w:val="3"/>
        </w:numPr>
      </w:pPr>
      <w:r w:rsidRPr="000A4AF4">
        <w:rPr>
          <w:b/>
          <w:bCs/>
        </w:rPr>
        <w:t>Customer Protections and Rate Impacts</w:t>
      </w:r>
      <w:r w:rsidRPr="000A4AF4">
        <w:t>:</w:t>
      </w:r>
    </w:p>
    <w:p w14:paraId="637A3CA2" w14:textId="77777777" w:rsidR="000A4AF4" w:rsidRPr="000A4AF4" w:rsidRDefault="000A4AF4" w:rsidP="000A4AF4">
      <w:pPr>
        <w:numPr>
          <w:ilvl w:val="1"/>
          <w:numId w:val="3"/>
        </w:numPr>
      </w:pPr>
      <w:r w:rsidRPr="000A4AF4">
        <w:lastRenderedPageBreak/>
        <w:t>ESA includes safeguards like a minimum monthly charge, collateral, and a parent company guarantee, designed to insulate existing customers from potential financial risks if the customer discontinues operations or does not renew the agreement after its initial term (pages 28-29).</w:t>
      </w:r>
    </w:p>
    <w:p w14:paraId="6375026B" w14:textId="77777777" w:rsidR="000A4AF4" w:rsidRPr="000A4AF4" w:rsidRDefault="000A4AF4" w:rsidP="000A4AF4">
      <w:pPr>
        <w:numPr>
          <w:ilvl w:val="0"/>
          <w:numId w:val="3"/>
        </w:numPr>
      </w:pPr>
      <w:r w:rsidRPr="000A4AF4">
        <w:rPr>
          <w:b/>
          <w:bCs/>
        </w:rPr>
        <w:t>Monitoring and Transparency</w:t>
      </w:r>
      <w:r w:rsidRPr="000A4AF4">
        <w:t>:</w:t>
      </w:r>
    </w:p>
    <w:p w14:paraId="1AEAAE79" w14:textId="77777777" w:rsidR="000A4AF4" w:rsidRPr="000A4AF4" w:rsidRDefault="000A4AF4" w:rsidP="000A4AF4">
      <w:pPr>
        <w:numPr>
          <w:ilvl w:val="1"/>
          <w:numId w:val="3"/>
        </w:numPr>
      </w:pPr>
      <w:r w:rsidRPr="000A4AF4">
        <w:t>ELL proposes regular monitoring and quarterly reporting to the LPSC to ensure transparency, prudent management, and compliance with commitments throughout the project's implementation.</w:t>
      </w:r>
    </w:p>
    <w:p w14:paraId="38340524" w14:textId="77777777" w:rsidR="000A4AF4" w:rsidRPr="000A4AF4" w:rsidRDefault="000A4AF4" w:rsidP="000A4AF4">
      <w:pPr>
        <w:rPr>
          <w:b/>
          <w:bCs/>
        </w:rPr>
      </w:pPr>
      <w:r w:rsidRPr="000A4AF4">
        <w:rPr>
          <w:b/>
          <w:bCs/>
        </w:rPr>
        <w:t>IV. Corporate Sustainability Rider (CSR):</w:t>
      </w:r>
    </w:p>
    <w:p w14:paraId="3EB5FDDC" w14:textId="77777777" w:rsidR="000A4AF4" w:rsidRPr="000A4AF4" w:rsidRDefault="000A4AF4" w:rsidP="000A4AF4">
      <w:pPr>
        <w:numPr>
          <w:ilvl w:val="0"/>
          <w:numId w:val="4"/>
        </w:numPr>
      </w:pPr>
      <w:r w:rsidRPr="000A4AF4">
        <w:t>The CSR is a critical component of the ESA, promoting renewable energy and sustainability commitments.</w:t>
      </w:r>
    </w:p>
    <w:p w14:paraId="66D8BB35" w14:textId="77777777" w:rsidR="000A4AF4" w:rsidRPr="000A4AF4" w:rsidRDefault="000A4AF4" w:rsidP="000A4AF4">
      <w:pPr>
        <w:numPr>
          <w:ilvl w:val="0"/>
          <w:numId w:val="4"/>
        </w:numPr>
      </w:pPr>
      <w:r w:rsidRPr="000A4AF4">
        <w:t>It includes plans for procuring an additional 1,500 MW of renewable solar or hybrid energy resources.</w:t>
      </w:r>
    </w:p>
    <w:p w14:paraId="2392DBBD" w14:textId="77777777" w:rsidR="000A4AF4" w:rsidRPr="000A4AF4" w:rsidRDefault="000A4AF4" w:rsidP="000A4AF4">
      <w:pPr>
        <w:numPr>
          <w:ilvl w:val="0"/>
          <w:numId w:val="4"/>
        </w:numPr>
      </w:pPr>
      <w:r w:rsidRPr="000A4AF4">
        <w:t>The CSR also covers implementation of Carbon Capture and Storage (CCS) technology at the Lake Charles Power Station, significantly reducing carbon emissions from new gas-fired generation (pages 31-36).</w:t>
      </w:r>
    </w:p>
    <w:p w14:paraId="5404A253" w14:textId="77777777" w:rsidR="000A4AF4" w:rsidRPr="000A4AF4" w:rsidRDefault="000A4AF4" w:rsidP="000A4AF4">
      <w:pPr>
        <w:numPr>
          <w:ilvl w:val="0"/>
          <w:numId w:val="4"/>
        </w:numPr>
      </w:pPr>
      <w:r w:rsidRPr="000A4AF4">
        <w:t>The customer also supports Entergy’s “Power to Care” initiative, pledging substantial annual financial contributions, enhancing local community support programs.</w:t>
      </w:r>
    </w:p>
    <w:p w14:paraId="50D41AA0" w14:textId="77777777" w:rsidR="000A4AF4" w:rsidRPr="000A4AF4" w:rsidRDefault="000A4AF4" w:rsidP="000A4AF4">
      <w:pPr>
        <w:rPr>
          <w:b/>
          <w:bCs/>
        </w:rPr>
      </w:pPr>
      <w:r w:rsidRPr="000A4AF4">
        <w:rPr>
          <w:b/>
          <w:bCs/>
        </w:rPr>
        <w:t>V. Economic Impacts:</w:t>
      </w:r>
    </w:p>
    <w:p w14:paraId="740E491C" w14:textId="77777777" w:rsidR="000A4AF4" w:rsidRPr="000A4AF4" w:rsidRDefault="000A4AF4" w:rsidP="000A4AF4">
      <w:pPr>
        <w:numPr>
          <w:ilvl w:val="0"/>
          <w:numId w:val="5"/>
        </w:numPr>
      </w:pPr>
      <w:r w:rsidRPr="000A4AF4">
        <w:t>The project aligns with Louisiana’s broader economic development pipeline, fostering substantial job creation (300-500 permanent positions) at above-average salaries (~$82,000 annually).</w:t>
      </w:r>
    </w:p>
    <w:p w14:paraId="6317A0F8" w14:textId="77777777" w:rsidR="000A4AF4" w:rsidRPr="000A4AF4" w:rsidRDefault="000A4AF4" w:rsidP="000A4AF4">
      <w:pPr>
        <w:numPr>
          <w:ilvl w:val="0"/>
          <w:numId w:val="5"/>
        </w:numPr>
      </w:pPr>
      <w:r w:rsidRPr="000A4AF4">
        <w:t>Richland Parish and Northeast Louisiana, historically disadvantaged economically, will benefit significantly from infrastructure improvements, increased employment, and regional economic revitalization (pages 36-39).</w:t>
      </w:r>
    </w:p>
    <w:p w14:paraId="1C873638" w14:textId="77777777" w:rsidR="000A4AF4" w:rsidRPr="000A4AF4" w:rsidRDefault="000A4AF4" w:rsidP="000A4AF4">
      <w:pPr>
        <w:rPr>
          <w:b/>
          <w:bCs/>
        </w:rPr>
      </w:pPr>
      <w:r w:rsidRPr="000A4AF4">
        <w:rPr>
          <w:b/>
          <w:bCs/>
        </w:rPr>
        <w:t>VI. Overview of Application and Witnesses:</w:t>
      </w:r>
    </w:p>
    <w:p w14:paraId="0A37B9F2" w14:textId="77777777" w:rsidR="000A4AF4" w:rsidRPr="000A4AF4" w:rsidRDefault="000A4AF4" w:rsidP="000A4AF4">
      <w:pPr>
        <w:numPr>
          <w:ilvl w:val="0"/>
          <w:numId w:val="6"/>
        </w:numPr>
      </w:pPr>
      <w:r w:rsidRPr="000A4AF4">
        <w:t>May summarizes key regulatory compliance elements (including the Market-Based Mechanisms General Order and Transmission Siting Order compliance).</w:t>
      </w:r>
    </w:p>
    <w:p w14:paraId="16E523DA" w14:textId="77777777" w:rsidR="000A4AF4" w:rsidRPr="000A4AF4" w:rsidRDefault="000A4AF4" w:rsidP="000A4AF4">
      <w:pPr>
        <w:numPr>
          <w:ilvl w:val="0"/>
          <w:numId w:val="6"/>
        </w:numPr>
      </w:pPr>
      <w:r w:rsidRPr="000A4AF4">
        <w:t>He introduces other company witnesses (e.g., Laura K. Beauchamp, Nicholas W. Owens, Matthew Bulpitt, Daniel Kline, and others), detailing their specific areas of testimony supporting the project’s approval and implementation (pages 40-46).</w:t>
      </w:r>
    </w:p>
    <w:p w14:paraId="6F9D18BE" w14:textId="77777777" w:rsidR="000A4AF4" w:rsidRPr="000A4AF4" w:rsidRDefault="000A4AF4" w:rsidP="000A4AF4">
      <w:pPr>
        <w:rPr>
          <w:b/>
          <w:bCs/>
        </w:rPr>
      </w:pPr>
      <w:r w:rsidRPr="000A4AF4">
        <w:rPr>
          <w:b/>
          <w:bCs/>
        </w:rPr>
        <w:t>VII. Conclusion:</w:t>
      </w:r>
    </w:p>
    <w:p w14:paraId="78CB13DA" w14:textId="77777777" w:rsidR="000A4AF4" w:rsidRPr="000A4AF4" w:rsidRDefault="000A4AF4" w:rsidP="000A4AF4">
      <w:pPr>
        <w:numPr>
          <w:ilvl w:val="0"/>
          <w:numId w:val="7"/>
        </w:numPr>
      </w:pPr>
      <w:r w:rsidRPr="000A4AF4">
        <w:t>May argues strongly for project approval, underscoring significant public interest benefits, including economic revitalization, environmental sustainability advancements, and long-term reliability improvements to ELL’s electric grid.</w:t>
      </w:r>
    </w:p>
    <w:p w14:paraId="21C58284" w14:textId="77777777" w:rsidR="000A4AF4" w:rsidRPr="000A4AF4" w:rsidRDefault="000A4AF4" w:rsidP="000A4AF4">
      <w:pPr>
        <w:numPr>
          <w:ilvl w:val="0"/>
          <w:numId w:val="7"/>
        </w:numPr>
      </w:pPr>
      <w:r w:rsidRPr="000A4AF4">
        <w:lastRenderedPageBreak/>
        <w:t>He emphasizes that timely approval by the Commission is essential for capturing this critical economic development opportunity for Northeast Louisiana.</w:t>
      </w:r>
    </w:p>
    <w:p w14:paraId="12200AFD" w14:textId="77777777" w:rsidR="001E77D2" w:rsidRDefault="001E77D2"/>
    <w:sectPr w:rsidR="001E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05DD8"/>
    <w:multiLevelType w:val="multilevel"/>
    <w:tmpl w:val="E270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2490B"/>
    <w:multiLevelType w:val="multilevel"/>
    <w:tmpl w:val="ED2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57300"/>
    <w:multiLevelType w:val="multilevel"/>
    <w:tmpl w:val="53B2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E37EF9"/>
    <w:multiLevelType w:val="multilevel"/>
    <w:tmpl w:val="DE96B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F4861"/>
    <w:multiLevelType w:val="multilevel"/>
    <w:tmpl w:val="09EC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D72DC"/>
    <w:multiLevelType w:val="multilevel"/>
    <w:tmpl w:val="5640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77E84"/>
    <w:multiLevelType w:val="multilevel"/>
    <w:tmpl w:val="A77E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387790">
    <w:abstractNumId w:val="1"/>
  </w:num>
  <w:num w:numId="2" w16cid:durableId="1254052921">
    <w:abstractNumId w:val="6"/>
  </w:num>
  <w:num w:numId="3" w16cid:durableId="1724713694">
    <w:abstractNumId w:val="3"/>
  </w:num>
  <w:num w:numId="4" w16cid:durableId="1279919364">
    <w:abstractNumId w:val="0"/>
  </w:num>
  <w:num w:numId="5" w16cid:durableId="1917736904">
    <w:abstractNumId w:val="2"/>
  </w:num>
  <w:num w:numId="6" w16cid:durableId="1082331392">
    <w:abstractNumId w:val="4"/>
  </w:num>
  <w:num w:numId="7" w16cid:durableId="1712530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F4"/>
    <w:rsid w:val="000A4AF4"/>
    <w:rsid w:val="001E77D2"/>
    <w:rsid w:val="00636502"/>
    <w:rsid w:val="0096775F"/>
    <w:rsid w:val="00DC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6A092"/>
  <w15:chartTrackingRefBased/>
  <w15:docId w15:val="{FD0B11CF-351F-43E7-8CA4-42C5715C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AF4"/>
    <w:rPr>
      <w:rFonts w:eastAsiaTheme="majorEastAsia" w:cstheme="majorBidi"/>
      <w:color w:val="272727" w:themeColor="text1" w:themeTint="D8"/>
    </w:rPr>
  </w:style>
  <w:style w:type="paragraph" w:styleId="Title">
    <w:name w:val="Title"/>
    <w:basedOn w:val="Normal"/>
    <w:next w:val="Normal"/>
    <w:link w:val="TitleChar"/>
    <w:uiPriority w:val="10"/>
    <w:qFormat/>
    <w:rsid w:val="000A4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AF4"/>
    <w:pPr>
      <w:spacing w:before="160"/>
      <w:jc w:val="center"/>
    </w:pPr>
    <w:rPr>
      <w:i/>
      <w:iCs/>
      <w:color w:val="404040" w:themeColor="text1" w:themeTint="BF"/>
    </w:rPr>
  </w:style>
  <w:style w:type="character" w:customStyle="1" w:styleId="QuoteChar">
    <w:name w:val="Quote Char"/>
    <w:basedOn w:val="DefaultParagraphFont"/>
    <w:link w:val="Quote"/>
    <w:uiPriority w:val="29"/>
    <w:rsid w:val="000A4AF4"/>
    <w:rPr>
      <w:i/>
      <w:iCs/>
      <w:color w:val="404040" w:themeColor="text1" w:themeTint="BF"/>
    </w:rPr>
  </w:style>
  <w:style w:type="paragraph" w:styleId="ListParagraph">
    <w:name w:val="List Paragraph"/>
    <w:basedOn w:val="Normal"/>
    <w:uiPriority w:val="34"/>
    <w:qFormat/>
    <w:rsid w:val="000A4AF4"/>
    <w:pPr>
      <w:ind w:left="720"/>
      <w:contextualSpacing/>
    </w:pPr>
  </w:style>
  <w:style w:type="character" w:styleId="IntenseEmphasis">
    <w:name w:val="Intense Emphasis"/>
    <w:basedOn w:val="DefaultParagraphFont"/>
    <w:uiPriority w:val="21"/>
    <w:qFormat/>
    <w:rsid w:val="000A4AF4"/>
    <w:rPr>
      <w:i/>
      <w:iCs/>
      <w:color w:val="0F4761" w:themeColor="accent1" w:themeShade="BF"/>
    </w:rPr>
  </w:style>
  <w:style w:type="paragraph" w:styleId="IntenseQuote">
    <w:name w:val="Intense Quote"/>
    <w:basedOn w:val="Normal"/>
    <w:next w:val="Normal"/>
    <w:link w:val="IntenseQuoteChar"/>
    <w:uiPriority w:val="30"/>
    <w:qFormat/>
    <w:rsid w:val="000A4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AF4"/>
    <w:rPr>
      <w:i/>
      <w:iCs/>
      <w:color w:val="0F4761" w:themeColor="accent1" w:themeShade="BF"/>
    </w:rPr>
  </w:style>
  <w:style w:type="character" w:styleId="IntenseReference">
    <w:name w:val="Intense Reference"/>
    <w:basedOn w:val="DefaultParagraphFont"/>
    <w:uiPriority w:val="32"/>
    <w:qFormat/>
    <w:rsid w:val="000A4A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349913">
      <w:bodyDiv w:val="1"/>
      <w:marLeft w:val="0"/>
      <w:marRight w:val="0"/>
      <w:marTop w:val="0"/>
      <w:marBottom w:val="0"/>
      <w:divBdr>
        <w:top w:val="none" w:sz="0" w:space="0" w:color="auto"/>
        <w:left w:val="none" w:sz="0" w:space="0" w:color="auto"/>
        <w:bottom w:val="none" w:sz="0" w:space="0" w:color="auto"/>
        <w:right w:val="none" w:sz="0" w:space="0" w:color="auto"/>
      </w:divBdr>
    </w:div>
    <w:div w:id="186346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568</Words>
  <Characters>3861</Characters>
  <Application>Microsoft Office Word</Application>
  <DocSecurity>0</DocSecurity>
  <Lines>71</Lines>
  <Paragraphs>40</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Gharaibeh</dc:creator>
  <cp:keywords/>
  <dc:description/>
  <cp:lastModifiedBy>Mohammad Gharaibeh</cp:lastModifiedBy>
  <cp:revision>1</cp:revision>
  <dcterms:created xsi:type="dcterms:W3CDTF">2025-05-27T23:46:00Z</dcterms:created>
  <dcterms:modified xsi:type="dcterms:W3CDTF">2025-05-27T23:47:00Z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4da01391-8715-4c05-9e7d-26a2e2e9f456</vt:lpwstr>
  </property>
</Properties>
</file>